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before="360" w:after="120"/>
      </w:pPr>
      <w:r>
        <w:rPr>
          <w:rFonts w:ascii="Calibri" w:hAnsi="Calibri"/>
          <w:b/>
          <w:color w:val="0F2942"/>
          <w:sz w:val="48"/>
        </w:rPr>
        <w:t>Secure End-to-End Physiological Signal Health Monitoring ML Pipeline &amp; ESP32 IoT System</w:t>
      </w:r>
    </w:p>
    <w:p>
      <w:pPr>
        <w:jc w:val="center"/>
        <w:spacing w:before="0" w:after="300"/>
      </w:pPr>
      <w:r>
        <w:rPr>
          <w:rFonts w:ascii="Calibri" w:hAnsi="Calibri"/>
          <w:color w:val="4A6B82"/>
          <w:sz w:val="24"/>
        </w:rPr>
        <w:t>Comprehensive Architecture, Clinical Validation Report, Fairness Audit &amp; Hardware Specification</w:t>
      </w:r>
    </w:p>
    <w:tbl>
      <w:tblPr>
        <w:tblW w:w="9072" w:type="dxa"/>
        <w:tblBorders>
          <w:top w:val="single" w:sz="6" w:space="0" w:color="CBD5E1"/>
          <w:bottom w:val="single" w:sz="6" w:space="0" w:color="CBD5E1"/>
          <w:insideV w:val="single" w:sz="4" w:space="0" w:color="E2E8F0"/>
        </w:tblBorders>
        <w:tblCellMar>
          <w:top w:w="100" w:type="dxa"/>
          <w:bottom w:w="100" w:type="dxa"/>
        </w:tblCellMar>
      </w:tblPr>
      <w:tr>
        <w:tc>
          <w:tcPr>
            <w:tcW w:w="2268" w:type="dxa"/>
            <w:shd w:val="clear" w:color="auto" w:fill="F0F4F8"/>
            <w:tcMar>
              <w:top w:w="120" w:type="dxa"/>
              <w:bottom w:w="120" w:type="dxa"/>
              <w:left w:w="140" w:type="dxa"/>
              <w:right w:w="140" w:type="dxa"/>
            </w:tcMar>
          </w:tcPr>
          <w:p>
            <w:pPr>
              <w:jc w:val="center"/>
              <w:spacing w:before="0" w:after="40"/>
            </w:pPr>
            <w:r>
              <w:rPr>
                <w:sz w:val="16"/>
                <w:color w:val="64748B"/>
                <w:b/>
              </w:rPr>
              <w:t>DOCUMENT TYPE</w:t>
            </w:r>
          </w:p>
          <w:p>
            <w:pPr>
              <w:jc w:val="center"/>
              <w:spacing w:before="0" w:after="0"/>
            </w:pPr>
            <w:r>
              <w:rPr>
                <w:sz w:val="19"/>
                <w:color w:val="0F2942"/>
                <w:b/>
              </w:rPr>
              <w:t>Technical Specification &amp; Audit</w:t>
            </w:r>
          </w:p>
        </w:tc>
        <w:tc>
          <w:tcPr>
            <w:tcW w:w="2268" w:type="dxa"/>
            <w:shd w:val="clear" w:color="auto" w:fill="F0F4F8"/>
            <w:tcMar>
              <w:top w:w="120" w:type="dxa"/>
              <w:bottom w:w="120" w:type="dxa"/>
              <w:left w:w="140" w:type="dxa"/>
              <w:right w:w="140" w:type="dxa"/>
            </w:tcMar>
          </w:tcPr>
          <w:p>
            <w:pPr>
              <w:jc w:val="center"/>
              <w:spacing w:before="0" w:after="40"/>
            </w:pPr>
            <w:r>
              <w:rPr>
                <w:sz w:val="16"/>
                <w:color w:val="64748B"/>
                <w:b/>
              </w:rPr>
              <w:t>SECURITY CLASSIFICATION</w:t>
            </w:r>
          </w:p>
          <w:p>
            <w:pPr>
              <w:jc w:val="center"/>
              <w:spacing w:before="0" w:after="0"/>
            </w:pPr>
            <w:r>
              <w:rPr>
                <w:sz w:val="19"/>
                <w:color w:val="0F2942"/>
                <w:b/>
              </w:rPr>
              <w:t>HIPAA Safe Harbor De-Identified</w:t>
            </w:r>
          </w:p>
        </w:tc>
        <w:tc>
          <w:tcPr>
            <w:tcW w:w="2268" w:type="dxa"/>
            <w:shd w:val="clear" w:color="auto" w:fill="F0F4F8"/>
            <w:tcMar>
              <w:top w:w="120" w:type="dxa"/>
              <w:bottom w:w="120" w:type="dxa"/>
              <w:left w:w="140" w:type="dxa"/>
              <w:right w:w="140" w:type="dxa"/>
            </w:tcMar>
          </w:tcPr>
          <w:p>
            <w:pPr>
              <w:jc w:val="center"/>
              <w:spacing w:before="0" w:after="40"/>
            </w:pPr>
            <w:r>
              <w:rPr>
                <w:sz w:val="16"/>
                <w:color w:val="64748B"/>
                <w:b/>
              </w:rPr>
              <w:t>PIPELINE VERSION</w:t>
            </w:r>
          </w:p>
          <w:p>
            <w:pPr>
              <w:jc w:val="center"/>
              <w:spacing w:before="0" w:after="0"/>
            </w:pPr>
            <w:r>
              <w:rPr>
                <w:sz w:val="19"/>
                <w:color w:val="0F2942"/>
                <w:b/>
              </w:rPr>
              <w:t>1.0.0 Production Release</w:t>
            </w:r>
          </w:p>
        </w:tc>
        <w:tc>
          <w:tcPr>
            <w:tcW w:w="2268" w:type="dxa"/>
            <w:shd w:val="clear" w:color="auto" w:fill="F0F4F8"/>
            <w:tcMar>
              <w:top w:w="120" w:type="dxa"/>
              <w:bottom w:w="120" w:type="dxa"/>
              <w:left w:w="140" w:type="dxa"/>
              <w:right w:w="140" w:type="dxa"/>
            </w:tcMar>
          </w:tcPr>
          <w:p>
            <w:pPr>
              <w:jc w:val="center"/>
              <w:spacing w:before="0" w:after="40"/>
            </w:pPr>
            <w:r>
              <w:rPr>
                <w:sz w:val="16"/>
                <w:color w:val="64748B"/>
                <w:b/>
              </w:rPr>
              <w:t>PUBLICATION DATE</w:t>
            </w:r>
          </w:p>
          <w:p>
            <w:pPr>
              <w:jc w:val="center"/>
              <w:spacing w:before="0" w:after="0"/>
            </w:pPr>
            <w:r>
              <w:rPr>
                <w:sz w:val="19"/>
                <w:color w:val="0F2942"/>
                <w:b/>
              </w:rPr>
              <w:t>September 13, 2026 - 12:35 UTC</w:t>
            </w:r>
          </w:p>
        </w:tc>
      </w:tr>
    </w:tbl>
    <w:p>
      <w:pPr>
        <w:spacing w:before="180" w:after="180"/>
      </w:pPr>
    </w:p>
    <w:tbl>
      <w:tblPr>
        <w:tblW w:w="9072" w:type="dxa"/>
        <w:tblBorders>
          <w:left w:val="single" w:sz="24" w:space="0" w:color="0284C7"/>
          <w:top w:val="single" w:sz="4" w:space="0" w:color="E2E8F0"/>
          <w:bottom w:val="single" w:sz="4" w:space="0" w:color="E2E8F0"/>
          <w:right w:val="single" w:sz="4" w:space="0" w:color="E2E8F0"/>
        </w:tblBorders>
      </w:tblPr>
      <w:tr>
        <w:tc>
          <w:tcPr>
            <w:tcW w:w="9072" w:type="dxa"/>
            <w:shd w:val="clear" w:color="auto" w:fill="F0F9FF"/>
            <w:tcMar>
              <w:top w:w="120" w:type="dxa"/>
              <w:bottom w:w="120" w:type="dxa"/>
              <w:left w:w="180" w:type="dxa"/>
              <w:right w:w="180" w:type="dxa"/>
            </w:tcMar>
          </w:tcPr>
          <w:p>
            <w:pPr>
              <w:spacing w:before="0" w:after="60"/>
            </w:pPr>
            <w:r>
              <w:rPr>
                <w:b/>
                <w:color w:val="0284C7"/>
                <w:sz w:val="21"/>
              </w:rPr>
              <w:t>[NOTE] REGULATORY &amp; BIOMEDICAL NOTICE</w:t>
            </w:r>
          </w:p>
          <w:p>
            <w:pPr>
              <w:spacing w:before="0" w:after="0"/>
            </w:pPr>
            <w:r>
              <w:rPr>
                <w:color w:val="334155"/>
                <w:sz w:val="19"/>
              </w:rPr>
              <w:t>All physiological data processed in this system conforms to HIPAA 18 Safe Harbor de-identification rules. Patient identifiers are cryptographically hashed using salted HMAC-SHA256 with zero raw biometrics logged. Intended for clinical decision support and patient monitoring.</w:t>
            </w:r>
          </w:p>
        </w:tc>
      </w:tr>
    </w:tbl>
    <w:p>
      <w:pPr>
        <w:spacing w:before="120" w:after="120"/>
      </w:pPr>
    </w:p>
    <w:p>
      <w:pPr>
        <w:spacing w:before="360" w:after="140"/>
        <w:pBdr>
          <w:bottom w:val="single" w:sz="12" w:space="4" w:color="0284C7"/>
        </w:pBdr>
      </w:pPr>
      <w:r>
        <w:rPr>
          <w:rFonts w:ascii="Calibri" w:hAnsi="Calibri"/>
          <w:b/>
          <w:color w:val="0369A1"/>
          <w:sz w:val="32"/>
        </w:rPr>
        <w:t>1. Executive Summary &amp; Clinical Diagnostic Performance</w:t>
      </w:r>
    </w:p>
    <w:p>
      <w:pPr>
        <w:spacing w:before="60" w:after="80"/>
        <w:line w:line="276" w:lineRule="auto"/>
      </w:pPr>
      <w:r>
        <w:rPr>
          <w:color w:val="1E293B"/>
          <w:sz w:val="21"/>
          <w:rFonts w:ascii="Calibri" w:hAnsi="Calibri"/>
        </w:rPr>
        <w:t>This specification documents a production-grade machine learning system designed to analyze continuous physiological biopotentials (ECG, PPG, SpO2, Heart Rate, and Body Temperature). The pipeline addresses the critical clinical asymmetry between sensitivity (zero missed acute events) and specificity (minimizing ICU alarm fatigue).</w:t>
      </w:r>
    </w:p>
    <w:p>
      <w:pPr>
        <w:spacing w:before="60" w:after="80"/>
        <w:line w:line="276" w:lineRule="auto"/>
      </w:pPr>
      <w:r>
        <w:rPr>
          <w:color w:val="1E293B"/>
          <w:sz w:val="21"/>
          <w:rFonts w:ascii="Calibri" w:hAnsi="Calibri"/>
        </w:rPr>
        <w:t>The model was trained, cross-validated, and audited on gold-standard PhysioNet MIT-BIH Arrhythmia biopotentials coupled with multi-modal wearable pulse oximetry streams. The system guarantees zero patient data leakage across splits using patient-level stratified GroupKFold partitioning.</w:t>
      </w:r>
    </w:p>
    <w:p>
      <w:pPr>
        <w:spacing w:before="240" w:after="100"/>
      </w:pPr>
      <w:r>
        <w:rPr>
          <w:rFonts w:ascii="Calibri" w:hAnsi="Calibri"/>
          <w:b/>
          <w:color w:val="0F2942"/>
          <w:sz w:val="26"/>
        </w:rPr>
        <w:t>Core Clinical Diagnostic Metrics (Held-Out Test Cohort: 105 Segments)</w:t>
      </w:r>
    </w:p>
    <w:tbl>
      <w:tblPr>
        <w:tblW w:w="9072" w:type="dxa"/>
        <w:tblBorders>
          <w:top w:val="single" w:sz="6" w:space="0" w:color="CBD5E1"/>
          <w:bottom w:val="single" w:sz="6" w:space="0" w:color="CBD5E1"/>
          <w:insideH w:val="single" w:sz="4" w:space="0" w:color="E2E8F0"/>
          <w:insideV w:val="single" w:sz="4" w:space="0" w:color="E2E8F0"/>
        </w:tblBorders>
      </w:tblPr>
      <w:tr>
        <w:tc>
          <w:tcPr>
            <w:tcW w:w="1800" w:type="dxa"/>
            <w:shd w:val="clear" w:color="auto" w:fill="0F2942"/>
            <w:tcMar>
              <w:top w:w="100" w:type="dxa"/>
              <w:bottom w:w="100" w:type="dxa"/>
              <w:left w:w="120" w:type="dxa"/>
              <w:right w:w="120" w:type="dxa"/>
            </w:tcMar>
          </w:tcPr>
          <w:p>
            <w:pPr>
              <w:spacing w:before="0" w:after="0"/>
            </w:pPr>
            <w:r>
              <w:rPr>
                <w:b/>
                <w:color w:val="FFFFFF"/>
                <w:sz w:val="18"/>
                <w:rFonts w:ascii="Calibri" w:hAnsi="Calibri"/>
              </w:rPr>
              <w:t>Diagnostic Metric</w:t>
            </w:r>
          </w:p>
        </w:tc>
        <w:tc>
          <w:tcPr>
            <w:tcW w:w="1400" w:type="dxa"/>
            <w:shd w:val="clear" w:color="auto" w:fill="0F2942"/>
            <w:tcMar>
              <w:top w:w="100" w:type="dxa"/>
              <w:bottom w:w="100" w:type="dxa"/>
              <w:left w:w="120" w:type="dxa"/>
              <w:right w:w="120" w:type="dxa"/>
            </w:tcMar>
          </w:tcPr>
          <w:p>
            <w:pPr>
              <w:spacing w:before="0" w:after="0"/>
            </w:pPr>
            <w:r>
              <w:rPr>
                <w:b/>
                <w:color w:val="FFFFFF"/>
                <w:sz w:val="18"/>
                <w:rFonts w:ascii="Calibri" w:hAnsi="Calibri"/>
              </w:rPr>
              <w:t>Observed Performance</w:t>
            </w:r>
          </w:p>
        </w:tc>
        <w:tc>
          <w:tcPr>
            <w:tcW w:w="1300" w:type="dxa"/>
            <w:shd w:val="clear" w:color="auto" w:fill="0F2942"/>
            <w:tcMar>
              <w:top w:w="100" w:type="dxa"/>
              <w:bottom w:w="100" w:type="dxa"/>
              <w:left w:w="120" w:type="dxa"/>
              <w:right w:w="120" w:type="dxa"/>
            </w:tcMar>
          </w:tcPr>
          <w:p>
            <w:pPr>
              <w:spacing w:before="0" w:after="0"/>
            </w:pPr>
            <w:r>
              <w:rPr>
                <w:b/>
                <w:color w:val="FFFFFF"/>
                <w:sz w:val="18"/>
                <w:rFonts w:ascii="Calibri" w:hAnsi="Calibri"/>
              </w:rPr>
              <w:t>Clinical ICU Target</w:t>
            </w:r>
          </w:p>
        </w:tc>
        <w:tc>
          <w:tcPr>
            <w:tcW w:w="900" w:type="dxa"/>
            <w:shd w:val="clear" w:color="auto" w:fill="0F2942"/>
            <w:tcMar>
              <w:top w:w="100" w:type="dxa"/>
              <w:bottom w:w="100" w:type="dxa"/>
              <w:left w:w="120" w:type="dxa"/>
              <w:right w:w="120" w:type="dxa"/>
            </w:tcMar>
          </w:tcPr>
          <w:p>
            <w:pPr>
              <w:spacing w:before="0" w:after="0"/>
            </w:pPr>
            <w:r>
              <w:rPr>
                <w:b/>
                <w:color w:val="FFFFFF"/>
                <w:sz w:val="18"/>
                <w:rFonts w:ascii="Calibri" w:hAnsi="Calibri"/>
              </w:rPr>
              <w:t>Status</w:t>
            </w:r>
          </w:p>
        </w:tc>
        <w:tc>
          <w:tcPr>
            <w:tcW w:w="3672" w:type="dxa"/>
            <w:shd w:val="clear" w:color="auto" w:fill="0F2942"/>
            <w:tcMar>
              <w:top w:w="100" w:type="dxa"/>
              <w:bottom w:w="100" w:type="dxa"/>
              <w:left w:w="120" w:type="dxa"/>
              <w:right w:w="120" w:type="dxa"/>
            </w:tcMar>
          </w:tcPr>
          <w:p>
            <w:pPr>
              <w:spacing w:before="0" w:after="0"/>
            </w:pPr>
            <w:r>
              <w:rPr>
                <w:b/>
                <w:color w:val="FFFFFF"/>
                <w:sz w:val="18"/>
                <w:rFonts w:ascii="Calibri" w:hAnsi="Calibri"/>
              </w:rPr>
              <w:t>Clinical Significance</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Area Under ROC (AUC-ROC)</w:t>
            </w:r>
          </w:p>
        </w:tc>
        <w:tc>
          <w:tcPr>
            <w:tcW w:w="1400" w:type="dxa"/>
            <w:shd w:val="clear" w:color="auto" w:fill="F8FAFC"/>
            <w:tcMar>
              <w:top w:w="90" w:type="dxa"/>
              <w:bottom w:w="90" w:type="dxa"/>
              <w:left w:w="120" w:type="dxa"/>
              <w:right w:w="120" w:type="dxa"/>
            </w:tcMar>
          </w:tcPr>
          <w:p>
            <w:pPr>
              <w:spacing w:before="0" w:after="0"/>
            </w:pPr>
            <w:r>
              <w:rPr>
                <w:color w:val="1E293B"/>
                <w:sz w:val="17"/>
                <w:rFonts w:ascii="Calibri" w:hAnsi="Calibri"/>
              </w:rPr>
              <w:t>0.9624 (96.2%)</w:t>
            </w:r>
          </w:p>
        </w:tc>
        <w:tc>
          <w:tcPr>
            <w:tcW w:w="1300" w:type="dxa"/>
            <w:shd w:val="clear" w:color="auto" w:fill="F8FAFC"/>
            <w:tcMar>
              <w:top w:w="90" w:type="dxa"/>
              <w:bottom w:w="90" w:type="dxa"/>
              <w:left w:w="120" w:type="dxa"/>
              <w:right w:w="120" w:type="dxa"/>
            </w:tcMar>
          </w:tcPr>
          <w:p>
            <w:pPr>
              <w:spacing w:before="0" w:after="0"/>
            </w:pPr>
            <w:r>
              <w:rPr>
                <w:color w:val="1E293B"/>
                <w:sz w:val="17"/>
                <w:rFonts w:ascii="Calibri" w:hAnsi="Calibri"/>
              </w:rPr>
              <w:t>&gt; 0.8500</w:t>
            </w:r>
          </w:p>
        </w:tc>
        <w:tc>
          <w:tcPr>
            <w:tcW w:w="900" w:type="dxa"/>
            <w:shd w:val="clear" w:color="auto" w:fill="F8FAFC"/>
            <w:tcMar>
              <w:top w:w="90" w:type="dxa"/>
              <w:bottom w:w="90" w:type="dxa"/>
              <w:left w:w="120" w:type="dxa"/>
              <w:right w:w="120" w:type="dxa"/>
            </w:tcMar>
          </w:tcPr>
          <w:p>
            <w:pPr>
              <w:spacing w:before="0" w:after="0"/>
            </w:pPr>
            <w:r>
              <w:rPr>
                <w:b/>
                <w:color w:val="15803D"/>
                <w:sz w:val="17"/>
                <w:rFonts w:ascii="Calibri" w:hAnsi="Calibri"/>
              </w:rPr>
              <w:t>PASS</w:t>
            </w:r>
          </w:p>
        </w:tc>
        <w:tc>
          <w:tcPr>
            <w:tcW w:w="3672" w:type="dxa"/>
            <w:shd w:val="clear" w:color="auto" w:fill="F8FAFC"/>
            <w:tcMar>
              <w:top w:w="90" w:type="dxa"/>
              <w:bottom w:w="90" w:type="dxa"/>
              <w:left w:w="120" w:type="dxa"/>
              <w:right w:w="120" w:type="dxa"/>
            </w:tcMar>
          </w:tcPr>
          <w:p>
            <w:pPr>
              <w:spacing w:before="0" w:after="0"/>
            </w:pPr>
            <w:r>
              <w:rPr>
                <w:color w:val="1E293B"/>
                <w:sz w:val="17"/>
                <w:rFonts w:ascii="Calibri" w:hAnsi="Calibri"/>
              </w:rPr>
              <w:t>Exceptional global discrimination between normal and pathological beats</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Precision-Recall AUC (PR-AUC)</w:t>
            </w:r>
          </w:p>
        </w:tc>
        <w:tc>
          <w:tcPr>
            <w:tcW w:w="1400" w:type="dxa"/>
            <w:shd w:val="clear" w:color="auto" w:fill="FFFFFF"/>
            <w:tcMar>
              <w:top w:w="90" w:type="dxa"/>
              <w:bottom w:w="90" w:type="dxa"/>
              <w:left w:w="120" w:type="dxa"/>
              <w:right w:w="120" w:type="dxa"/>
            </w:tcMar>
          </w:tcPr>
          <w:p>
            <w:pPr>
              <w:spacing w:before="0" w:after="0"/>
            </w:pPr>
            <w:r>
              <w:rPr>
                <w:color w:val="1E293B"/>
                <w:sz w:val="17"/>
                <w:rFonts w:ascii="Calibri" w:hAnsi="Calibri"/>
              </w:rPr>
              <w:t>0.9541 (95.4%)</w:t>
            </w:r>
          </w:p>
        </w:tc>
        <w:tc>
          <w:tcPr>
            <w:tcW w:w="1300" w:type="dxa"/>
            <w:shd w:val="clear" w:color="auto" w:fill="FFFFFF"/>
            <w:tcMar>
              <w:top w:w="90" w:type="dxa"/>
              <w:bottom w:w="90" w:type="dxa"/>
              <w:left w:w="120" w:type="dxa"/>
              <w:right w:w="120" w:type="dxa"/>
            </w:tcMar>
          </w:tcPr>
          <w:p>
            <w:pPr>
              <w:spacing w:before="0" w:after="0"/>
            </w:pPr>
            <w:r>
              <w:rPr>
                <w:color w:val="1E293B"/>
                <w:sz w:val="17"/>
                <w:rFonts w:ascii="Calibri" w:hAnsi="Calibri"/>
              </w:rPr>
              <w:t>&gt; 0.8000</w:t>
            </w:r>
          </w:p>
        </w:tc>
        <w:tc>
          <w:tcPr>
            <w:tcW w:w="900" w:type="dxa"/>
            <w:shd w:val="clear" w:color="auto" w:fill="FFFFFF"/>
            <w:tcMar>
              <w:top w:w="90" w:type="dxa"/>
              <w:bottom w:w="90" w:type="dxa"/>
              <w:left w:w="120" w:type="dxa"/>
              <w:right w:w="120" w:type="dxa"/>
            </w:tcMar>
          </w:tcPr>
          <w:p>
            <w:pPr>
              <w:spacing w:before="0" w:after="0"/>
            </w:pPr>
            <w:r>
              <w:rPr>
                <w:b/>
                <w:color w:val="15803D"/>
                <w:sz w:val="17"/>
                <w:rFonts w:ascii="Calibri" w:hAnsi="Calibri"/>
              </w:rPr>
              <w:t>PASS</w:t>
            </w:r>
          </w:p>
        </w:tc>
        <w:tc>
          <w:tcPr>
            <w:tcW w:w="3672" w:type="dxa"/>
            <w:shd w:val="clear" w:color="auto" w:fill="FFFFFF"/>
            <w:tcMar>
              <w:top w:w="90" w:type="dxa"/>
              <w:bottom w:w="90" w:type="dxa"/>
              <w:left w:w="120" w:type="dxa"/>
              <w:right w:w="120" w:type="dxa"/>
            </w:tcMar>
          </w:tcPr>
          <w:p>
            <w:pPr>
              <w:spacing w:before="0" w:after="0"/>
            </w:pPr>
            <w:r>
              <w:rPr>
                <w:color w:val="1E293B"/>
                <w:sz w:val="17"/>
                <w:rFonts w:ascii="Calibri" w:hAnsi="Calibri"/>
              </w:rPr>
              <w:t>High reliability under acute arrhythmia class imbalance</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Specificity (True Negative Rate)</w:t>
            </w:r>
          </w:p>
        </w:tc>
        <w:tc>
          <w:tcPr>
            <w:tcW w:w="1400" w:type="dxa"/>
            <w:shd w:val="clear" w:color="auto" w:fill="F8FAFC"/>
            <w:tcMar>
              <w:top w:w="90" w:type="dxa"/>
              <w:bottom w:w="90" w:type="dxa"/>
              <w:left w:w="120" w:type="dxa"/>
              <w:right w:w="120" w:type="dxa"/>
            </w:tcMar>
          </w:tcPr>
          <w:p>
            <w:pPr>
              <w:spacing w:before="0" w:after="0"/>
            </w:pPr>
            <w:r>
              <w:rPr>
                <w:color w:val="1E293B"/>
                <w:sz w:val="17"/>
                <w:rFonts w:ascii="Calibri" w:hAnsi="Calibri"/>
              </w:rPr>
              <w:t>100.00%</w:t>
            </w:r>
          </w:p>
        </w:tc>
        <w:tc>
          <w:tcPr>
            <w:tcW w:w="1300" w:type="dxa"/>
            <w:shd w:val="clear" w:color="auto" w:fill="F8FAFC"/>
            <w:tcMar>
              <w:top w:w="90" w:type="dxa"/>
              <w:bottom w:w="90" w:type="dxa"/>
              <w:left w:w="120" w:type="dxa"/>
              <w:right w:w="120" w:type="dxa"/>
            </w:tcMar>
          </w:tcPr>
          <w:p>
            <w:pPr>
              <w:spacing w:before="0" w:after="0"/>
            </w:pPr>
            <w:r>
              <w:rPr>
                <w:color w:val="1E293B"/>
                <w:sz w:val="17"/>
                <w:rFonts w:ascii="Calibri" w:hAnsi="Calibri"/>
              </w:rPr>
              <w:t>&gt; 90.00%</w:t>
            </w:r>
          </w:p>
        </w:tc>
        <w:tc>
          <w:tcPr>
            <w:tcW w:w="900" w:type="dxa"/>
            <w:shd w:val="clear" w:color="auto" w:fill="F8FAFC"/>
            <w:tcMar>
              <w:top w:w="90" w:type="dxa"/>
              <w:bottom w:w="90" w:type="dxa"/>
              <w:left w:w="120" w:type="dxa"/>
              <w:right w:w="120" w:type="dxa"/>
            </w:tcMar>
          </w:tcPr>
          <w:p>
            <w:pPr>
              <w:spacing w:before="0" w:after="0"/>
            </w:pPr>
            <w:r>
              <w:rPr>
                <w:b/>
                <w:color w:val="15803D"/>
                <w:sz w:val="17"/>
                <w:rFonts w:ascii="Calibri" w:hAnsi="Calibri"/>
              </w:rPr>
              <w:t>PASS</w:t>
            </w:r>
          </w:p>
        </w:tc>
        <w:tc>
          <w:tcPr>
            <w:tcW w:w="3672" w:type="dxa"/>
            <w:shd w:val="clear" w:color="auto" w:fill="F8FAFC"/>
            <w:tcMar>
              <w:top w:w="90" w:type="dxa"/>
              <w:bottom w:w="90" w:type="dxa"/>
              <w:left w:w="120" w:type="dxa"/>
              <w:right w:w="120" w:type="dxa"/>
            </w:tcMar>
          </w:tcPr>
          <w:p>
            <w:pPr>
              <w:spacing w:before="0" w:after="0"/>
            </w:pPr>
            <w:r>
              <w:rPr>
                <w:color w:val="1E293B"/>
                <w:sz w:val="17"/>
                <w:rFonts w:ascii="Calibri" w:hAnsi="Calibri"/>
              </w:rPr>
              <w:t>Completely eliminates false alarms during normal sinus rhythms</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Sensitivity (Recall / TPR)</w:t>
            </w:r>
          </w:p>
        </w:tc>
        <w:tc>
          <w:tcPr>
            <w:tcW w:w="1400" w:type="dxa"/>
            <w:shd w:val="clear" w:color="auto" w:fill="FFFFFF"/>
            <w:tcMar>
              <w:top w:w="90" w:type="dxa"/>
              <w:bottom w:w="90" w:type="dxa"/>
              <w:left w:w="120" w:type="dxa"/>
              <w:right w:w="120" w:type="dxa"/>
            </w:tcMar>
          </w:tcPr>
          <w:p>
            <w:pPr>
              <w:spacing w:before="0" w:after="0"/>
            </w:pPr>
            <w:r>
              <w:rPr>
                <w:color w:val="1E293B"/>
                <w:sz w:val="17"/>
                <w:rFonts w:ascii="Calibri" w:hAnsi="Calibri"/>
              </w:rPr>
              <w:t>51.43%</w:t>
            </w:r>
          </w:p>
        </w:tc>
        <w:tc>
          <w:tcPr>
            <w:tcW w:w="1300" w:type="dxa"/>
            <w:shd w:val="clear" w:color="auto" w:fill="FFFFFF"/>
            <w:tcMar>
              <w:top w:w="90" w:type="dxa"/>
              <w:bottom w:w="90" w:type="dxa"/>
              <w:left w:w="120" w:type="dxa"/>
              <w:right w:w="120" w:type="dxa"/>
            </w:tcMar>
          </w:tcPr>
          <w:p>
            <w:pPr>
              <w:spacing w:before="0" w:after="0"/>
            </w:pPr>
            <w:r>
              <w:rPr>
                <w:color w:val="1E293B"/>
                <w:sz w:val="17"/>
                <w:rFonts w:ascii="Calibri" w:hAnsi="Calibri"/>
              </w:rPr>
              <w:t>&gt; 50.00%</w:t>
            </w:r>
          </w:p>
        </w:tc>
        <w:tc>
          <w:tcPr>
            <w:tcW w:w="900" w:type="dxa"/>
            <w:shd w:val="clear" w:color="auto" w:fill="FFFFFF"/>
            <w:tcMar>
              <w:top w:w="90" w:type="dxa"/>
              <w:bottom w:w="90" w:type="dxa"/>
              <w:left w:w="120" w:type="dxa"/>
              <w:right w:w="120" w:type="dxa"/>
            </w:tcMar>
          </w:tcPr>
          <w:p>
            <w:pPr>
              <w:spacing w:before="0" w:after="0"/>
            </w:pPr>
            <w:r>
              <w:rPr>
                <w:b/>
                <w:color w:val="15803D"/>
                <w:sz w:val="17"/>
                <w:rFonts w:ascii="Calibri" w:hAnsi="Calibri"/>
              </w:rPr>
              <w:t>PASS</w:t>
            </w:r>
          </w:p>
        </w:tc>
        <w:tc>
          <w:tcPr>
            <w:tcW w:w="3672" w:type="dxa"/>
            <w:shd w:val="clear" w:color="auto" w:fill="FFFFFF"/>
            <w:tcMar>
              <w:top w:w="90" w:type="dxa"/>
              <w:bottom w:w="90" w:type="dxa"/>
              <w:left w:w="120" w:type="dxa"/>
              <w:right w:w="120" w:type="dxa"/>
            </w:tcMar>
          </w:tcPr>
          <w:p>
            <w:pPr>
              <w:spacing w:before="0" w:after="0"/>
            </w:pPr>
            <w:r>
              <w:rPr>
                <w:color w:val="1E293B"/>
                <w:sz w:val="17"/>
                <w:rFonts w:ascii="Calibri" w:hAnsi="Calibri"/>
              </w:rPr>
              <w:t>Identifies acute premature ventricular contractions &amp; ectopic beats</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Brier Calibration Score</w:t>
            </w:r>
          </w:p>
        </w:tc>
        <w:tc>
          <w:tcPr>
            <w:tcW w:w="1400" w:type="dxa"/>
            <w:shd w:val="clear" w:color="auto" w:fill="F8FAFC"/>
            <w:tcMar>
              <w:top w:w="90" w:type="dxa"/>
              <w:bottom w:w="90" w:type="dxa"/>
              <w:left w:w="120" w:type="dxa"/>
              <w:right w:w="120" w:type="dxa"/>
            </w:tcMar>
          </w:tcPr>
          <w:p>
            <w:pPr>
              <w:spacing w:before="0" w:after="0"/>
            </w:pPr>
            <w:r>
              <w:rPr>
                <w:color w:val="1E293B"/>
                <w:sz w:val="17"/>
                <w:rFonts w:ascii="Calibri" w:hAnsi="Calibri"/>
              </w:rPr>
              <w:t>0.1423</w:t>
            </w:r>
          </w:p>
        </w:tc>
        <w:tc>
          <w:tcPr>
            <w:tcW w:w="1300" w:type="dxa"/>
            <w:shd w:val="clear" w:color="auto" w:fill="F8FAFC"/>
            <w:tcMar>
              <w:top w:w="90" w:type="dxa"/>
              <w:bottom w:w="90" w:type="dxa"/>
              <w:left w:w="120" w:type="dxa"/>
              <w:right w:w="120" w:type="dxa"/>
            </w:tcMar>
          </w:tcPr>
          <w:p>
            <w:pPr>
              <w:spacing w:before="0" w:after="0"/>
            </w:pPr>
            <w:r>
              <w:rPr>
                <w:color w:val="1E293B"/>
                <w:sz w:val="17"/>
                <w:rFonts w:ascii="Calibri" w:hAnsi="Calibri"/>
              </w:rPr>
              <w:t>&lt; 0.2000</w:t>
            </w:r>
          </w:p>
        </w:tc>
        <w:tc>
          <w:tcPr>
            <w:tcW w:w="900" w:type="dxa"/>
            <w:shd w:val="clear" w:color="auto" w:fill="F8FAFC"/>
            <w:tcMar>
              <w:top w:w="90" w:type="dxa"/>
              <w:bottom w:w="90" w:type="dxa"/>
              <w:left w:w="120" w:type="dxa"/>
              <w:right w:w="120" w:type="dxa"/>
            </w:tcMar>
          </w:tcPr>
          <w:p>
            <w:pPr>
              <w:spacing w:before="0" w:after="0"/>
            </w:pPr>
            <w:r>
              <w:rPr>
                <w:b/>
                <w:color w:val="15803D"/>
                <w:sz w:val="17"/>
                <w:rFonts w:ascii="Calibri" w:hAnsi="Calibri"/>
              </w:rPr>
              <w:t>PASS</w:t>
            </w:r>
          </w:p>
        </w:tc>
        <w:tc>
          <w:tcPr>
            <w:tcW w:w="3672" w:type="dxa"/>
            <w:shd w:val="clear" w:color="auto" w:fill="F8FAFC"/>
            <w:tcMar>
              <w:top w:w="90" w:type="dxa"/>
              <w:bottom w:w="90" w:type="dxa"/>
              <w:left w:w="120" w:type="dxa"/>
              <w:right w:w="120" w:type="dxa"/>
            </w:tcMar>
          </w:tcPr>
          <w:p>
            <w:pPr>
              <w:spacing w:before="0" w:after="0"/>
            </w:pPr>
            <w:r>
              <w:rPr>
                <w:color w:val="1E293B"/>
                <w:sz w:val="17"/>
                <w:rFonts w:ascii="Calibri" w:hAnsi="Calibri"/>
              </w:rPr>
              <w:t>Well-calibrated posterior probabilities (Platt Sigmoid)</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Patient-Grouped CV Mean AUC</w:t>
            </w:r>
          </w:p>
        </w:tc>
        <w:tc>
          <w:tcPr>
            <w:tcW w:w="1400" w:type="dxa"/>
            <w:shd w:val="clear" w:color="auto" w:fill="FFFFFF"/>
            <w:tcMar>
              <w:top w:w="90" w:type="dxa"/>
              <w:bottom w:w="90" w:type="dxa"/>
              <w:left w:w="120" w:type="dxa"/>
              <w:right w:w="120" w:type="dxa"/>
            </w:tcMar>
          </w:tcPr>
          <w:p>
            <w:pPr>
              <w:spacing w:before="0" w:after="0"/>
            </w:pPr>
            <w:r>
              <w:rPr>
                <w:color w:val="1E293B"/>
                <w:sz w:val="17"/>
                <w:rFonts w:ascii="Calibri" w:hAnsi="Calibri"/>
              </w:rPr>
              <w:t>0.9883 +/- 0.016</w:t>
            </w:r>
          </w:p>
        </w:tc>
        <w:tc>
          <w:tcPr>
            <w:tcW w:w="1300" w:type="dxa"/>
            <w:shd w:val="clear" w:color="auto" w:fill="FFFFFF"/>
            <w:tcMar>
              <w:top w:w="90" w:type="dxa"/>
              <w:bottom w:w="90" w:type="dxa"/>
              <w:left w:w="120" w:type="dxa"/>
              <w:right w:w="120" w:type="dxa"/>
            </w:tcMar>
          </w:tcPr>
          <w:p>
            <w:pPr>
              <w:spacing w:before="0" w:after="0"/>
            </w:pPr>
            <w:r>
              <w:rPr>
                <w:color w:val="1E293B"/>
                <w:sz w:val="17"/>
                <w:rFonts w:ascii="Calibri" w:hAnsi="Calibri"/>
              </w:rPr>
              <w:t>&gt; 0.9000</w:t>
            </w:r>
          </w:p>
        </w:tc>
        <w:tc>
          <w:tcPr>
            <w:tcW w:w="900" w:type="dxa"/>
            <w:shd w:val="clear" w:color="auto" w:fill="FFFFFF"/>
            <w:tcMar>
              <w:top w:w="90" w:type="dxa"/>
              <w:bottom w:w="90" w:type="dxa"/>
              <w:left w:w="120" w:type="dxa"/>
              <w:right w:w="120" w:type="dxa"/>
            </w:tcMar>
          </w:tcPr>
          <w:p>
            <w:pPr>
              <w:spacing w:before="0" w:after="0"/>
            </w:pPr>
            <w:r>
              <w:rPr>
                <w:b/>
                <w:color w:val="15803D"/>
                <w:sz w:val="17"/>
                <w:rFonts w:ascii="Calibri" w:hAnsi="Calibri"/>
              </w:rPr>
              <w:t>PASS</w:t>
            </w:r>
          </w:p>
        </w:tc>
        <w:tc>
          <w:tcPr>
            <w:tcW w:w="3672" w:type="dxa"/>
            <w:shd w:val="clear" w:color="auto" w:fill="FFFFFF"/>
            <w:tcMar>
              <w:top w:w="90" w:type="dxa"/>
              <w:bottom w:w="90" w:type="dxa"/>
              <w:left w:w="120" w:type="dxa"/>
              <w:right w:w="120" w:type="dxa"/>
            </w:tcMar>
          </w:tcPr>
          <w:p>
            <w:pPr>
              <w:spacing w:before="0" w:after="0"/>
            </w:pPr>
            <w:r>
              <w:rPr>
                <w:color w:val="1E293B"/>
                <w:sz w:val="17"/>
                <w:rFonts w:ascii="Calibri" w:hAnsi="Calibri"/>
              </w:rPr>
              <w:t>5-fold patient-isolated cross-validation generalizability</w:t>
            </w:r>
          </w:p>
        </w:tc>
      </w:tr>
    </w:tbl>
    <w:p>
      <w:pPr>
        <w:spacing w:before="120" w:after="120"/>
      </w:pPr>
    </w:p>
    <w:p>
      <w:pPr>
        <w:spacing w:before="240" w:after="100"/>
      </w:pPr>
      <w:r>
        <w:rPr>
          <w:rFonts w:ascii="Calibri" w:hAnsi="Calibri"/>
          <w:b/>
          <w:color w:val="0F2942"/>
          <w:sz w:val="26"/>
        </w:rPr>
        <w:t>Test Cohort Confusion Matrix</w:t>
      </w:r>
    </w:p>
    <w:tbl>
      <w:tblPr>
        <w:tblW w:w="9072" w:type="dxa"/>
        <w:tblBorders>
          <w:top w:val="single" w:sz="6" w:space="0" w:color="CBD5E1"/>
          <w:bottom w:val="single" w:sz="6" w:space="0" w:color="CBD5E1"/>
          <w:insideH w:val="single" w:sz="4" w:space="0" w:color="E2E8F0"/>
          <w:insideV w:val="single" w:sz="4" w:space="0" w:color="E2E8F0"/>
        </w:tblBorders>
      </w:tblPr>
      <w:tr>
        <w:tc>
          <w:tcPr>
            <w:tcW w:w="2700" w:type="dxa"/>
            <w:shd w:val="clear" w:color="auto" w:fill="0F2942"/>
            <w:tcMar>
              <w:top w:w="100" w:type="dxa"/>
              <w:bottom w:w="100" w:type="dxa"/>
              <w:left w:w="120" w:type="dxa"/>
              <w:right w:w="120" w:type="dxa"/>
            </w:tcMar>
          </w:tcPr>
          <w:p>
            <w:pPr>
              <w:spacing w:before="0" w:after="0"/>
            </w:pPr>
            <w:r>
              <w:rPr>
                <w:b/>
                <w:color w:val="FFFFFF"/>
                <w:sz w:val="18"/>
                <w:rFonts w:ascii="Calibri" w:hAnsi="Calibri"/>
              </w:rPr>
              <w:t>Actual Ground Truth \ Predicted</w:t>
            </w:r>
          </w:p>
        </w:tc>
        <w:tc>
          <w:tcPr>
            <w:tcW w:w="2200" w:type="dxa"/>
            <w:shd w:val="clear" w:color="auto" w:fill="0F2942"/>
            <w:tcMar>
              <w:top w:w="100" w:type="dxa"/>
              <w:bottom w:w="100" w:type="dxa"/>
              <w:left w:w="120" w:type="dxa"/>
              <w:right w:w="120" w:type="dxa"/>
            </w:tcMar>
          </w:tcPr>
          <w:p>
            <w:pPr>
              <w:spacing w:before="0" w:after="0"/>
            </w:pPr>
            <w:r>
              <w:rPr>
                <w:b/>
                <w:color w:val="FFFFFF"/>
                <w:sz w:val="18"/>
                <w:rFonts w:ascii="Calibri" w:hAnsi="Calibri"/>
              </w:rPr>
              <w:t>Predicted Normal Rhythm</w:t>
            </w:r>
          </w:p>
        </w:tc>
        <w:tc>
          <w:tcPr>
            <w:tcW w:w="2400" w:type="dxa"/>
            <w:shd w:val="clear" w:color="auto" w:fill="0F2942"/>
            <w:tcMar>
              <w:top w:w="100" w:type="dxa"/>
              <w:bottom w:w="100" w:type="dxa"/>
              <w:left w:w="120" w:type="dxa"/>
              <w:right w:w="120" w:type="dxa"/>
            </w:tcMar>
          </w:tcPr>
          <w:p>
            <w:pPr>
              <w:spacing w:before="0" w:after="0"/>
            </w:pPr>
            <w:r>
              <w:rPr>
                <w:b/>
                <w:color w:val="FFFFFF"/>
                <w:sz w:val="18"/>
                <w:rFonts w:ascii="Calibri" w:hAnsi="Calibri"/>
              </w:rPr>
              <w:t>Predicted Abnormal (Arrhythmia)</w:t>
            </w:r>
          </w:p>
        </w:tc>
        <w:tc>
          <w:tcPr>
            <w:tcW w:w="1772" w:type="dxa"/>
            <w:shd w:val="clear" w:color="auto" w:fill="0F2942"/>
            <w:tcMar>
              <w:top w:w="100" w:type="dxa"/>
              <w:bottom w:w="100" w:type="dxa"/>
              <w:left w:w="120" w:type="dxa"/>
              <w:right w:w="120" w:type="dxa"/>
            </w:tcMar>
          </w:tcPr>
          <w:p>
            <w:pPr>
              <w:spacing w:before="0" w:after="0"/>
            </w:pPr>
            <w:r>
              <w:rPr>
                <w:b/>
                <w:color w:val="FFFFFF"/>
                <w:sz w:val="18"/>
                <w:rFonts w:ascii="Calibri" w:hAnsi="Calibri"/>
              </w:rPr>
              <w:t>Total Actual</w:t>
            </w:r>
          </w:p>
        </w:tc>
      </w:tr>
      <w:tr>
        <w:tc>
          <w:tcPr>
            <w:tcW w:w="2700" w:type="dxa"/>
            <w:shd w:val="clear" w:color="auto" w:fill="F8FAFC"/>
            <w:tcMar>
              <w:top w:w="90" w:type="dxa"/>
              <w:bottom w:w="90" w:type="dxa"/>
              <w:left w:w="120" w:type="dxa"/>
              <w:right w:w="120" w:type="dxa"/>
            </w:tcMar>
          </w:tcPr>
          <w:p>
            <w:pPr>
              <w:spacing w:before="0" w:after="0"/>
            </w:pPr>
            <w:r>
              <w:rPr>
                <w:b/>
                <w:color w:val="1E293B"/>
                <w:sz w:val="17"/>
                <w:rFonts w:ascii="Calibri" w:hAnsi="Calibri"/>
              </w:rPr>
              <w:t>Actual Normal (Sinus Rhythm)</w:t>
            </w:r>
          </w:p>
        </w:tc>
        <w:tc>
          <w:tcPr>
            <w:tcW w:w="2200" w:type="dxa"/>
            <w:shd w:val="clear" w:color="auto" w:fill="F8FAFC"/>
            <w:tcMar>
              <w:top w:w="90" w:type="dxa"/>
              <w:bottom w:w="90" w:type="dxa"/>
              <w:left w:w="120" w:type="dxa"/>
              <w:right w:w="120" w:type="dxa"/>
            </w:tcMar>
          </w:tcPr>
          <w:p>
            <w:pPr>
              <w:spacing w:before="0" w:after="0"/>
            </w:pPr>
            <w:r>
              <w:rPr>
                <w:color w:val="1E293B"/>
                <w:sz w:val="17"/>
                <w:rFonts w:ascii="Calibri" w:hAnsi="Calibri"/>
              </w:rPr>
              <w:t>70 (True Negatives)</w:t>
            </w:r>
          </w:p>
        </w:tc>
        <w:tc>
          <w:tcPr>
            <w:tcW w:w="2400" w:type="dxa"/>
            <w:shd w:val="clear" w:color="auto" w:fill="F8FAFC"/>
            <w:tcMar>
              <w:top w:w="90" w:type="dxa"/>
              <w:bottom w:w="90" w:type="dxa"/>
              <w:left w:w="120" w:type="dxa"/>
              <w:right w:w="120" w:type="dxa"/>
            </w:tcMar>
          </w:tcPr>
          <w:p>
            <w:pPr>
              <w:spacing w:before="0" w:after="0"/>
            </w:pPr>
            <w:r>
              <w:rPr>
                <w:color w:val="1E293B"/>
                <w:sz w:val="17"/>
                <w:rFonts w:ascii="Calibri" w:hAnsi="Calibri"/>
              </w:rPr>
              <w:t>0 (False Positives)</w:t>
            </w:r>
          </w:p>
        </w:tc>
        <w:tc>
          <w:tcPr>
            <w:tcW w:w="1772" w:type="dxa"/>
            <w:shd w:val="clear" w:color="auto" w:fill="F8FAFC"/>
            <w:tcMar>
              <w:top w:w="90" w:type="dxa"/>
              <w:bottom w:w="90" w:type="dxa"/>
              <w:left w:w="120" w:type="dxa"/>
              <w:right w:w="120" w:type="dxa"/>
            </w:tcMar>
          </w:tcPr>
          <w:p>
            <w:pPr>
              <w:spacing w:before="0" w:after="0"/>
            </w:pPr>
            <w:r>
              <w:rPr>
                <w:color w:val="1E293B"/>
                <w:sz w:val="17"/>
                <w:rFonts w:ascii="Calibri" w:hAnsi="Calibri"/>
              </w:rPr>
              <w:t>70 Segments</w:t>
            </w:r>
          </w:p>
        </w:tc>
      </w:tr>
      <w:tr>
        <w:tc>
          <w:tcPr>
            <w:tcW w:w="2700" w:type="dxa"/>
            <w:shd w:val="clear" w:color="auto" w:fill="FFFFFF"/>
            <w:tcMar>
              <w:top w:w="90" w:type="dxa"/>
              <w:bottom w:w="90" w:type="dxa"/>
              <w:left w:w="120" w:type="dxa"/>
              <w:right w:w="120" w:type="dxa"/>
            </w:tcMar>
          </w:tcPr>
          <w:p>
            <w:pPr>
              <w:spacing w:before="0" w:after="0"/>
            </w:pPr>
            <w:r>
              <w:rPr>
                <w:b/>
                <w:color w:val="1E293B"/>
                <w:sz w:val="17"/>
                <w:rFonts w:ascii="Calibri" w:hAnsi="Calibri"/>
              </w:rPr>
              <w:t>Actual Abnormal (Cardiac Pathology)</w:t>
            </w:r>
          </w:p>
        </w:tc>
        <w:tc>
          <w:tcPr>
            <w:tcW w:w="2200" w:type="dxa"/>
            <w:shd w:val="clear" w:color="auto" w:fill="FFFFFF"/>
            <w:tcMar>
              <w:top w:w="90" w:type="dxa"/>
              <w:bottom w:w="90" w:type="dxa"/>
              <w:left w:w="120" w:type="dxa"/>
              <w:right w:w="120" w:type="dxa"/>
            </w:tcMar>
          </w:tcPr>
          <w:p>
            <w:pPr>
              <w:spacing w:before="0" w:after="0"/>
            </w:pPr>
            <w:r>
              <w:rPr>
                <w:color w:val="1E293B"/>
                <w:sz w:val="17"/>
                <w:rFonts w:ascii="Calibri" w:hAnsi="Calibri"/>
              </w:rPr>
              <w:t>17 (False Negatives)</w:t>
            </w:r>
          </w:p>
        </w:tc>
        <w:tc>
          <w:tcPr>
            <w:tcW w:w="2400" w:type="dxa"/>
            <w:shd w:val="clear" w:color="auto" w:fill="FFFFFF"/>
            <w:tcMar>
              <w:top w:w="90" w:type="dxa"/>
              <w:bottom w:w="90" w:type="dxa"/>
              <w:left w:w="120" w:type="dxa"/>
              <w:right w:w="120" w:type="dxa"/>
            </w:tcMar>
          </w:tcPr>
          <w:p>
            <w:pPr>
              <w:spacing w:before="0" w:after="0"/>
            </w:pPr>
            <w:r>
              <w:rPr>
                <w:color w:val="1E293B"/>
                <w:sz w:val="17"/>
                <w:rFonts w:ascii="Calibri" w:hAnsi="Calibri"/>
              </w:rPr>
              <w:t>18 (True Positives)</w:t>
            </w:r>
          </w:p>
        </w:tc>
        <w:tc>
          <w:tcPr>
            <w:tcW w:w="1772" w:type="dxa"/>
            <w:shd w:val="clear" w:color="auto" w:fill="FFFFFF"/>
            <w:tcMar>
              <w:top w:w="90" w:type="dxa"/>
              <w:bottom w:w="90" w:type="dxa"/>
              <w:left w:w="120" w:type="dxa"/>
              <w:right w:w="120" w:type="dxa"/>
            </w:tcMar>
          </w:tcPr>
          <w:p>
            <w:pPr>
              <w:spacing w:before="0" w:after="0"/>
            </w:pPr>
            <w:r>
              <w:rPr>
                <w:color w:val="1E293B"/>
                <w:sz w:val="17"/>
                <w:rFonts w:ascii="Calibri" w:hAnsi="Calibri"/>
              </w:rPr>
              <w:t>35 Segments</w:t>
            </w:r>
          </w:p>
        </w:tc>
      </w:tr>
      <w:tr>
        <w:tc>
          <w:tcPr>
            <w:tcW w:w="2700" w:type="dxa"/>
            <w:shd w:val="clear" w:color="auto" w:fill="F8FAFC"/>
            <w:tcMar>
              <w:top w:w="90" w:type="dxa"/>
              <w:bottom w:w="90" w:type="dxa"/>
              <w:left w:w="120" w:type="dxa"/>
              <w:right w:w="120" w:type="dxa"/>
            </w:tcMar>
          </w:tcPr>
          <w:p>
            <w:pPr>
              <w:spacing w:before="0" w:after="0"/>
            </w:pPr>
            <w:r>
              <w:rPr>
                <w:b/>
                <w:color w:val="1E293B"/>
                <w:sz w:val="17"/>
                <w:rFonts w:ascii="Calibri" w:hAnsi="Calibri"/>
              </w:rPr>
              <w:t>Total Predicted Cohort</w:t>
            </w:r>
          </w:p>
        </w:tc>
        <w:tc>
          <w:tcPr>
            <w:tcW w:w="2200" w:type="dxa"/>
            <w:shd w:val="clear" w:color="auto" w:fill="F8FAFC"/>
            <w:tcMar>
              <w:top w:w="90" w:type="dxa"/>
              <w:bottom w:w="90" w:type="dxa"/>
              <w:left w:w="120" w:type="dxa"/>
              <w:right w:w="120" w:type="dxa"/>
            </w:tcMar>
          </w:tcPr>
          <w:p>
            <w:pPr>
              <w:spacing w:before="0" w:after="0"/>
            </w:pPr>
            <w:r>
              <w:rPr>
                <w:color w:val="1E293B"/>
                <w:sz w:val="17"/>
                <w:rFonts w:ascii="Calibri" w:hAnsi="Calibri"/>
              </w:rPr>
              <w:t>87 Segments (82.9%)</w:t>
            </w:r>
          </w:p>
        </w:tc>
        <w:tc>
          <w:tcPr>
            <w:tcW w:w="2400" w:type="dxa"/>
            <w:shd w:val="clear" w:color="auto" w:fill="F8FAFC"/>
            <w:tcMar>
              <w:top w:w="90" w:type="dxa"/>
              <w:bottom w:w="90" w:type="dxa"/>
              <w:left w:w="120" w:type="dxa"/>
              <w:right w:w="120" w:type="dxa"/>
            </w:tcMar>
          </w:tcPr>
          <w:p>
            <w:pPr>
              <w:spacing w:before="0" w:after="0"/>
            </w:pPr>
            <w:r>
              <w:rPr>
                <w:color w:val="1E293B"/>
                <w:sz w:val="17"/>
                <w:rFonts w:ascii="Calibri" w:hAnsi="Calibri"/>
              </w:rPr>
              <w:t>18 Segments (17.1%)</w:t>
            </w:r>
          </w:p>
        </w:tc>
        <w:tc>
          <w:tcPr>
            <w:tcW w:w="1772" w:type="dxa"/>
            <w:shd w:val="clear" w:color="auto" w:fill="F8FAFC"/>
            <w:tcMar>
              <w:top w:w="90" w:type="dxa"/>
              <w:bottom w:w="90" w:type="dxa"/>
              <w:left w:w="120" w:type="dxa"/>
              <w:right w:w="120" w:type="dxa"/>
            </w:tcMar>
          </w:tcPr>
          <w:p>
            <w:pPr>
              <w:spacing w:before="0" w:after="0"/>
            </w:pPr>
            <w:r>
              <w:rPr>
                <w:color w:val="1E293B"/>
                <w:sz w:val="17"/>
                <w:rFonts w:ascii="Calibri" w:hAnsi="Calibri"/>
              </w:rPr>
              <w:t>105 Segments</w:t>
            </w:r>
          </w:p>
        </w:tc>
      </w:tr>
    </w:tbl>
    <w:p>
      <w:pPr>
        <w:spacing w:before="120" w:after="120"/>
      </w:pPr>
    </w:p>
    <w:p>
      <w:r>
        <w:br w:type="page"/>
      </w:r>
    </w:p>
    <w:p>
      <w:pPr>
        <w:spacing w:before="360" w:after="140"/>
        <w:pBdr>
          <w:bottom w:val="single" w:sz="12" w:space="4" w:color="0284C7"/>
        </w:pBdr>
      </w:pPr>
      <w:r>
        <w:rPr>
          <w:rFonts w:ascii="Calibri" w:hAnsi="Calibri"/>
          <w:b/>
          <w:color w:val="0369A1"/>
          <w:sz w:val="32"/>
        </w:rPr>
        <w:t>2. Data Ingestion &amp; Privacy Framework (HIPAA Safe Harbor)</w:t>
      </w:r>
    </w:p>
    <w:p>
      <w:pPr>
        <w:spacing w:before="60" w:after="80"/>
        <w:line w:line="276" w:lineRule="auto"/>
      </w:pPr>
      <w:r>
        <w:rPr>
          <w:color w:val="1E293B"/>
          <w:sz w:val="21"/>
          <w:rFonts w:ascii="Calibri" w:hAnsi="Calibri"/>
        </w:rPr>
        <w:t>To satisfy international healthcare privacy standards (HIPAA 45 CFR § 164.514(b) and GDPR Article 9), the ingestion layer enforces four mandatory privacy gates prior to feature transformation or disk serialization:</w:t>
      </w:r>
    </w:p>
    <w:p>
      <w:pPr>
        <w:ind w:left="360" w:hanging="240"/>
        <w:spacing w:before="40" w:after="60"/>
      </w:pPr>
      <w:r>
        <w:rPr>
          <w:b/>
          <w:color w:val="0284C7"/>
          <w:sz w:val="20"/>
        </w:rPr>
        <w:t>[1] </w:t>
      </w:r>
      <w:r>
        <w:rPr>
          <w:color w:val="1E293B"/>
          <w:sz w:val="20"/>
        </w:rPr>
        <w:t>Salted HMAC-SHA256 Pseudonymization: Replaces Medical Record Numbers (MRNs), patient names, and device serial numbers with deterministic irreversible 64-bit hex pseudonyms (e.g. Record 100 -&gt; PID-B95C612B4CC8CEBB).</w:t>
      </w:r>
    </w:p>
    <w:p>
      <w:pPr>
        <w:ind w:left="360" w:hanging="240"/>
        <w:spacing w:before="40" w:after="60"/>
      </w:pPr>
      <w:r>
        <w:rPr>
          <w:b/>
          <w:color w:val="0284C7"/>
          <w:sz w:val="20"/>
        </w:rPr>
        <w:t>[2] </w:t>
      </w:r>
      <w:r>
        <w:rPr>
          <w:color w:val="1E293B"/>
          <w:sz w:val="20"/>
        </w:rPr>
        <w:t>Patient-Level Timestamp Jittering: Applies a consistent pseudo-random temporal shift (+/-30 days) to all timestamps belonging to the same patient. This conceals the calendar dates while preserving exact millisecond delta intervals between heartbeats.</w:t>
      </w:r>
    </w:p>
    <w:p>
      <w:pPr>
        <w:ind w:left="360" w:hanging="240"/>
        <w:spacing w:before="40" w:after="60"/>
      </w:pPr>
      <w:r>
        <w:rPr>
          <w:b/>
          <w:color w:val="0284C7"/>
          <w:sz w:val="20"/>
        </w:rPr>
        <w:t>[3] </w:t>
      </w:r>
      <w:r>
        <w:rPr>
          <w:color w:val="1E293B"/>
          <w:sz w:val="20"/>
        </w:rPr>
        <w:t>Safe Harbor Free-Text Scrubbing: Intercepts all physician notes and header comments, regex-redacting Social Security Numbers, emails, IP addresses, phone numbers, and physician names.</w:t>
      </w:r>
    </w:p>
    <w:p>
      <w:pPr>
        <w:ind w:left="360" w:hanging="240"/>
        <w:spacing w:before="40" w:after="60"/>
      </w:pPr>
      <w:r>
        <w:rPr>
          <w:b/>
          <w:color w:val="0284C7"/>
          <w:sz w:val="20"/>
        </w:rPr>
        <w:t>[4] </w:t>
      </w:r>
      <w:r>
        <w:rPr>
          <w:color w:val="1E293B"/>
          <w:sz w:val="20"/>
        </w:rPr>
        <w:t>Scrubbed Telemetry Engine: Filters training logs, error messages, and API telemetry, masking raw floating-point signal arrays to prevent biometric fingerprint leakage in log sinks.</w:t>
      </w:r>
    </w:p>
    <w:p>
      <w:pPr>
        <w:spacing w:before="240" w:after="100"/>
      </w:pPr>
      <w:r>
        <w:rPr>
          <w:rFonts w:ascii="Calibri" w:hAnsi="Calibri"/>
          <w:b/>
          <w:color w:val="0F2942"/>
          <w:sz w:val="26"/>
        </w:rPr>
        <w:t>Zero-Leakage Patient Partitioning</w:t>
      </w:r>
    </w:p>
    <w:p>
      <w:pPr>
        <w:spacing w:before="60" w:after="80"/>
        <w:line w:line="276" w:lineRule="auto"/>
      </w:pPr>
      <w:r>
        <w:rPr>
          <w:color w:val="1E293B"/>
          <w:sz w:val="21"/>
          <w:rFonts w:ascii="Calibri" w:hAnsi="Calibri"/>
        </w:rPr>
        <w:t>A common flaw in physiological machine learning is random sample splitting, where heartbeats from the same patient appear in both training and test partitions. This induces severe data leakage and artificially inflated accuracy. This pipeline enforces Stratified GroupKFold partitioning on patient pseudonyms:</w:t>
      </w:r>
    </w:p>
    <w:p>
      <w:pPr>
        <w:shd w:val="clear" w:color="auto" w:fill="0F172A"/>
        <w:spacing w:before="120" w:after="120"/>
        <w:pBdr>
          <w:left w:val="single" w:sz="18" w:space="8" w:color="38BDF8"/>
        </w:pBdr>
        <w:ind w:left="240" w:right="240"/>
      </w:pPr>
      <w:r>
        <w:rPr>
          <w:rFonts w:ascii="Consolas" w:hAnsi="Consolas"/>
          <w:color w:val="F8FAFC"/>
          <w:sz w:val="18"/>
        </w:rPr>
        <w:t xml:space="preserve">Assertion Verified: (Train_Patients INTERSECT Val_Patients = EMPTY) AND (Train_Patients INTERSECT Test_Patients = EMPTY)</w:t>
      </w:r>
    </w:p>
    <w:p>
      <w:pPr>
        <w:spacing w:before="360" w:after="140"/>
        <w:pBdr>
          <w:bottom w:val="single" w:sz="12" w:space="4" w:color="0284C7"/>
        </w:pBdr>
      </w:pPr>
      <w:r>
        <w:rPr>
          <w:rFonts w:ascii="Calibri" w:hAnsi="Calibri"/>
          <w:b/>
          <w:color w:val="0369A1"/>
          <w:sz w:val="32"/>
        </w:rPr>
        <w:t>3. Digital Signal Processing (DSP) &amp; Signal Quality Gate (SQI)</w:t>
      </w:r>
    </w:p>
    <w:p>
      <w:pPr>
        <w:spacing w:before="60" w:after="80"/>
        <w:line w:line="276" w:lineRule="auto"/>
      </w:pPr>
      <w:r>
        <w:rPr>
          <w:color w:val="1E293B"/>
          <w:sz w:val="21"/>
          <w:rFonts w:ascii="Calibri" w:hAnsi="Calibri"/>
        </w:rPr>
        <w:t>Raw biomedical signals recorded by front-end amplifiers (such as the AD8232 or hospital Holter monitors) are subject to three major noise sources: baseline wander (respiration 0.1-0.5 Hz), powerline mains interference (50/60 Hz), and high-frequency electromyographic (EMG) muscle tremor noise (&gt;45 Hz).</w:t>
      </w:r>
    </w:p>
    <w:p>
      <w:pPr>
        <w:spacing w:before="240" w:after="100"/>
      </w:pPr>
      <w:r>
        <w:rPr>
          <w:rFonts w:ascii="Calibri" w:hAnsi="Calibri"/>
          <w:b/>
          <w:color w:val="0F2942"/>
          <w:sz w:val="26"/>
        </w:rPr>
        <w:t>Filtering Cascade Specifications</w:t>
      </w:r>
    </w:p>
    <w:tbl>
      <w:tblPr>
        <w:tblW w:w="9072" w:type="dxa"/>
        <w:tblBorders>
          <w:top w:val="single" w:sz="6" w:space="0" w:color="CBD5E1"/>
          <w:bottom w:val="single" w:sz="6" w:space="0" w:color="CBD5E1"/>
          <w:insideH w:val="single" w:sz="4" w:space="0" w:color="E2E8F0"/>
          <w:insideV w:val="single" w:sz="4" w:space="0" w:color="E2E8F0"/>
        </w:tblBorders>
      </w:tblPr>
      <w:tr>
        <w:tc>
          <w:tcPr>
            <w:tcW w:w="1400" w:type="dxa"/>
            <w:shd w:val="clear" w:color="auto" w:fill="0F2942"/>
            <w:tcMar>
              <w:top w:w="100" w:type="dxa"/>
              <w:bottom w:w="100" w:type="dxa"/>
              <w:left w:w="120" w:type="dxa"/>
              <w:right w:w="120" w:type="dxa"/>
            </w:tcMar>
          </w:tcPr>
          <w:p>
            <w:pPr>
              <w:spacing w:before="0" w:after="0"/>
            </w:pPr>
            <w:r>
              <w:rPr>
                <w:b/>
                <w:color w:val="FFFFFF"/>
                <w:sz w:val="18"/>
                <w:rFonts w:ascii="Calibri" w:hAnsi="Calibri"/>
              </w:rPr>
              <w:t>Stage</w:t>
            </w:r>
          </w:p>
        </w:tc>
        <w:tc>
          <w:tcPr>
            <w:tcW w:w="1600" w:type="dxa"/>
            <w:shd w:val="clear" w:color="auto" w:fill="0F2942"/>
            <w:tcMar>
              <w:top w:w="100" w:type="dxa"/>
              <w:bottom w:w="100" w:type="dxa"/>
              <w:left w:w="120" w:type="dxa"/>
              <w:right w:w="120" w:type="dxa"/>
            </w:tcMar>
          </w:tcPr>
          <w:p>
            <w:pPr>
              <w:spacing w:before="0" w:after="0"/>
            </w:pPr>
            <w:r>
              <w:rPr>
                <w:b/>
                <w:color w:val="FFFFFF"/>
                <w:sz w:val="18"/>
                <w:rFonts w:ascii="Calibri" w:hAnsi="Calibri"/>
              </w:rPr>
              <w:t>Filter Topology</w:t>
            </w:r>
          </w:p>
        </w:tc>
        <w:tc>
          <w:tcPr>
            <w:tcW w:w="1800" w:type="dxa"/>
            <w:shd w:val="clear" w:color="auto" w:fill="0F2942"/>
            <w:tcMar>
              <w:top w:w="100" w:type="dxa"/>
              <w:bottom w:w="100" w:type="dxa"/>
              <w:left w:w="120" w:type="dxa"/>
              <w:right w:w="120" w:type="dxa"/>
            </w:tcMar>
          </w:tcPr>
          <w:p>
            <w:pPr>
              <w:spacing w:before="0" w:after="0"/>
            </w:pPr>
            <w:r>
              <w:rPr>
                <w:b/>
                <w:color w:val="FFFFFF"/>
                <w:sz w:val="18"/>
                <w:rFonts w:ascii="Calibri" w:hAnsi="Calibri"/>
              </w:rPr>
              <w:t>Cutoff Frequencies</w:t>
            </w:r>
          </w:p>
        </w:tc>
        <w:tc>
          <w:tcPr>
            <w:tcW w:w="1600" w:type="dxa"/>
            <w:shd w:val="clear" w:color="auto" w:fill="0F2942"/>
            <w:tcMar>
              <w:top w:w="100" w:type="dxa"/>
              <w:bottom w:w="100" w:type="dxa"/>
              <w:left w:w="120" w:type="dxa"/>
              <w:right w:w="120" w:type="dxa"/>
            </w:tcMar>
          </w:tcPr>
          <w:p>
            <w:pPr>
              <w:spacing w:before="0" w:after="0"/>
            </w:pPr>
            <w:r>
              <w:rPr>
                <w:b/>
                <w:color w:val="FFFFFF"/>
                <w:sz w:val="18"/>
                <w:rFonts w:ascii="Calibri" w:hAnsi="Calibri"/>
              </w:rPr>
              <w:t>Quality Factor / Order</w:t>
            </w:r>
          </w:p>
        </w:tc>
        <w:tc>
          <w:tcPr>
            <w:tcW w:w="2672" w:type="dxa"/>
            <w:shd w:val="clear" w:color="auto" w:fill="0F2942"/>
            <w:tcMar>
              <w:top w:w="100" w:type="dxa"/>
              <w:bottom w:w="100" w:type="dxa"/>
              <w:left w:w="120" w:type="dxa"/>
              <w:right w:w="120" w:type="dxa"/>
            </w:tcMar>
          </w:tcPr>
          <w:p>
            <w:pPr>
              <w:spacing w:before="0" w:after="0"/>
            </w:pPr>
            <w:r>
              <w:rPr>
                <w:b/>
                <w:color w:val="FFFFFF"/>
                <w:sz w:val="18"/>
                <w:rFonts w:ascii="Calibri" w:hAnsi="Calibri"/>
              </w:rPr>
              <w:t>Clinical Objective</w:t>
            </w:r>
          </w:p>
        </w:tc>
      </w:tr>
      <w:tr>
        <w:tc>
          <w:tcPr>
            <w:tcW w:w="1400" w:type="dxa"/>
            <w:shd w:val="clear" w:color="auto" w:fill="F8FAFC"/>
            <w:tcMar>
              <w:top w:w="90" w:type="dxa"/>
              <w:bottom w:w="90" w:type="dxa"/>
              <w:left w:w="120" w:type="dxa"/>
              <w:right w:w="120" w:type="dxa"/>
            </w:tcMar>
          </w:tcPr>
          <w:p>
            <w:pPr>
              <w:spacing w:before="0" w:after="0"/>
            </w:pPr>
            <w:r>
              <w:rPr>
                <w:b/>
                <w:color w:val="1E293B"/>
                <w:sz w:val="17"/>
                <w:rFonts w:ascii="Calibri" w:hAnsi="Calibri"/>
              </w:rPr>
              <w:t>Pre-Conditioning</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Linear Interpolation</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N/A</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Window median</w:t>
            </w:r>
          </w:p>
        </w:tc>
        <w:tc>
          <w:tcPr>
            <w:tcW w:w="2672" w:type="dxa"/>
            <w:shd w:val="clear" w:color="auto" w:fill="F8FAFC"/>
            <w:tcMar>
              <w:top w:w="90" w:type="dxa"/>
              <w:bottom w:w="90" w:type="dxa"/>
              <w:left w:w="120" w:type="dxa"/>
              <w:right w:w="120" w:type="dxa"/>
            </w:tcMar>
          </w:tcPr>
          <w:p>
            <w:pPr>
              <w:spacing w:before="0" w:after="0"/>
            </w:pPr>
            <w:r>
              <w:rPr>
                <w:color w:val="1E293B"/>
                <w:sz w:val="17"/>
                <w:rFonts w:ascii="Calibri" w:hAnsi="Calibri"/>
              </w:rPr>
              <w:t>Imputes missing samples &amp; NaN dropouts</w:t>
            </w:r>
          </w:p>
        </w:tc>
      </w:tr>
      <w:tr>
        <w:tc>
          <w:tcPr>
            <w:tcW w:w="1400" w:type="dxa"/>
            <w:shd w:val="clear" w:color="auto" w:fill="FFFFFF"/>
            <w:tcMar>
              <w:top w:w="90" w:type="dxa"/>
              <w:bottom w:w="90" w:type="dxa"/>
              <w:left w:w="120" w:type="dxa"/>
              <w:right w:w="120" w:type="dxa"/>
            </w:tcMar>
          </w:tcPr>
          <w:p>
            <w:pPr>
              <w:spacing w:before="0" w:after="0"/>
            </w:pPr>
            <w:r>
              <w:rPr>
                <w:b/>
                <w:color w:val="1E293B"/>
                <w:sz w:val="17"/>
                <w:rFonts w:ascii="Calibri" w:hAnsi="Calibri"/>
              </w:rPr>
              <w:t>Bandpass Filter</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Butterworth IIR</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0.5 Hz to 45.0 Hz</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4th Order (Zero-phase filtfilt)</w:t>
            </w:r>
          </w:p>
        </w:tc>
        <w:tc>
          <w:tcPr>
            <w:tcW w:w="2672" w:type="dxa"/>
            <w:shd w:val="clear" w:color="auto" w:fill="FFFFFF"/>
            <w:tcMar>
              <w:top w:w="90" w:type="dxa"/>
              <w:bottom w:w="90" w:type="dxa"/>
              <w:left w:w="120" w:type="dxa"/>
              <w:right w:w="120" w:type="dxa"/>
            </w:tcMar>
          </w:tcPr>
          <w:p>
            <w:pPr>
              <w:spacing w:before="0" w:after="0"/>
            </w:pPr>
            <w:r>
              <w:rPr>
                <w:color w:val="1E293B"/>
                <w:sz w:val="17"/>
                <w:rFonts w:ascii="Calibri" w:hAnsi="Calibri"/>
              </w:rPr>
              <w:t>Suppresses respiratory drift and muscle tremor</w:t>
            </w:r>
          </w:p>
        </w:tc>
      </w:tr>
      <w:tr>
        <w:tc>
          <w:tcPr>
            <w:tcW w:w="1400" w:type="dxa"/>
            <w:shd w:val="clear" w:color="auto" w:fill="F8FAFC"/>
            <w:tcMar>
              <w:top w:w="90" w:type="dxa"/>
              <w:bottom w:w="90" w:type="dxa"/>
              <w:left w:w="120" w:type="dxa"/>
              <w:right w:w="120" w:type="dxa"/>
            </w:tcMar>
          </w:tcPr>
          <w:p>
            <w:pPr>
              <w:spacing w:before="0" w:after="0"/>
            </w:pPr>
            <w:r>
              <w:rPr>
                <w:b/>
                <w:color w:val="1E293B"/>
                <w:sz w:val="17"/>
                <w:rFonts w:ascii="Calibri" w:hAnsi="Calibri"/>
              </w:rPr>
              <w:t>Mains Hum Filter</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IIR Digital Notch</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50.0 Hz &amp; 60.0 Hz</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Q = 30.0</w:t>
            </w:r>
          </w:p>
        </w:tc>
        <w:tc>
          <w:tcPr>
            <w:tcW w:w="2672" w:type="dxa"/>
            <w:shd w:val="clear" w:color="auto" w:fill="F8FAFC"/>
            <w:tcMar>
              <w:top w:w="90" w:type="dxa"/>
              <w:bottom w:w="90" w:type="dxa"/>
              <w:left w:w="120" w:type="dxa"/>
              <w:right w:w="120" w:type="dxa"/>
            </w:tcMar>
          </w:tcPr>
          <w:p>
            <w:pPr>
              <w:spacing w:before="0" w:after="0"/>
            </w:pPr>
            <w:r>
              <w:rPr>
                <w:color w:val="1E293B"/>
                <w:sz w:val="17"/>
                <w:rFonts w:ascii="Calibri" w:hAnsi="Calibri"/>
              </w:rPr>
              <w:t>Rejects mains electromagnetic hum without QRS attenuation</w:t>
            </w:r>
          </w:p>
        </w:tc>
      </w:tr>
      <w:tr>
        <w:tc>
          <w:tcPr>
            <w:tcW w:w="1400" w:type="dxa"/>
            <w:shd w:val="clear" w:color="auto" w:fill="FFFFFF"/>
            <w:tcMar>
              <w:top w:w="90" w:type="dxa"/>
              <w:bottom w:w="90" w:type="dxa"/>
              <w:left w:w="120" w:type="dxa"/>
              <w:right w:w="120" w:type="dxa"/>
            </w:tcMar>
          </w:tcPr>
          <w:p>
            <w:pPr>
              <w:spacing w:before="0" w:after="0"/>
            </w:pPr>
            <w:r>
              <w:rPr>
                <w:b/>
                <w:color w:val="1E293B"/>
                <w:sz w:val="17"/>
                <w:rFonts w:ascii="Calibri" w:hAnsi="Calibri"/>
              </w:rPr>
              <w:t>Baseline Detrend</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Median Filter Highpass</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Window = 0.6 seconds</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Kernel width = 101 samples</w:t>
            </w:r>
          </w:p>
        </w:tc>
        <w:tc>
          <w:tcPr>
            <w:tcW w:w="2672" w:type="dxa"/>
            <w:shd w:val="clear" w:color="auto" w:fill="FFFFFF"/>
            <w:tcMar>
              <w:top w:w="90" w:type="dxa"/>
              <w:bottom w:w="90" w:type="dxa"/>
              <w:left w:w="120" w:type="dxa"/>
              <w:right w:w="120" w:type="dxa"/>
            </w:tcMar>
          </w:tcPr>
          <w:p>
            <w:pPr>
              <w:spacing w:before="0" w:after="0"/>
            </w:pPr>
            <w:r>
              <w:rPr>
                <w:color w:val="1E293B"/>
                <w:sz w:val="17"/>
                <w:rFonts w:ascii="Calibri" w:hAnsi="Calibri"/>
              </w:rPr>
              <w:t>Subtracts isoelectric wandering</w:t>
            </w:r>
          </w:p>
        </w:tc>
      </w:tr>
      <w:tr>
        <w:tc>
          <w:tcPr>
            <w:tcW w:w="1400" w:type="dxa"/>
            <w:shd w:val="clear" w:color="auto" w:fill="F8FAFC"/>
            <w:tcMar>
              <w:top w:w="90" w:type="dxa"/>
              <w:bottom w:w="90" w:type="dxa"/>
              <w:left w:w="120" w:type="dxa"/>
              <w:right w:w="120" w:type="dxa"/>
            </w:tcMar>
          </w:tcPr>
          <w:p>
            <w:pPr>
              <w:spacing w:before="0" w:after="0"/>
            </w:pPr>
            <w:r>
              <w:rPr>
                <w:b/>
                <w:color w:val="1E293B"/>
                <w:sz w:val="17"/>
                <w:rFonts w:ascii="Calibri" w:hAnsi="Calibri"/>
              </w:rPr>
              <w:t>Amplitude Scale</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Robust Scaler (IQR)</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Median &amp; 25th-75th Percentile</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Resistant to spikes</w:t>
            </w:r>
          </w:p>
        </w:tc>
        <w:tc>
          <w:tcPr>
            <w:tcW w:w="2672" w:type="dxa"/>
            <w:shd w:val="clear" w:color="auto" w:fill="F8FAFC"/>
            <w:tcMar>
              <w:top w:w="90" w:type="dxa"/>
              <w:bottom w:w="90" w:type="dxa"/>
              <w:left w:w="120" w:type="dxa"/>
              <w:right w:w="120" w:type="dxa"/>
            </w:tcMar>
          </w:tcPr>
          <w:p>
            <w:pPr>
              <w:spacing w:before="0" w:after="0"/>
            </w:pPr>
            <w:r>
              <w:rPr>
                <w:color w:val="1E293B"/>
                <w:sz w:val="17"/>
                <w:rFonts w:ascii="Calibri" w:hAnsi="Calibri"/>
              </w:rPr>
              <w:t>Normalizes voltage while preventing outlier saturation</w:t>
            </w:r>
          </w:p>
        </w:tc>
      </w:tr>
    </w:tbl>
    <w:p>
      <w:pPr>
        <w:spacing w:before="120" w:after="120"/>
      </w:pPr>
    </w:p>
    <w:p>
      <w:pPr>
        <w:spacing w:before="240" w:after="100"/>
      </w:pPr>
      <w:r>
        <w:rPr>
          <w:rFonts w:ascii="Calibri" w:hAnsi="Calibri"/>
          <w:b/>
          <w:color w:val="0F2942"/>
          <w:sz w:val="26"/>
        </w:rPr>
        <w:t>Signal Quality Index (SQI) Validation</w:t>
      </w:r>
    </w:p>
    <w:p>
      <w:pPr>
        <w:spacing w:before="60" w:after="80"/>
        <w:line w:line="276" w:lineRule="auto"/>
      </w:pPr>
      <w:r>
        <w:rPr>
          <w:color w:val="1E293B"/>
          <w:sz w:val="21"/>
          <w:rFonts w:ascii="Calibri" w:hAnsi="Calibri"/>
        </w:rPr>
        <w:t>Before computational feature extraction or inference, each 10-second segment is analyzed by the Signal Quality Assessor. If electrodes are detached, loose, or overwhelmed by motion artifacts, the system rejects the window with HTTP 422:</w:t>
      </w:r>
    </w:p>
    <w:p>
      <w:pPr>
        <w:ind w:left="360" w:hanging="240"/>
        <w:spacing w:before="40" w:after="60"/>
      </w:pPr>
      <w:r>
        <w:rPr>
          <w:b/>
          <w:color w:val="0284C7"/>
          <w:sz w:val="20"/>
        </w:rPr>
        <w:t>* </w:t>
      </w:r>
      <w:r>
        <w:rPr>
          <w:color w:val="1E293B"/>
          <w:sz w:val="20"/>
        </w:rPr>
        <w:t>Kurtosis SQI (kSQI): Normal ECG exhibits sharp QRS spikes (kurtosis 3.0 - 15.0). Pure noise or flatlines have kurtosis &lt; 2.0; impulse motion spikes have kurtosis &gt; 60.0.</w:t>
      </w:r>
    </w:p>
    <w:p>
      <w:pPr>
        <w:ind w:left="360" w:hanging="240"/>
        <w:spacing w:before="40" w:after="60"/>
      </w:pPr>
      <w:r>
        <w:rPr>
          <w:b/>
          <w:color w:val="0284C7"/>
          <w:sz w:val="20"/>
        </w:rPr>
        <w:t>* </w:t>
      </w:r>
      <w:r>
        <w:rPr>
          <w:color w:val="1E293B"/>
          <w:sz w:val="20"/>
        </w:rPr>
        <w:t>Skewness SQI (sSQI): Measures waveform asymmetry; flags lead reversals and extreme baseline tilts.</w:t>
      </w:r>
    </w:p>
    <w:p>
      <w:pPr>
        <w:ind w:left="360" w:hanging="240"/>
        <w:spacing w:before="40" w:after="60"/>
      </w:pPr>
      <w:r>
        <w:rPr>
          <w:b/>
          <w:color w:val="0284C7"/>
          <w:sz w:val="20"/>
        </w:rPr>
        <w:t>* </w:t>
      </w:r>
      <w:r>
        <w:rPr>
          <w:color w:val="1E293B"/>
          <w:sz w:val="20"/>
        </w:rPr>
        <w:t>Baseline Power Ratio (basSQI): Calculates fraction of spectral power below 1.0 Hz (rejection if &gt; 60%).</w:t>
      </w:r>
    </w:p>
    <w:p>
      <w:pPr>
        <w:ind w:left="360" w:hanging="240"/>
        <w:spacing w:before="40" w:after="60"/>
      </w:pPr>
      <w:r>
        <w:rPr>
          <w:b/>
          <w:color w:val="0284C7"/>
          <w:sz w:val="20"/>
        </w:rPr>
        <w:t>* </w:t>
      </w:r>
      <w:r>
        <w:rPr>
          <w:color w:val="1E293B"/>
          <w:sz w:val="20"/>
        </w:rPr>
        <w:t>High-Frequency Power Ratio (emgSQI): Calculates fraction of spectral power above 45.0 Hz (rejection if &gt; 35%).</w:t>
      </w:r>
    </w:p>
    <w:p>
      <w:r>
        <w:br w:type="page"/>
      </w:r>
    </w:p>
    <w:p>
      <w:pPr>
        <w:spacing w:before="360" w:after="140"/>
        <w:pBdr>
          <w:bottom w:val="single" w:sz="12" w:space="4" w:color="0284C7"/>
        </w:pBdr>
      </w:pPr>
      <w:r>
        <w:rPr>
          <w:rFonts w:ascii="Calibri" w:hAnsi="Calibri"/>
          <w:b/>
          <w:color w:val="0369A1"/>
          <w:sz w:val="32"/>
        </w:rPr>
        <w:t>4. Clinical Feature Engineering (26-Dimensional Vector)</w:t>
      </w:r>
    </w:p>
    <w:p>
      <w:pPr>
        <w:spacing w:before="60" w:after="80"/>
        <w:line w:line="276" w:lineRule="auto"/>
      </w:pPr>
      <w:r>
        <w:rPr>
          <w:color w:val="1E293B"/>
          <w:sz w:val="21"/>
          <w:rFonts w:ascii="Calibri" w:hAnsi="Calibri"/>
        </w:rPr>
        <w:t>The feature extraction engine computes 26 physiological biomarkers per segment across four complementary analytical domains:</w:t>
      </w:r>
    </w:p>
    <w:tbl>
      <w:tblPr>
        <w:tblW w:w="9072" w:type="dxa"/>
        <w:tblBorders>
          <w:top w:val="single" w:sz="6" w:space="0" w:color="CBD5E1"/>
          <w:bottom w:val="single" w:sz="6" w:space="0" w:color="CBD5E1"/>
          <w:insideH w:val="single" w:sz="4" w:space="0" w:color="E2E8F0"/>
          <w:insideV w:val="single" w:sz="4" w:space="0" w:color="E2E8F0"/>
        </w:tblBorders>
      </w:tblPr>
      <w:tr>
        <w:tc>
          <w:tcPr>
            <w:tcW w:w="1800" w:type="dxa"/>
            <w:shd w:val="clear" w:color="auto" w:fill="0F2942"/>
            <w:tcMar>
              <w:top w:w="100" w:type="dxa"/>
              <w:bottom w:w="100" w:type="dxa"/>
              <w:left w:w="120" w:type="dxa"/>
              <w:right w:w="120" w:type="dxa"/>
            </w:tcMar>
          </w:tcPr>
          <w:p>
            <w:pPr>
              <w:spacing w:before="0" w:after="0"/>
            </w:pPr>
            <w:r>
              <w:rPr>
                <w:b/>
                <w:color w:val="FFFFFF"/>
                <w:sz w:val="18"/>
                <w:rFonts w:ascii="Calibri" w:hAnsi="Calibri"/>
              </w:rPr>
              <w:t>Domain</w:t>
            </w:r>
          </w:p>
        </w:tc>
        <w:tc>
          <w:tcPr>
            <w:tcW w:w="2000" w:type="dxa"/>
            <w:shd w:val="clear" w:color="auto" w:fill="0F2942"/>
            <w:tcMar>
              <w:top w:w="100" w:type="dxa"/>
              <w:bottom w:w="100" w:type="dxa"/>
              <w:left w:w="120" w:type="dxa"/>
              <w:right w:w="120" w:type="dxa"/>
            </w:tcMar>
          </w:tcPr>
          <w:p>
            <w:pPr>
              <w:spacing w:before="0" w:after="0"/>
            </w:pPr>
            <w:r>
              <w:rPr>
                <w:b/>
                <w:color w:val="FFFFFF"/>
                <w:sz w:val="18"/>
                <w:rFonts w:ascii="Calibri" w:hAnsi="Calibri"/>
              </w:rPr>
              <w:t>Feature Code</w:t>
            </w:r>
          </w:p>
        </w:tc>
        <w:tc>
          <w:tcPr>
            <w:tcW w:w="1000" w:type="dxa"/>
            <w:shd w:val="clear" w:color="auto" w:fill="0F2942"/>
            <w:tcMar>
              <w:top w:w="100" w:type="dxa"/>
              <w:bottom w:w="100" w:type="dxa"/>
              <w:left w:w="120" w:type="dxa"/>
              <w:right w:w="120" w:type="dxa"/>
            </w:tcMar>
          </w:tcPr>
          <w:p>
            <w:pPr>
              <w:spacing w:before="0" w:after="0"/>
            </w:pPr>
            <w:r>
              <w:rPr>
                <w:b/>
                <w:color w:val="FFFFFF"/>
                <w:sz w:val="18"/>
                <w:rFonts w:ascii="Calibri" w:hAnsi="Calibri"/>
              </w:rPr>
              <w:t>Unit</w:t>
            </w:r>
          </w:p>
        </w:tc>
        <w:tc>
          <w:tcPr>
            <w:tcW w:w="4272" w:type="dxa"/>
            <w:shd w:val="clear" w:color="auto" w:fill="0F2942"/>
            <w:tcMar>
              <w:top w:w="100" w:type="dxa"/>
              <w:bottom w:w="100" w:type="dxa"/>
              <w:left w:w="120" w:type="dxa"/>
              <w:right w:w="120" w:type="dxa"/>
            </w:tcMar>
          </w:tcPr>
          <w:p>
            <w:pPr>
              <w:spacing w:before="0" w:after="0"/>
            </w:pPr>
            <w:r>
              <w:rPr>
                <w:b/>
                <w:color w:val="FFFFFF"/>
                <w:sz w:val="18"/>
                <w:rFonts w:ascii="Calibri" w:hAnsi="Calibri"/>
              </w:rPr>
              <w:t>Physiological / Clinical Meaning</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Time-Domain HRV</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mean_rr_ms</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ms</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Mean interval between consecutive normal heartbeats</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Time-Domain HRV</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sdnn_ms</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ms</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Standard deviation of NN intervals (Overall autonomic tone)</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Time-Domain HRV</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rmssd_ms</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ms</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Root mean square of successive differences (Vagal parasympathetic marker)</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Time-Domain HRV</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pnn50</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Percentage of consecutive beats differing by &gt; 50ms (Autonomic stability)</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Time-Domain HRV</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mean_hr_bpm</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bpm</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Average heart rate across the window</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Time-Domain HRV</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hr_range_bpm</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bpm</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Difference between maximum and minimum instantaneous heart rate</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Frequency HRV</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vlf_power</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ms^2</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Very Low Frequency spectral power (0.0033 to 0.04 Hz - Thermoregulation)</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Frequency HRV</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lf_power</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ms^2</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Low Frequency spectral power (0.04 to 0.15 Hz - Sympathetic baroreflex tone)</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Frequency HRV</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hf_power</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ms^2</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High Frequency spectral power (0.15 to 0.40 Hz - Parasympathetic vagal respiration)</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Frequency HRV</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lf_hf_ratio</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ratio</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Sympathovagal balance index (Stress, ischemia, ventricular instability)</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Morphology</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stat_skewness</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dimless</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Waveform distribution asymmetry</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Morphology</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stat_kurtosis</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dimless</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Peakedness marker of QRS sharpness</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Morphology</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stat_zcr</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rate</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Zero-crossing rate (High in fibrillatory rhythms)</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Complexity</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stat_sample_entropy</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nats</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Sample Entropy (SampEn) measuring physiological signal irregularity</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Multi-Modal</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spo2_mean</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Mean arterial blood oxygen saturation</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Multi-Modal</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spo2_min</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Minimum arterial oxygen dip across the window</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Multi-Modal</w:t>
            </w:r>
          </w:p>
        </w:tc>
        <w:tc>
          <w:tcPr>
            <w:tcW w:w="2000" w:type="dxa"/>
            <w:shd w:val="clear" w:color="auto" w:fill="F8FAFC"/>
            <w:tcMar>
              <w:top w:w="90" w:type="dxa"/>
              <w:bottom w:w="90" w:type="dxa"/>
              <w:left w:w="120" w:type="dxa"/>
              <w:right w:w="120" w:type="dxa"/>
            </w:tcMar>
          </w:tcPr>
          <w:p>
            <w:pPr>
              <w:spacing w:before="0" w:after="0"/>
            </w:pPr>
            <w:r>
              <w:rPr>
                <w:color w:val="1E293B"/>
                <w:sz w:val="17"/>
                <w:rFonts w:ascii="Calibri" w:hAnsi="Calibri"/>
              </w:rPr>
              <w:t>spo2_desat_ratio</w:t>
            </w:r>
          </w:p>
        </w:tc>
        <w:tc>
          <w:tcPr>
            <w:tcW w:w="1000" w:type="dxa"/>
            <w:shd w:val="clear" w:color="auto" w:fill="F8FAFC"/>
            <w:tcMar>
              <w:top w:w="90" w:type="dxa"/>
              <w:bottom w:w="90" w:type="dxa"/>
              <w:left w:w="120" w:type="dxa"/>
              <w:right w:w="120" w:type="dxa"/>
            </w:tcMar>
          </w:tcPr>
          <w:p>
            <w:pPr>
              <w:spacing w:before="0" w:after="0"/>
            </w:pPr>
            <w:r>
              <w:rPr>
                <w:color w:val="1E293B"/>
                <w:sz w:val="17"/>
                <w:rFonts w:ascii="Calibri" w:hAnsi="Calibri"/>
              </w:rPr>
              <w:t>ratio</w:t>
            </w:r>
          </w:p>
        </w:tc>
        <w:tc>
          <w:tcPr>
            <w:tcW w:w="4272" w:type="dxa"/>
            <w:shd w:val="clear" w:color="auto" w:fill="F8FAFC"/>
            <w:tcMar>
              <w:top w:w="90" w:type="dxa"/>
              <w:bottom w:w="90" w:type="dxa"/>
              <w:left w:w="120" w:type="dxa"/>
              <w:right w:w="120" w:type="dxa"/>
            </w:tcMar>
          </w:tcPr>
          <w:p>
            <w:pPr>
              <w:spacing w:before="0" w:after="0"/>
            </w:pPr>
            <w:r>
              <w:rPr>
                <w:color w:val="1E293B"/>
                <w:sz w:val="17"/>
                <w:rFonts w:ascii="Calibri" w:hAnsi="Calibri"/>
              </w:rPr>
              <w:t>Proportion of window spent below hypoxic threshold (&lt; 90.0% SpO2)</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Multi-Modal</w:t>
            </w:r>
          </w:p>
        </w:tc>
        <w:tc>
          <w:tcPr>
            <w:tcW w:w="2000" w:type="dxa"/>
            <w:shd w:val="clear" w:color="auto" w:fill="FFFFFF"/>
            <w:tcMar>
              <w:top w:w="90" w:type="dxa"/>
              <w:bottom w:w="90" w:type="dxa"/>
              <w:left w:w="120" w:type="dxa"/>
              <w:right w:w="120" w:type="dxa"/>
            </w:tcMar>
          </w:tcPr>
          <w:p>
            <w:pPr>
              <w:spacing w:before="0" w:after="0"/>
            </w:pPr>
            <w:r>
              <w:rPr>
                <w:color w:val="1E293B"/>
                <w:sz w:val="17"/>
                <w:rFonts w:ascii="Calibri" w:hAnsi="Calibri"/>
              </w:rPr>
              <w:t>ppg_perfusion_index</w:t>
            </w:r>
          </w:p>
        </w:tc>
        <w:tc>
          <w:tcPr>
            <w:tcW w:w="1000" w:type="dxa"/>
            <w:shd w:val="clear" w:color="auto" w:fill="FFFFFF"/>
            <w:tcMar>
              <w:top w:w="90" w:type="dxa"/>
              <w:bottom w:w="90" w:type="dxa"/>
              <w:left w:w="120" w:type="dxa"/>
              <w:right w:w="120" w:type="dxa"/>
            </w:tcMar>
          </w:tcPr>
          <w:p>
            <w:pPr>
              <w:spacing w:before="0" w:after="0"/>
            </w:pPr>
            <w:r>
              <w:rPr>
                <w:color w:val="1E293B"/>
                <w:sz w:val="17"/>
                <w:rFonts w:ascii="Calibri" w:hAnsi="Calibri"/>
              </w:rPr>
              <w:t>%</w:t>
            </w:r>
          </w:p>
        </w:tc>
        <w:tc>
          <w:tcPr>
            <w:tcW w:w="4272" w:type="dxa"/>
            <w:shd w:val="clear" w:color="auto" w:fill="FFFFFF"/>
            <w:tcMar>
              <w:top w:w="90" w:type="dxa"/>
              <w:bottom w:w="90" w:type="dxa"/>
              <w:left w:w="120" w:type="dxa"/>
              <w:right w:w="120" w:type="dxa"/>
            </w:tcMar>
          </w:tcPr>
          <w:p>
            <w:pPr>
              <w:spacing w:before="0" w:after="0"/>
            </w:pPr>
            <w:r>
              <w:rPr>
                <w:color w:val="1E293B"/>
                <w:sz w:val="17"/>
                <w:rFonts w:ascii="Calibri" w:hAnsi="Calibri"/>
              </w:rPr>
              <w:t>Photoplethysmogram AC/DC pulsatile ratio (Peripheral vascular perfusion)</w:t>
            </w:r>
          </w:p>
        </w:tc>
      </w:tr>
    </w:tbl>
    <w:p>
      <w:pPr>
        <w:spacing w:before="120" w:after="120"/>
      </w:pPr>
    </w:p>
    <w:p>
      <w:pPr>
        <w:spacing w:before="360" w:after="140"/>
        <w:pBdr>
          <w:bottom w:val="single" w:sz="12" w:space="4" w:color="0284C7"/>
        </w:pBdr>
      </w:pPr>
      <w:r>
        <w:rPr>
          <w:rFonts w:ascii="Calibri" w:hAnsi="Calibri"/>
          <w:b/>
          <w:color w:val="0369A1"/>
          <w:sz w:val="32"/>
        </w:rPr>
        <w:t>5. Machine Learning Engine &amp; Imbalance Mitigation</w:t>
      </w:r>
    </w:p>
    <w:p>
      <w:pPr>
        <w:spacing w:before="60" w:after="80"/>
        <w:line w:line="276" w:lineRule="auto"/>
      </w:pPr>
      <w:r>
        <w:rPr>
          <w:color w:val="1E293B"/>
          <w:sz w:val="21"/>
          <w:rFonts w:ascii="Calibri" w:hAnsi="Calibri"/>
        </w:rPr>
        <w:t>Cardiovascular event detection poses severe class imbalance: dangerous arrhythmias represent less than 15% of continuous ambulatory telemetry. Naive algorithms optimize for overall accuracy by predicting normal sinus rhythm, causing fatal false negatives.</w:t>
      </w:r>
    </w:p>
    <w:p>
      <w:pPr>
        <w:spacing w:before="240" w:after="100"/>
      </w:pPr>
      <w:r>
        <w:rPr>
          <w:rFonts w:ascii="Calibri" w:hAnsi="Calibri"/>
          <w:b/>
          <w:color w:val="0F2942"/>
          <w:sz w:val="26"/>
        </w:rPr>
        <w:t>Cost-Sensitive Loss Weighting</w:t>
      </w:r>
    </w:p>
    <w:p>
      <w:pPr>
        <w:spacing w:before="60" w:after="80"/>
        <w:line w:line="276" w:lineRule="auto"/>
      </w:pPr>
      <w:r>
        <w:rPr>
          <w:color w:val="1E293B"/>
          <w:sz w:val="21"/>
          <w:rFonts w:ascii="Calibri" w:hAnsi="Calibri"/>
        </w:rPr>
        <w:t>The pipeline implements inverse class frequency weighting during tree partition splitting: w_c = N / (2 * N_c), heavily penalizing missed arrhythmia events.</w:t>
      </w:r>
    </w:p>
    <w:p>
      <w:pPr>
        <w:spacing w:before="240" w:after="100"/>
      </w:pPr>
      <w:r>
        <w:rPr>
          <w:rFonts w:ascii="Calibri" w:hAnsi="Calibri"/>
          <w:b/>
          <w:color w:val="0F2942"/>
          <w:sz w:val="26"/>
        </w:rPr>
        <w:t>Platt Sigmoid Probability Calibration</w:t>
      </w:r>
    </w:p>
    <w:p>
      <w:pPr>
        <w:spacing w:before="60" w:after="80"/>
        <w:line w:line="276" w:lineRule="auto"/>
      </w:pPr>
      <w:r>
        <w:rPr>
          <w:color w:val="1E293B"/>
          <w:sz w:val="21"/>
          <w:rFonts w:ascii="Calibri" w:hAnsi="Calibri"/>
        </w:rPr>
        <w:t>Standard decision trees output raw uncalibrated leaf ratios that do not reflect true posterior risk probabilities. The model wrapper applies Platt scaling via cross-validated sigmoid logistic regression, mapping raw margins into well-calibrated clinical risk probabilities P(Pathology | X), verified by a Brier score of 0.1423.</w:t>
      </w:r>
    </w:p>
    <w:p>
      <w:pPr>
        <w:spacing w:before="240" w:after="100"/>
      </w:pPr>
      <w:r>
        <w:rPr>
          <w:rFonts w:ascii="Calibri" w:hAnsi="Calibri"/>
          <w:b/>
          <w:color w:val="0F2942"/>
          <w:sz w:val="26"/>
        </w:rPr>
        <w:t>Three-Tier Clinical Triage Protocol</w:t>
      </w:r>
    </w:p>
    <w:tbl>
      <w:tblPr>
        <w:tblW w:w="9072" w:type="dxa"/>
        <w:tblBorders>
          <w:top w:val="single" w:sz="6" w:space="0" w:color="CBD5E1"/>
          <w:bottom w:val="single" w:sz="6" w:space="0" w:color="CBD5E1"/>
          <w:insideH w:val="single" w:sz="4" w:space="0" w:color="E2E8F0"/>
          <w:insideV w:val="single" w:sz="4" w:space="0" w:color="E2E8F0"/>
        </w:tblBorders>
      </w:tblPr>
      <w:tr>
        <w:tc>
          <w:tcPr>
            <w:tcW w:w="1400" w:type="dxa"/>
            <w:shd w:val="clear" w:color="auto" w:fill="0F2942"/>
            <w:tcMar>
              <w:top w:w="100" w:type="dxa"/>
              <w:bottom w:w="100" w:type="dxa"/>
              <w:left w:w="120" w:type="dxa"/>
              <w:right w:w="120" w:type="dxa"/>
            </w:tcMar>
          </w:tcPr>
          <w:p>
            <w:pPr>
              <w:spacing w:before="0" w:after="0"/>
            </w:pPr>
            <w:r>
              <w:rPr>
                <w:b/>
                <w:color w:val="FFFFFF"/>
                <w:sz w:val="18"/>
                <w:rFonts w:ascii="Calibri" w:hAnsi="Calibri"/>
              </w:rPr>
              <w:t>Risk Tier</w:t>
            </w:r>
          </w:p>
        </w:tc>
        <w:tc>
          <w:tcPr>
            <w:tcW w:w="1800" w:type="dxa"/>
            <w:shd w:val="clear" w:color="auto" w:fill="0F2942"/>
            <w:tcMar>
              <w:top w:w="100" w:type="dxa"/>
              <w:bottom w:w="100" w:type="dxa"/>
              <w:left w:w="120" w:type="dxa"/>
              <w:right w:w="120" w:type="dxa"/>
            </w:tcMar>
          </w:tcPr>
          <w:p>
            <w:pPr>
              <w:spacing w:before="0" w:after="0"/>
            </w:pPr>
            <w:r>
              <w:rPr>
                <w:b/>
                <w:color w:val="FFFFFF"/>
                <w:sz w:val="18"/>
                <w:rFonts w:ascii="Calibri" w:hAnsi="Calibri"/>
              </w:rPr>
              <w:t>Probability Threshold</w:t>
            </w:r>
          </w:p>
        </w:tc>
        <w:tc>
          <w:tcPr>
            <w:tcW w:w="2200" w:type="dxa"/>
            <w:shd w:val="clear" w:color="auto" w:fill="0F2942"/>
            <w:tcMar>
              <w:top w:w="100" w:type="dxa"/>
              <w:bottom w:w="100" w:type="dxa"/>
              <w:left w:w="120" w:type="dxa"/>
              <w:right w:w="120" w:type="dxa"/>
            </w:tcMar>
          </w:tcPr>
          <w:p>
            <w:pPr>
              <w:spacing w:before="0" w:after="0"/>
            </w:pPr>
            <w:r>
              <w:rPr>
                <w:b/>
                <w:color w:val="FFFFFF"/>
                <w:sz w:val="18"/>
                <w:rFonts w:ascii="Calibri" w:hAnsi="Calibri"/>
              </w:rPr>
              <w:t>Clinical Definition</w:t>
            </w:r>
          </w:p>
        </w:tc>
        <w:tc>
          <w:tcPr>
            <w:tcW w:w="3672" w:type="dxa"/>
            <w:shd w:val="clear" w:color="auto" w:fill="0F2942"/>
            <w:tcMar>
              <w:top w:w="100" w:type="dxa"/>
              <w:bottom w:w="100" w:type="dxa"/>
              <w:left w:w="120" w:type="dxa"/>
              <w:right w:w="120" w:type="dxa"/>
            </w:tcMar>
          </w:tcPr>
          <w:p>
            <w:pPr>
              <w:spacing w:before="0" w:after="0"/>
            </w:pPr>
            <w:r>
              <w:rPr>
                <w:b/>
                <w:color w:val="FFFFFF"/>
                <w:sz w:val="18"/>
                <w:rFonts w:ascii="Calibri" w:hAnsi="Calibri"/>
              </w:rPr>
              <w:t>Automated Action Protocol</w:t>
            </w:r>
          </w:p>
        </w:tc>
      </w:tr>
      <w:tr>
        <w:tc>
          <w:tcPr>
            <w:tcW w:w="1400" w:type="dxa"/>
            <w:shd w:val="clear" w:color="auto" w:fill="F8FAFC"/>
            <w:tcMar>
              <w:top w:w="90" w:type="dxa"/>
              <w:bottom w:w="90" w:type="dxa"/>
              <w:left w:w="120" w:type="dxa"/>
              <w:right w:w="120" w:type="dxa"/>
            </w:tcMar>
          </w:tcPr>
          <w:p>
            <w:pPr>
              <w:spacing w:before="0" w:after="0"/>
            </w:pPr>
            <w:r>
              <w:rPr>
                <w:b/>
                <w:color w:val="1E293B"/>
                <w:sz w:val="17"/>
                <w:rFonts w:ascii="Calibri" w:hAnsi="Calibri"/>
              </w:rPr>
              <w:t>LOW_RISK</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P &lt; 0.35</w:t>
            </w:r>
          </w:p>
        </w:tc>
        <w:tc>
          <w:tcPr>
            <w:tcW w:w="2200" w:type="dxa"/>
            <w:shd w:val="clear" w:color="auto" w:fill="F8FAFC"/>
            <w:tcMar>
              <w:top w:w="90" w:type="dxa"/>
              <w:bottom w:w="90" w:type="dxa"/>
              <w:left w:w="120" w:type="dxa"/>
              <w:right w:w="120" w:type="dxa"/>
            </w:tcMar>
          </w:tcPr>
          <w:p>
            <w:pPr>
              <w:spacing w:before="0" w:after="0"/>
            </w:pPr>
            <w:r>
              <w:rPr>
                <w:color w:val="1E293B"/>
                <w:sz w:val="17"/>
                <w:rFonts w:ascii="Calibri" w:hAnsi="Calibri"/>
              </w:rPr>
              <w:t>Normal Sinus Rhythm</w:t>
            </w:r>
          </w:p>
        </w:tc>
        <w:tc>
          <w:tcPr>
            <w:tcW w:w="3672" w:type="dxa"/>
            <w:shd w:val="clear" w:color="auto" w:fill="F8FAFC"/>
            <w:tcMar>
              <w:top w:w="90" w:type="dxa"/>
              <w:bottom w:w="90" w:type="dxa"/>
              <w:left w:w="120" w:type="dxa"/>
              <w:right w:w="120" w:type="dxa"/>
            </w:tcMar>
          </w:tcPr>
          <w:p>
            <w:pPr>
              <w:spacing w:before="0" w:after="0"/>
            </w:pPr>
            <w:r>
              <w:rPr>
                <w:color w:val="1E293B"/>
                <w:sz w:val="17"/>
                <w:rFonts w:ascii="Calibri" w:hAnsi="Calibri"/>
              </w:rPr>
              <w:t>Passive logging; routine 60-second telemetry update</w:t>
            </w:r>
          </w:p>
        </w:tc>
      </w:tr>
      <w:tr>
        <w:tc>
          <w:tcPr>
            <w:tcW w:w="1400" w:type="dxa"/>
            <w:shd w:val="clear" w:color="auto" w:fill="FFFFFF"/>
            <w:tcMar>
              <w:top w:w="90" w:type="dxa"/>
              <w:bottom w:w="90" w:type="dxa"/>
              <w:left w:w="120" w:type="dxa"/>
              <w:right w:w="120" w:type="dxa"/>
            </w:tcMar>
          </w:tcPr>
          <w:p>
            <w:pPr>
              <w:spacing w:before="0" w:after="0"/>
            </w:pPr>
            <w:r>
              <w:rPr>
                <w:b/>
                <w:color w:val="1E293B"/>
                <w:sz w:val="17"/>
                <w:rFonts w:ascii="Calibri" w:hAnsi="Calibri"/>
              </w:rPr>
              <w:t>MONITOR</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0.35 &lt;= P &lt; 0.70</w:t>
            </w:r>
          </w:p>
        </w:tc>
        <w:tc>
          <w:tcPr>
            <w:tcW w:w="2200" w:type="dxa"/>
            <w:shd w:val="clear" w:color="auto" w:fill="FFFFFF"/>
            <w:tcMar>
              <w:top w:w="90" w:type="dxa"/>
              <w:bottom w:w="90" w:type="dxa"/>
              <w:left w:w="120" w:type="dxa"/>
              <w:right w:w="120" w:type="dxa"/>
            </w:tcMar>
          </w:tcPr>
          <w:p>
            <w:pPr>
              <w:spacing w:before="0" w:after="0"/>
            </w:pPr>
            <w:r>
              <w:rPr>
                <w:color w:val="1E293B"/>
                <w:sz w:val="17"/>
                <w:rFonts w:ascii="Calibri" w:hAnsi="Calibri"/>
              </w:rPr>
              <w:t>Borderline Arrhythmia / Tachycardia</w:t>
            </w:r>
          </w:p>
        </w:tc>
        <w:tc>
          <w:tcPr>
            <w:tcW w:w="3672" w:type="dxa"/>
            <w:shd w:val="clear" w:color="auto" w:fill="FFFFFF"/>
            <w:tcMar>
              <w:top w:w="90" w:type="dxa"/>
              <w:bottom w:w="90" w:type="dxa"/>
              <w:left w:w="120" w:type="dxa"/>
              <w:right w:w="120" w:type="dxa"/>
            </w:tcMar>
          </w:tcPr>
          <w:p>
            <w:pPr>
              <w:spacing w:before="0" w:after="0"/>
            </w:pPr>
            <w:r>
              <w:rPr>
                <w:color w:val="1E293B"/>
                <w:sz w:val="17"/>
                <w:rFonts w:ascii="Calibri" w:hAnsi="Calibri"/>
              </w:rPr>
              <w:t>Flag in nursing station dashboard; schedule repeat SQI audit</w:t>
            </w:r>
          </w:p>
        </w:tc>
      </w:tr>
      <w:tr>
        <w:tc>
          <w:tcPr>
            <w:tcW w:w="1400" w:type="dxa"/>
            <w:shd w:val="clear" w:color="auto" w:fill="F8FAFC"/>
            <w:tcMar>
              <w:top w:w="90" w:type="dxa"/>
              <w:bottom w:w="90" w:type="dxa"/>
              <w:left w:w="120" w:type="dxa"/>
              <w:right w:w="120" w:type="dxa"/>
            </w:tcMar>
          </w:tcPr>
          <w:p>
            <w:pPr>
              <w:spacing w:before="0" w:after="0"/>
            </w:pPr>
            <w:r>
              <w:rPr>
                <w:b/>
                <w:color w:val="B91C1C"/>
                <w:sz w:val="17"/>
                <w:rFonts w:ascii="Calibri" w:hAnsi="Calibri"/>
              </w:rPr>
              <w:t>CRITICAL</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P &gt;= 0.70</w:t>
            </w:r>
          </w:p>
        </w:tc>
        <w:tc>
          <w:tcPr>
            <w:tcW w:w="2200" w:type="dxa"/>
            <w:shd w:val="clear" w:color="auto" w:fill="F8FAFC"/>
            <w:tcMar>
              <w:top w:w="90" w:type="dxa"/>
              <w:bottom w:w="90" w:type="dxa"/>
              <w:left w:w="120" w:type="dxa"/>
              <w:right w:w="120" w:type="dxa"/>
            </w:tcMar>
          </w:tcPr>
          <w:p>
            <w:pPr>
              <w:spacing w:before="0" w:after="0"/>
            </w:pPr>
            <w:r>
              <w:rPr>
                <w:color w:val="1E293B"/>
                <w:sz w:val="17"/>
                <w:rFonts w:ascii="Calibri" w:hAnsi="Calibri"/>
              </w:rPr>
              <w:t>Acute Cardiac Event / Severe Hypoxia</w:t>
            </w:r>
          </w:p>
        </w:tc>
        <w:tc>
          <w:tcPr>
            <w:tcW w:w="3672" w:type="dxa"/>
            <w:shd w:val="clear" w:color="auto" w:fill="F8FAFC"/>
            <w:tcMar>
              <w:top w:w="90" w:type="dxa"/>
              <w:bottom w:w="90" w:type="dxa"/>
              <w:left w:w="120" w:type="dxa"/>
              <w:right w:w="120" w:type="dxa"/>
            </w:tcMar>
          </w:tcPr>
          <w:p>
            <w:pPr>
              <w:spacing w:before="0" w:after="0"/>
            </w:pPr>
            <w:r>
              <w:rPr>
                <w:color w:val="1E293B"/>
                <w:sz w:val="17"/>
                <w:rFonts w:ascii="Calibri" w:hAnsi="Calibri"/>
              </w:rPr>
              <w:t>Trigger immediate audible alarm, dispatch ICU physician, activate ESP32 hardware LED</w:t>
            </w:r>
          </w:p>
        </w:tc>
      </w:tr>
    </w:tbl>
    <w:p>
      <w:pPr>
        <w:spacing w:before="120" w:after="120"/>
      </w:pPr>
    </w:p>
    <w:p>
      <w:r>
        <w:br w:type="page"/>
      </w:r>
    </w:p>
    <w:p>
      <w:pPr>
        <w:spacing w:before="360" w:after="140"/>
        <w:pBdr>
          <w:bottom w:val="single" w:sz="12" w:space="4" w:color="0284C7"/>
        </w:pBdr>
      </w:pPr>
      <w:r>
        <w:rPr>
          <w:rFonts w:ascii="Calibri" w:hAnsi="Calibri"/>
          <w:b/>
          <w:color w:val="0369A1"/>
          <w:sz w:val="32"/>
        </w:rPr>
        <w:t>6. Algorithmic Fairness &amp; Demographic Bias Audit</w:t>
      </w:r>
    </w:p>
    <w:p>
      <w:pPr>
        <w:spacing w:before="60" w:after="80"/>
        <w:line w:line="276" w:lineRule="auto"/>
      </w:pPr>
      <w:r>
        <w:rPr>
          <w:color w:val="1E293B"/>
          <w:sz w:val="21"/>
          <w:rFonts w:ascii="Calibri" w:hAnsi="Calibri"/>
        </w:rPr>
        <w:t>In healthcare AI, algorithmic bias can result in disparate mortality rates across demographic cohorts. The system evaluates Disparate Impact and Equalized Odds (True Positive Rate parity) across protected subgroups under the EEOC 80% (4/5ths) rule.</w:t>
      </w:r>
    </w:p>
    <w:tbl>
      <w:tblPr>
        <w:tblW w:w="9072" w:type="dxa"/>
        <w:tblBorders>
          <w:top w:val="single" w:sz="6" w:space="0" w:color="CBD5E1"/>
          <w:bottom w:val="single" w:sz="6" w:space="0" w:color="CBD5E1"/>
          <w:insideH w:val="single" w:sz="4" w:space="0" w:color="E2E8F0"/>
          <w:insideV w:val="single" w:sz="4" w:space="0" w:color="E2E8F0"/>
        </w:tblBorders>
      </w:tblPr>
      <w:tr>
        <w:tc>
          <w:tcPr>
            <w:tcW w:w="1600" w:type="dxa"/>
            <w:shd w:val="clear" w:color="auto" w:fill="0F2942"/>
            <w:tcMar>
              <w:top w:w="100" w:type="dxa"/>
              <w:bottom w:w="100" w:type="dxa"/>
              <w:left w:w="120" w:type="dxa"/>
              <w:right w:w="120" w:type="dxa"/>
            </w:tcMar>
          </w:tcPr>
          <w:p>
            <w:pPr>
              <w:spacing w:before="0" w:after="0"/>
            </w:pPr>
            <w:r>
              <w:rPr>
                <w:b/>
                <w:color w:val="FFFFFF"/>
                <w:sz w:val="18"/>
                <w:rFonts w:ascii="Calibri" w:hAnsi="Calibri"/>
              </w:rPr>
              <w:t>Demographic Dimension</w:t>
            </w:r>
          </w:p>
        </w:tc>
        <w:tc>
          <w:tcPr>
            <w:tcW w:w="1400" w:type="dxa"/>
            <w:shd w:val="clear" w:color="auto" w:fill="0F2942"/>
            <w:tcMar>
              <w:top w:w="100" w:type="dxa"/>
              <w:bottom w:w="100" w:type="dxa"/>
              <w:left w:w="120" w:type="dxa"/>
              <w:right w:w="120" w:type="dxa"/>
            </w:tcMar>
          </w:tcPr>
          <w:p>
            <w:pPr>
              <w:spacing w:before="0" w:after="0"/>
            </w:pPr>
            <w:r>
              <w:rPr>
                <w:b/>
                <w:color w:val="FFFFFF"/>
                <w:sz w:val="18"/>
                <w:rFonts w:ascii="Calibri" w:hAnsi="Calibri"/>
              </w:rPr>
              <w:t>Subgroup</w:t>
            </w:r>
          </w:p>
        </w:tc>
        <w:tc>
          <w:tcPr>
            <w:tcW w:w="1100" w:type="dxa"/>
            <w:shd w:val="clear" w:color="auto" w:fill="0F2942"/>
            <w:tcMar>
              <w:top w:w="100" w:type="dxa"/>
              <w:bottom w:w="100" w:type="dxa"/>
              <w:left w:w="120" w:type="dxa"/>
              <w:right w:w="120" w:type="dxa"/>
            </w:tcMar>
          </w:tcPr>
          <w:p>
            <w:pPr>
              <w:spacing w:before="0" w:after="0"/>
            </w:pPr>
            <w:r>
              <w:rPr>
                <w:b/>
                <w:color w:val="FFFFFF"/>
                <w:sz w:val="18"/>
                <w:rFonts w:ascii="Calibri" w:hAnsi="Calibri"/>
              </w:rPr>
              <w:t>Samples</w:t>
            </w:r>
          </w:p>
        </w:tc>
        <w:tc>
          <w:tcPr>
            <w:tcW w:w="1200" w:type="dxa"/>
            <w:shd w:val="clear" w:color="auto" w:fill="0F2942"/>
            <w:tcMar>
              <w:top w:w="100" w:type="dxa"/>
              <w:bottom w:w="100" w:type="dxa"/>
              <w:left w:w="120" w:type="dxa"/>
              <w:right w:w="120" w:type="dxa"/>
            </w:tcMar>
          </w:tcPr>
          <w:p>
            <w:pPr>
              <w:spacing w:before="0" w:after="0"/>
            </w:pPr>
            <w:r>
              <w:rPr>
                <w:b/>
                <w:color w:val="FFFFFF"/>
                <w:sz w:val="18"/>
                <w:rFonts w:ascii="Calibri" w:hAnsi="Calibri"/>
              </w:rPr>
              <w:t>Selection Rate</w:t>
            </w:r>
          </w:p>
        </w:tc>
        <w:tc>
          <w:tcPr>
            <w:tcW w:w="1300" w:type="dxa"/>
            <w:shd w:val="clear" w:color="auto" w:fill="0F2942"/>
            <w:tcMar>
              <w:top w:w="100" w:type="dxa"/>
              <w:bottom w:w="100" w:type="dxa"/>
              <w:left w:w="120" w:type="dxa"/>
              <w:right w:w="120" w:type="dxa"/>
            </w:tcMar>
          </w:tcPr>
          <w:p>
            <w:pPr>
              <w:spacing w:before="0" w:after="0"/>
            </w:pPr>
            <w:r>
              <w:rPr>
                <w:b/>
                <w:color w:val="FFFFFF"/>
                <w:sz w:val="18"/>
                <w:rFonts w:ascii="Calibri" w:hAnsi="Calibri"/>
              </w:rPr>
              <w:t>Sensitivity (TPR)</w:t>
            </w:r>
          </w:p>
        </w:tc>
        <w:tc>
          <w:tcPr>
            <w:tcW w:w="1100" w:type="dxa"/>
            <w:shd w:val="clear" w:color="auto" w:fill="0F2942"/>
            <w:tcMar>
              <w:top w:w="100" w:type="dxa"/>
              <w:bottom w:w="100" w:type="dxa"/>
              <w:left w:w="120" w:type="dxa"/>
              <w:right w:w="120" w:type="dxa"/>
            </w:tcMar>
          </w:tcPr>
          <w:p>
            <w:pPr>
              <w:spacing w:before="0" w:after="0"/>
            </w:pPr>
            <w:r>
              <w:rPr>
                <w:b/>
                <w:color w:val="FFFFFF"/>
                <w:sz w:val="18"/>
                <w:rFonts w:ascii="Calibri" w:hAnsi="Calibri"/>
              </w:rPr>
              <w:t>Specificity</w:t>
            </w:r>
          </w:p>
        </w:tc>
        <w:tc>
          <w:tcPr>
            <w:tcW w:w="1372" w:type="dxa"/>
            <w:shd w:val="clear" w:color="auto" w:fill="0F2942"/>
            <w:tcMar>
              <w:top w:w="100" w:type="dxa"/>
              <w:bottom w:w="100" w:type="dxa"/>
              <w:left w:w="120" w:type="dxa"/>
              <w:right w:w="120" w:type="dxa"/>
            </w:tcMar>
          </w:tcPr>
          <w:p>
            <w:pPr>
              <w:spacing w:before="0" w:after="0"/>
            </w:pPr>
            <w:r>
              <w:rPr>
                <w:b/>
                <w:color w:val="FFFFFF"/>
                <w:sz w:val="18"/>
                <w:rFonts w:ascii="Calibri" w:hAnsi="Calibri"/>
              </w:rPr>
              <w:t>80% Disparate Impact</w:t>
            </w:r>
          </w:p>
        </w:tc>
      </w:tr>
      <w:tr>
        <w:tc>
          <w:tcPr>
            <w:tcW w:w="1600" w:type="dxa"/>
            <w:shd w:val="clear" w:color="auto" w:fill="F8FAFC"/>
            <w:tcMar>
              <w:top w:w="90" w:type="dxa"/>
              <w:bottom w:w="90" w:type="dxa"/>
              <w:left w:w="120" w:type="dxa"/>
              <w:right w:w="120" w:type="dxa"/>
            </w:tcMar>
          </w:tcPr>
          <w:p>
            <w:pPr>
              <w:spacing w:before="0" w:after="0"/>
            </w:pPr>
            <w:r>
              <w:rPr>
                <w:b/>
                <w:color w:val="1E293B"/>
                <w:sz w:val="17"/>
                <w:rFonts w:ascii="Calibri" w:hAnsi="Calibri"/>
              </w:rPr>
              <w:t>Biological Sex</w:t>
            </w:r>
          </w:p>
        </w:tc>
        <w:tc>
          <w:tcPr>
            <w:tcW w:w="1400" w:type="dxa"/>
            <w:shd w:val="clear" w:color="auto" w:fill="F8FAFC"/>
            <w:tcMar>
              <w:top w:w="90" w:type="dxa"/>
              <w:bottom w:w="90" w:type="dxa"/>
              <w:left w:w="120" w:type="dxa"/>
              <w:right w:w="120" w:type="dxa"/>
            </w:tcMar>
          </w:tcPr>
          <w:p>
            <w:pPr>
              <w:spacing w:before="0" w:after="0"/>
            </w:pPr>
            <w:r>
              <w:rPr>
                <w:color w:val="1E293B"/>
                <w:sz w:val="17"/>
                <w:rFonts w:ascii="Calibri" w:hAnsi="Calibri"/>
              </w:rPr>
              <w:t>Female (F)</w:t>
            </w:r>
          </w:p>
        </w:tc>
        <w:tc>
          <w:tcPr>
            <w:tcW w:w="1100" w:type="dxa"/>
            <w:shd w:val="clear" w:color="auto" w:fill="F8FAFC"/>
            <w:tcMar>
              <w:top w:w="90" w:type="dxa"/>
              <w:bottom w:w="90" w:type="dxa"/>
              <w:left w:w="120" w:type="dxa"/>
              <w:right w:w="120" w:type="dxa"/>
            </w:tcMar>
          </w:tcPr>
          <w:p>
            <w:pPr>
              <w:spacing w:before="0" w:after="0"/>
            </w:pPr>
            <w:r>
              <w:rPr>
                <w:color w:val="1E293B"/>
                <w:sz w:val="17"/>
                <w:rFonts w:ascii="Calibri" w:hAnsi="Calibri"/>
              </w:rPr>
              <w:t>70 segments</w:t>
            </w:r>
          </w:p>
        </w:tc>
        <w:tc>
          <w:tcPr>
            <w:tcW w:w="1200" w:type="dxa"/>
            <w:shd w:val="clear" w:color="auto" w:fill="F8FAFC"/>
            <w:tcMar>
              <w:top w:w="90" w:type="dxa"/>
              <w:bottom w:w="90" w:type="dxa"/>
              <w:left w:w="120" w:type="dxa"/>
              <w:right w:w="120" w:type="dxa"/>
            </w:tcMar>
          </w:tcPr>
          <w:p>
            <w:pPr>
              <w:spacing w:before="0" w:after="0"/>
            </w:pPr>
            <w:r>
              <w:rPr>
                <w:color w:val="1E293B"/>
                <w:sz w:val="17"/>
                <w:rFonts w:ascii="Calibri" w:hAnsi="Calibri"/>
              </w:rPr>
              <w:t>25.7%</w:t>
            </w:r>
          </w:p>
        </w:tc>
        <w:tc>
          <w:tcPr>
            <w:tcW w:w="1300" w:type="dxa"/>
            <w:shd w:val="clear" w:color="auto" w:fill="F8FAFC"/>
            <w:tcMar>
              <w:top w:w="90" w:type="dxa"/>
              <w:bottom w:w="90" w:type="dxa"/>
              <w:left w:w="120" w:type="dxa"/>
              <w:right w:w="120" w:type="dxa"/>
            </w:tcMar>
          </w:tcPr>
          <w:p>
            <w:pPr>
              <w:spacing w:before="0" w:after="0"/>
            </w:pPr>
            <w:r>
              <w:rPr>
                <w:color w:val="1E293B"/>
                <w:sz w:val="17"/>
                <w:rFonts w:ascii="Calibri" w:hAnsi="Calibri"/>
              </w:rPr>
              <w:t>51.4%</w:t>
            </w:r>
          </w:p>
        </w:tc>
        <w:tc>
          <w:tcPr>
            <w:tcW w:w="1100" w:type="dxa"/>
            <w:shd w:val="clear" w:color="auto" w:fill="F8FAFC"/>
            <w:tcMar>
              <w:top w:w="90" w:type="dxa"/>
              <w:bottom w:w="90" w:type="dxa"/>
              <w:left w:w="120" w:type="dxa"/>
              <w:right w:w="120" w:type="dxa"/>
            </w:tcMar>
          </w:tcPr>
          <w:p>
            <w:pPr>
              <w:spacing w:before="0" w:after="0"/>
            </w:pPr>
            <w:r>
              <w:rPr>
                <w:color w:val="1E293B"/>
                <w:sz w:val="17"/>
                <w:rFonts w:ascii="Calibri" w:hAnsi="Calibri"/>
              </w:rPr>
              <w:t>100.0%</w:t>
            </w:r>
          </w:p>
        </w:tc>
        <w:tc>
          <w:tcPr>
            <w:tcW w:w="1372" w:type="dxa"/>
            <w:shd w:val="clear" w:color="auto" w:fill="F8FAFC"/>
            <w:tcMar>
              <w:top w:w="90" w:type="dxa"/>
              <w:bottom w:w="90" w:type="dxa"/>
              <w:left w:w="120" w:type="dxa"/>
              <w:right w:w="120" w:type="dxa"/>
            </w:tcMar>
          </w:tcPr>
          <w:p>
            <w:pPr>
              <w:spacing w:before="0" w:after="0"/>
            </w:pPr>
            <w:r>
              <w:rPr>
                <w:color w:val="1E293B"/>
                <w:sz w:val="17"/>
                <w:rFonts w:ascii="Calibri" w:hAnsi="Calibri"/>
              </w:rPr>
              <w:t>Baseline Group (1.00)</w:t>
            </w:r>
          </w:p>
        </w:tc>
      </w:tr>
      <w:tr>
        <w:tc>
          <w:tcPr>
            <w:tcW w:w="1600" w:type="dxa"/>
            <w:shd w:val="clear" w:color="auto" w:fill="FFFFFF"/>
            <w:tcMar>
              <w:top w:w="90" w:type="dxa"/>
              <w:bottom w:w="90" w:type="dxa"/>
              <w:left w:w="120" w:type="dxa"/>
              <w:right w:w="120" w:type="dxa"/>
            </w:tcMar>
          </w:tcPr>
          <w:p>
            <w:pPr>
              <w:spacing w:before="0" w:after="0"/>
            </w:pPr>
            <w:r>
              <w:rPr>
                <w:b/>
                <w:color w:val="1E293B"/>
                <w:sz w:val="17"/>
                <w:rFonts w:ascii="Calibri" w:hAnsi="Calibri"/>
              </w:rPr>
              <w:t>Biological Sex</w:t>
            </w:r>
          </w:p>
        </w:tc>
        <w:tc>
          <w:tcPr>
            <w:tcW w:w="1400" w:type="dxa"/>
            <w:shd w:val="clear" w:color="auto" w:fill="FFFFFF"/>
            <w:tcMar>
              <w:top w:w="90" w:type="dxa"/>
              <w:bottom w:w="90" w:type="dxa"/>
              <w:left w:w="120" w:type="dxa"/>
              <w:right w:w="120" w:type="dxa"/>
            </w:tcMar>
          </w:tcPr>
          <w:p>
            <w:pPr>
              <w:spacing w:before="0" w:after="0"/>
            </w:pPr>
            <w:r>
              <w:rPr>
                <w:color w:val="1E293B"/>
                <w:sz w:val="17"/>
                <w:rFonts w:ascii="Calibri" w:hAnsi="Calibri"/>
              </w:rPr>
              <w:t>Male (M)</w:t>
            </w:r>
          </w:p>
        </w:tc>
        <w:tc>
          <w:tcPr>
            <w:tcW w:w="1100" w:type="dxa"/>
            <w:shd w:val="clear" w:color="auto" w:fill="FFFFFF"/>
            <w:tcMar>
              <w:top w:w="90" w:type="dxa"/>
              <w:bottom w:w="90" w:type="dxa"/>
              <w:left w:w="120" w:type="dxa"/>
              <w:right w:w="120" w:type="dxa"/>
            </w:tcMar>
          </w:tcPr>
          <w:p>
            <w:pPr>
              <w:spacing w:before="0" w:after="0"/>
            </w:pPr>
            <w:r>
              <w:rPr>
                <w:color w:val="1E293B"/>
                <w:sz w:val="17"/>
                <w:rFonts w:ascii="Calibri" w:hAnsi="Calibri"/>
              </w:rPr>
              <w:t>35 segments</w:t>
            </w:r>
          </w:p>
        </w:tc>
        <w:tc>
          <w:tcPr>
            <w:tcW w:w="1200" w:type="dxa"/>
            <w:shd w:val="clear" w:color="auto" w:fill="FFFFFF"/>
            <w:tcMar>
              <w:top w:w="90" w:type="dxa"/>
              <w:bottom w:w="90" w:type="dxa"/>
              <w:left w:w="120" w:type="dxa"/>
              <w:right w:w="120" w:type="dxa"/>
            </w:tcMar>
          </w:tcPr>
          <w:p>
            <w:pPr>
              <w:spacing w:before="0" w:after="0"/>
            </w:pPr>
            <w:r>
              <w:rPr>
                <w:color w:val="1E293B"/>
                <w:sz w:val="17"/>
                <w:rFonts w:ascii="Calibri" w:hAnsi="Calibri"/>
              </w:rPr>
              <w:t>0.0%</w:t>
            </w:r>
          </w:p>
        </w:tc>
        <w:tc>
          <w:tcPr>
            <w:tcW w:w="1300" w:type="dxa"/>
            <w:shd w:val="clear" w:color="auto" w:fill="FFFFFF"/>
            <w:tcMar>
              <w:top w:w="90" w:type="dxa"/>
              <w:bottom w:w="90" w:type="dxa"/>
              <w:left w:w="120" w:type="dxa"/>
              <w:right w:w="120" w:type="dxa"/>
            </w:tcMar>
          </w:tcPr>
          <w:p>
            <w:pPr>
              <w:spacing w:before="0" w:after="0"/>
            </w:pPr>
            <w:r>
              <w:rPr>
                <w:color w:val="1E293B"/>
                <w:sz w:val="17"/>
                <w:rFonts w:ascii="Calibri" w:hAnsi="Calibri"/>
              </w:rPr>
              <w:t>0.0%</w:t>
            </w:r>
          </w:p>
        </w:tc>
        <w:tc>
          <w:tcPr>
            <w:tcW w:w="1100" w:type="dxa"/>
            <w:shd w:val="clear" w:color="auto" w:fill="FFFFFF"/>
            <w:tcMar>
              <w:top w:w="90" w:type="dxa"/>
              <w:bottom w:w="90" w:type="dxa"/>
              <w:left w:w="120" w:type="dxa"/>
              <w:right w:w="120" w:type="dxa"/>
            </w:tcMar>
          </w:tcPr>
          <w:p>
            <w:pPr>
              <w:spacing w:before="0" w:after="0"/>
            </w:pPr>
            <w:r>
              <w:rPr>
                <w:color w:val="1E293B"/>
                <w:sz w:val="17"/>
                <w:rFonts w:ascii="Calibri" w:hAnsi="Calibri"/>
              </w:rPr>
              <w:t>100.0%</w:t>
            </w:r>
          </w:p>
        </w:tc>
        <w:tc>
          <w:tcPr>
            <w:tcW w:w="1372" w:type="dxa"/>
            <w:shd w:val="clear" w:color="auto" w:fill="FFFFFF"/>
            <w:tcMar>
              <w:top w:w="90" w:type="dxa"/>
              <w:bottom w:w="90" w:type="dxa"/>
              <w:left w:w="120" w:type="dxa"/>
              <w:right w:w="120" w:type="dxa"/>
            </w:tcMar>
          </w:tcPr>
          <w:p>
            <w:pPr>
              <w:spacing w:before="0" w:after="0"/>
            </w:pPr>
            <w:r>
              <w:rPr>
                <w:color w:val="1E293B"/>
                <w:sz w:val="17"/>
                <w:rFonts w:ascii="Calibri" w:hAnsi="Calibri"/>
              </w:rPr>
              <w:t>0.00 (Flagged for training expansion)</w:t>
            </w:r>
          </w:p>
        </w:tc>
      </w:tr>
      <w:tr>
        <w:tc>
          <w:tcPr>
            <w:tcW w:w="1600" w:type="dxa"/>
            <w:shd w:val="clear" w:color="auto" w:fill="F8FAFC"/>
            <w:tcMar>
              <w:top w:w="90" w:type="dxa"/>
              <w:bottom w:w="90" w:type="dxa"/>
              <w:left w:w="120" w:type="dxa"/>
              <w:right w:w="120" w:type="dxa"/>
            </w:tcMar>
          </w:tcPr>
          <w:p>
            <w:pPr>
              <w:spacing w:before="0" w:after="0"/>
            </w:pPr>
            <w:r>
              <w:rPr>
                <w:b/>
                <w:color w:val="1E293B"/>
                <w:sz w:val="17"/>
                <w:rFonts w:ascii="Calibri" w:hAnsi="Calibri"/>
              </w:rPr>
              <w:t>Age Category</w:t>
            </w:r>
          </w:p>
        </w:tc>
        <w:tc>
          <w:tcPr>
            <w:tcW w:w="1400" w:type="dxa"/>
            <w:shd w:val="clear" w:color="auto" w:fill="F8FAFC"/>
            <w:tcMar>
              <w:top w:w="90" w:type="dxa"/>
              <w:bottom w:w="90" w:type="dxa"/>
              <w:left w:w="120" w:type="dxa"/>
              <w:right w:w="120" w:type="dxa"/>
            </w:tcMar>
          </w:tcPr>
          <w:p>
            <w:pPr>
              <w:spacing w:before="0" w:after="0"/>
            </w:pPr>
            <w:r>
              <w:rPr>
                <w:color w:val="1E293B"/>
                <w:sz w:val="17"/>
                <w:rFonts w:ascii="Calibri" w:hAnsi="Calibri"/>
              </w:rPr>
              <w:t>Non-Senior (&lt;65)</w:t>
            </w:r>
          </w:p>
        </w:tc>
        <w:tc>
          <w:tcPr>
            <w:tcW w:w="1100" w:type="dxa"/>
            <w:shd w:val="clear" w:color="auto" w:fill="F8FAFC"/>
            <w:tcMar>
              <w:top w:w="90" w:type="dxa"/>
              <w:bottom w:w="90" w:type="dxa"/>
              <w:left w:w="120" w:type="dxa"/>
              <w:right w:w="120" w:type="dxa"/>
            </w:tcMar>
          </w:tcPr>
          <w:p>
            <w:pPr>
              <w:spacing w:before="0" w:after="0"/>
            </w:pPr>
            <w:r>
              <w:rPr>
                <w:color w:val="1E293B"/>
                <w:sz w:val="17"/>
                <w:rFonts w:ascii="Calibri" w:hAnsi="Calibri"/>
              </w:rPr>
              <w:t>105 segments</w:t>
            </w:r>
          </w:p>
        </w:tc>
        <w:tc>
          <w:tcPr>
            <w:tcW w:w="1200" w:type="dxa"/>
            <w:shd w:val="clear" w:color="auto" w:fill="F8FAFC"/>
            <w:tcMar>
              <w:top w:w="90" w:type="dxa"/>
              <w:bottom w:w="90" w:type="dxa"/>
              <w:left w:w="120" w:type="dxa"/>
              <w:right w:w="120" w:type="dxa"/>
            </w:tcMar>
          </w:tcPr>
          <w:p>
            <w:pPr>
              <w:spacing w:before="0" w:after="0"/>
            </w:pPr>
            <w:r>
              <w:rPr>
                <w:color w:val="1E293B"/>
                <w:sz w:val="17"/>
                <w:rFonts w:ascii="Calibri" w:hAnsi="Calibri"/>
              </w:rPr>
              <w:t>17.1%</w:t>
            </w:r>
          </w:p>
        </w:tc>
        <w:tc>
          <w:tcPr>
            <w:tcW w:w="1300" w:type="dxa"/>
            <w:shd w:val="clear" w:color="auto" w:fill="F8FAFC"/>
            <w:tcMar>
              <w:top w:w="90" w:type="dxa"/>
              <w:bottom w:w="90" w:type="dxa"/>
              <w:left w:w="120" w:type="dxa"/>
              <w:right w:w="120" w:type="dxa"/>
            </w:tcMar>
          </w:tcPr>
          <w:p>
            <w:pPr>
              <w:spacing w:before="0" w:after="0"/>
            </w:pPr>
            <w:r>
              <w:rPr>
                <w:color w:val="1E293B"/>
                <w:sz w:val="17"/>
                <w:rFonts w:ascii="Calibri" w:hAnsi="Calibri"/>
              </w:rPr>
              <w:t>51.4%</w:t>
            </w:r>
          </w:p>
        </w:tc>
        <w:tc>
          <w:tcPr>
            <w:tcW w:w="1100" w:type="dxa"/>
            <w:shd w:val="clear" w:color="auto" w:fill="F8FAFC"/>
            <w:tcMar>
              <w:top w:w="90" w:type="dxa"/>
              <w:bottom w:w="90" w:type="dxa"/>
              <w:left w:w="120" w:type="dxa"/>
              <w:right w:w="120" w:type="dxa"/>
            </w:tcMar>
          </w:tcPr>
          <w:p>
            <w:pPr>
              <w:spacing w:before="0" w:after="0"/>
            </w:pPr>
            <w:r>
              <w:rPr>
                <w:color w:val="1E293B"/>
                <w:sz w:val="17"/>
                <w:rFonts w:ascii="Calibri" w:hAnsi="Calibri"/>
              </w:rPr>
              <w:t>100.0%</w:t>
            </w:r>
          </w:p>
        </w:tc>
        <w:tc>
          <w:tcPr>
            <w:tcW w:w="1372" w:type="dxa"/>
            <w:shd w:val="clear" w:color="auto" w:fill="F8FAFC"/>
            <w:tcMar>
              <w:top w:w="90" w:type="dxa"/>
              <w:bottom w:w="90" w:type="dxa"/>
              <w:left w:w="120" w:type="dxa"/>
              <w:right w:w="120" w:type="dxa"/>
            </w:tcMar>
          </w:tcPr>
          <w:p>
            <w:pPr>
              <w:spacing w:before="0" w:after="0"/>
            </w:pPr>
            <w:r>
              <w:rPr>
                <w:b/>
                <w:color w:val="15803D"/>
                <w:sz w:val="17"/>
                <w:rFonts w:ascii="Calibri" w:hAnsi="Calibri"/>
              </w:rPr>
              <w:t>PASS (Disparate Impact = 1.00)</w:t>
            </w:r>
          </w:p>
        </w:tc>
      </w:tr>
      <w:tr>
        <w:tc>
          <w:tcPr>
            <w:tcW w:w="1600" w:type="dxa"/>
            <w:shd w:val="clear" w:color="auto" w:fill="FFFFFF"/>
            <w:tcMar>
              <w:top w:w="90" w:type="dxa"/>
              <w:bottom w:w="90" w:type="dxa"/>
              <w:left w:w="120" w:type="dxa"/>
              <w:right w:w="120" w:type="dxa"/>
            </w:tcMar>
          </w:tcPr>
          <w:p>
            <w:pPr>
              <w:spacing w:before="0" w:after="0"/>
            </w:pPr>
            <w:r>
              <w:rPr>
                <w:b/>
                <w:color w:val="1E293B"/>
                <w:sz w:val="17"/>
                <w:rFonts w:ascii="Calibri" w:hAnsi="Calibri"/>
              </w:rPr>
              <w:t>Age Category</w:t>
            </w:r>
          </w:p>
        </w:tc>
        <w:tc>
          <w:tcPr>
            <w:tcW w:w="1400" w:type="dxa"/>
            <w:shd w:val="clear" w:color="auto" w:fill="FFFFFF"/>
            <w:tcMar>
              <w:top w:w="90" w:type="dxa"/>
              <w:bottom w:w="90" w:type="dxa"/>
              <w:left w:w="120" w:type="dxa"/>
              <w:right w:w="120" w:type="dxa"/>
            </w:tcMar>
          </w:tcPr>
          <w:p>
            <w:pPr>
              <w:spacing w:before="0" w:after="0"/>
            </w:pPr>
            <w:r>
              <w:rPr>
                <w:color w:val="1E293B"/>
                <w:sz w:val="17"/>
                <w:rFonts w:ascii="Calibri" w:hAnsi="Calibri"/>
              </w:rPr>
              <w:t>Senior (&gt;=65)</w:t>
            </w:r>
          </w:p>
        </w:tc>
        <w:tc>
          <w:tcPr>
            <w:tcW w:w="1100" w:type="dxa"/>
            <w:shd w:val="clear" w:color="auto" w:fill="FFFFFF"/>
            <w:tcMar>
              <w:top w:w="90" w:type="dxa"/>
              <w:bottom w:w="90" w:type="dxa"/>
              <w:left w:w="120" w:type="dxa"/>
              <w:right w:w="120" w:type="dxa"/>
            </w:tcMar>
          </w:tcPr>
          <w:p>
            <w:pPr>
              <w:spacing w:before="0" w:after="0"/>
            </w:pPr>
            <w:r>
              <w:rPr>
                <w:color w:val="1E293B"/>
                <w:sz w:val="17"/>
                <w:rFonts w:ascii="Calibri" w:hAnsi="Calibri"/>
              </w:rPr>
              <w:t>Val holdout</w:t>
            </w:r>
          </w:p>
        </w:tc>
        <w:tc>
          <w:tcPr>
            <w:tcW w:w="1200" w:type="dxa"/>
            <w:shd w:val="clear" w:color="auto" w:fill="FFFFFF"/>
            <w:tcMar>
              <w:top w:w="90" w:type="dxa"/>
              <w:bottom w:w="90" w:type="dxa"/>
              <w:left w:w="120" w:type="dxa"/>
              <w:right w:w="120" w:type="dxa"/>
            </w:tcMar>
          </w:tcPr>
          <w:p>
            <w:pPr>
              <w:spacing w:before="0" w:after="0"/>
            </w:pPr>
            <w:r>
              <w:rPr>
                <w:color w:val="1E293B"/>
                <w:sz w:val="17"/>
                <w:rFonts w:ascii="Calibri" w:hAnsi="Calibri"/>
              </w:rPr>
              <w:t>18.2%</w:t>
            </w:r>
          </w:p>
        </w:tc>
        <w:tc>
          <w:tcPr>
            <w:tcW w:w="1300" w:type="dxa"/>
            <w:shd w:val="clear" w:color="auto" w:fill="FFFFFF"/>
            <w:tcMar>
              <w:top w:w="90" w:type="dxa"/>
              <w:bottom w:w="90" w:type="dxa"/>
              <w:left w:w="120" w:type="dxa"/>
              <w:right w:w="120" w:type="dxa"/>
            </w:tcMar>
          </w:tcPr>
          <w:p>
            <w:pPr>
              <w:spacing w:before="0" w:after="0"/>
            </w:pPr>
            <w:r>
              <w:rPr>
                <w:color w:val="1E293B"/>
                <w:sz w:val="17"/>
                <w:rFonts w:ascii="Calibri" w:hAnsi="Calibri"/>
              </w:rPr>
              <w:t>50.0%</w:t>
            </w:r>
          </w:p>
        </w:tc>
        <w:tc>
          <w:tcPr>
            <w:tcW w:w="1100" w:type="dxa"/>
            <w:shd w:val="clear" w:color="auto" w:fill="FFFFFF"/>
            <w:tcMar>
              <w:top w:w="90" w:type="dxa"/>
              <w:bottom w:w="90" w:type="dxa"/>
              <w:left w:w="120" w:type="dxa"/>
              <w:right w:w="120" w:type="dxa"/>
            </w:tcMar>
          </w:tcPr>
          <w:p>
            <w:pPr>
              <w:spacing w:before="0" w:after="0"/>
            </w:pPr>
            <w:r>
              <w:rPr>
                <w:color w:val="1E293B"/>
                <w:sz w:val="17"/>
                <w:rFonts w:ascii="Calibri" w:hAnsi="Calibri"/>
              </w:rPr>
              <w:t>100.0%</w:t>
            </w:r>
          </w:p>
        </w:tc>
        <w:tc>
          <w:tcPr>
            <w:tcW w:w="1372" w:type="dxa"/>
            <w:shd w:val="clear" w:color="auto" w:fill="FFFFFF"/>
            <w:tcMar>
              <w:top w:w="90" w:type="dxa"/>
              <w:bottom w:w="90" w:type="dxa"/>
              <w:left w:w="120" w:type="dxa"/>
              <w:right w:w="120" w:type="dxa"/>
            </w:tcMar>
          </w:tcPr>
          <w:p>
            <w:pPr>
              <w:spacing w:before="0" w:after="0"/>
            </w:pPr>
            <w:r>
              <w:rPr>
                <w:b/>
                <w:color w:val="15803D"/>
                <w:sz w:val="17"/>
                <w:rFonts w:ascii="Calibri" w:hAnsi="Calibri"/>
              </w:rPr>
              <w:t>PASS (Disparate Impact = 0.95)</w:t>
            </w:r>
          </w:p>
        </w:tc>
      </w:tr>
    </w:tbl>
    <w:p>
      <w:pPr>
        <w:spacing w:before="120" w:after="120"/>
      </w:pPr>
    </w:p>
    <w:p>
      <w:pPr>
        <w:spacing w:before="360" w:after="140"/>
        <w:pBdr>
          <w:bottom w:val="single" w:sz="12" w:space="4" w:color="0284C7"/>
        </w:pBdr>
      </w:pPr>
      <w:r>
        <w:rPr>
          <w:rFonts w:ascii="Calibri" w:hAnsi="Calibri"/>
          <w:b/>
          <w:color w:val="0369A1"/>
          <w:sz w:val="32"/>
        </w:rPr>
        <w:t>7. How2Electronics ESP32 IoT Hardware Specification &amp; Circuit Pinout</w:t>
      </w:r>
    </w:p>
    <w:p>
      <w:pPr>
        <w:spacing w:before="60" w:after="80"/>
        <w:line w:line="276" w:lineRule="auto"/>
      </w:pPr>
      <w:r>
        <w:rPr>
          <w:color w:val="1E293B"/>
          <w:sz w:val="21"/>
          <w:rFonts w:ascii="Calibri" w:hAnsi="Calibri"/>
        </w:rPr>
        <w:t>The software pipeline interfaces directly with the How2Electronics ESP32 Patient Health Monitor IoT setup, collecting multi-parameter vitals (AD8232 ECG + MAX30102 Pulse Oximeter + DS18B20 Temperature) and transmitting authenticated telemetry packets over local Wi-Fi to the server on port 8000.</w:t>
      </w:r>
    </w:p>
    <w:tbl>
      <w:tblPr>
        <w:tblW w:w="9072" w:type="dxa"/>
        <w:tblBorders>
          <w:top w:val="single" w:sz="6" w:space="0" w:color="CBD5E1"/>
          <w:bottom w:val="single" w:sz="6" w:space="0" w:color="CBD5E1"/>
          <w:insideH w:val="single" w:sz="4" w:space="0" w:color="E2E8F0"/>
          <w:insideV w:val="single" w:sz="4" w:space="0" w:color="E2E8F0"/>
        </w:tblBorders>
      </w:tblPr>
      <w:tr>
        <w:tc>
          <w:tcPr>
            <w:tcW w:w="1800" w:type="dxa"/>
            <w:shd w:val="clear" w:color="auto" w:fill="0F2942"/>
            <w:tcMar>
              <w:top w:w="100" w:type="dxa"/>
              <w:bottom w:w="100" w:type="dxa"/>
              <w:left w:w="120" w:type="dxa"/>
              <w:right w:w="120" w:type="dxa"/>
            </w:tcMar>
          </w:tcPr>
          <w:p>
            <w:pPr>
              <w:spacing w:before="0" w:after="0"/>
            </w:pPr>
            <w:r>
              <w:rPr>
                <w:b/>
                <w:color w:val="FFFFFF"/>
                <w:sz w:val="18"/>
                <w:rFonts w:ascii="Calibri" w:hAnsi="Calibri"/>
              </w:rPr>
              <w:t>Sensor Subsystem</w:t>
            </w:r>
          </w:p>
        </w:tc>
        <w:tc>
          <w:tcPr>
            <w:tcW w:w="1500" w:type="dxa"/>
            <w:shd w:val="clear" w:color="auto" w:fill="0F2942"/>
            <w:tcMar>
              <w:top w:w="100" w:type="dxa"/>
              <w:bottom w:w="100" w:type="dxa"/>
              <w:left w:w="120" w:type="dxa"/>
              <w:right w:w="120" w:type="dxa"/>
            </w:tcMar>
          </w:tcPr>
          <w:p>
            <w:pPr>
              <w:spacing w:before="0" w:after="0"/>
            </w:pPr>
            <w:r>
              <w:rPr>
                <w:b/>
                <w:color w:val="FFFFFF"/>
                <w:sz w:val="18"/>
                <w:rFonts w:ascii="Calibri" w:hAnsi="Calibri"/>
              </w:rPr>
              <w:t>Module Pin</w:t>
            </w:r>
          </w:p>
        </w:tc>
        <w:tc>
          <w:tcPr>
            <w:tcW w:w="1600" w:type="dxa"/>
            <w:shd w:val="clear" w:color="auto" w:fill="0F2942"/>
            <w:tcMar>
              <w:top w:w="100" w:type="dxa"/>
              <w:bottom w:w="100" w:type="dxa"/>
              <w:left w:w="120" w:type="dxa"/>
              <w:right w:w="120" w:type="dxa"/>
            </w:tcMar>
          </w:tcPr>
          <w:p>
            <w:pPr>
              <w:spacing w:before="0" w:after="0"/>
            </w:pPr>
            <w:r>
              <w:rPr>
                <w:b/>
                <w:color w:val="FFFFFF"/>
                <w:sz w:val="18"/>
                <w:rFonts w:ascii="Calibri" w:hAnsi="Calibri"/>
              </w:rPr>
              <w:t>ESP32 GPIO Pin</w:t>
            </w:r>
          </w:p>
        </w:tc>
        <w:tc>
          <w:tcPr>
            <w:tcW w:w="1800" w:type="dxa"/>
            <w:shd w:val="clear" w:color="auto" w:fill="0F2942"/>
            <w:tcMar>
              <w:top w:w="100" w:type="dxa"/>
              <w:bottom w:w="100" w:type="dxa"/>
              <w:left w:w="120" w:type="dxa"/>
              <w:right w:w="120" w:type="dxa"/>
            </w:tcMar>
          </w:tcPr>
          <w:p>
            <w:pPr>
              <w:spacing w:before="0" w:after="0"/>
            </w:pPr>
            <w:r>
              <w:rPr>
                <w:b/>
                <w:color w:val="FFFFFF"/>
                <w:sz w:val="18"/>
                <w:rFonts w:ascii="Calibri" w:hAnsi="Calibri"/>
              </w:rPr>
              <w:t>Electrical Characteristic</w:t>
            </w:r>
          </w:p>
        </w:tc>
        <w:tc>
          <w:tcPr>
            <w:tcW w:w="2372" w:type="dxa"/>
            <w:shd w:val="clear" w:color="auto" w:fill="0F2942"/>
            <w:tcMar>
              <w:top w:w="100" w:type="dxa"/>
              <w:bottom w:w="100" w:type="dxa"/>
              <w:left w:w="120" w:type="dxa"/>
              <w:right w:w="120" w:type="dxa"/>
            </w:tcMar>
          </w:tcPr>
          <w:p>
            <w:pPr>
              <w:spacing w:before="0" w:after="0"/>
            </w:pPr>
            <w:r>
              <w:rPr>
                <w:b/>
                <w:color w:val="FFFFFF"/>
                <w:sz w:val="18"/>
                <w:rFonts w:ascii="Calibri" w:hAnsi="Calibri"/>
              </w:rPr>
              <w:t>Functional Purpose</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AD8232 (ECG Front-End)</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OUT (Analog)</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GPIO 36 (VP / ADC1)</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Analog 0 - 3.3V</w:t>
            </w:r>
          </w:p>
        </w:tc>
        <w:tc>
          <w:tcPr>
            <w:tcW w:w="2372" w:type="dxa"/>
            <w:shd w:val="clear" w:color="auto" w:fill="F8FAFC"/>
            <w:tcMar>
              <w:top w:w="90" w:type="dxa"/>
              <w:bottom w:w="90" w:type="dxa"/>
              <w:left w:w="120" w:type="dxa"/>
              <w:right w:w="120" w:type="dxa"/>
            </w:tcMar>
          </w:tcPr>
          <w:p>
            <w:pPr>
              <w:spacing w:before="0" w:after="0"/>
            </w:pPr>
            <w:r>
              <w:rPr>
                <w:color w:val="1E293B"/>
                <w:sz w:val="17"/>
                <w:rFonts w:ascii="Calibri" w:hAnsi="Calibri"/>
              </w:rPr>
              <w:t>Biopotential amplified cardiac waveform</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AD8232 (ECG Front-End)</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LO+ (Lead-Off +)</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GPIO 2 (Digital IN)</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Digital Active-High</w:t>
            </w:r>
          </w:p>
        </w:tc>
        <w:tc>
          <w:tcPr>
            <w:tcW w:w="2372" w:type="dxa"/>
            <w:shd w:val="clear" w:color="auto" w:fill="FFFFFF"/>
            <w:tcMar>
              <w:top w:w="90" w:type="dxa"/>
              <w:bottom w:w="90" w:type="dxa"/>
              <w:left w:w="120" w:type="dxa"/>
              <w:right w:w="120" w:type="dxa"/>
            </w:tcMar>
          </w:tcPr>
          <w:p>
            <w:pPr>
              <w:spacing w:before="0" w:after="0"/>
            </w:pPr>
            <w:r>
              <w:rPr>
                <w:color w:val="1E293B"/>
                <w:sz w:val="17"/>
                <w:rFonts w:ascii="Calibri" w:hAnsi="Calibri"/>
              </w:rPr>
              <w:t>Right electrode detachment detector</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AD8232 (ECG Front-End)</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LO- (Lead-Off -)</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GPIO 4 (Digital IN)</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Digital Active-High</w:t>
            </w:r>
          </w:p>
        </w:tc>
        <w:tc>
          <w:tcPr>
            <w:tcW w:w="2372" w:type="dxa"/>
            <w:shd w:val="clear" w:color="auto" w:fill="F8FAFC"/>
            <w:tcMar>
              <w:top w:w="90" w:type="dxa"/>
              <w:bottom w:w="90" w:type="dxa"/>
              <w:left w:w="120" w:type="dxa"/>
              <w:right w:w="120" w:type="dxa"/>
            </w:tcMar>
          </w:tcPr>
          <w:p>
            <w:pPr>
              <w:spacing w:before="0" w:after="0"/>
            </w:pPr>
            <w:r>
              <w:rPr>
                <w:color w:val="1E293B"/>
                <w:sz w:val="17"/>
                <w:rFonts w:ascii="Calibri" w:hAnsi="Calibri"/>
              </w:rPr>
              <w:t>Left electrode detachment detector</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AD8232 (ECG Front-End)</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3.3V / GND</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3V3 / GND</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3.3V Regulated Power</w:t>
            </w:r>
          </w:p>
        </w:tc>
        <w:tc>
          <w:tcPr>
            <w:tcW w:w="2372" w:type="dxa"/>
            <w:shd w:val="clear" w:color="auto" w:fill="FFFFFF"/>
            <w:tcMar>
              <w:top w:w="90" w:type="dxa"/>
              <w:bottom w:w="90" w:type="dxa"/>
              <w:left w:w="120" w:type="dxa"/>
              <w:right w:w="120" w:type="dxa"/>
            </w:tcMar>
          </w:tcPr>
          <w:p>
            <w:pPr>
              <w:spacing w:before="0" w:after="0"/>
            </w:pPr>
            <w:r>
              <w:rPr>
                <w:color w:val="1E293B"/>
                <w:sz w:val="17"/>
                <w:rFonts w:ascii="Calibri" w:hAnsi="Calibri"/>
              </w:rPr>
              <w:t>Module power supply (Do NOT use 5V)</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MAX30102 (Pulse Oximeter)</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SDA (I2C Data)</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GPIO 21 (I2C)</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Digital Open-Drain</w:t>
            </w:r>
          </w:p>
        </w:tc>
        <w:tc>
          <w:tcPr>
            <w:tcW w:w="2372" w:type="dxa"/>
            <w:shd w:val="clear" w:color="auto" w:fill="F8FAFC"/>
            <w:tcMar>
              <w:top w:w="90" w:type="dxa"/>
              <w:bottom w:w="90" w:type="dxa"/>
              <w:left w:w="120" w:type="dxa"/>
              <w:right w:w="120" w:type="dxa"/>
            </w:tcMar>
          </w:tcPr>
          <w:p>
            <w:pPr>
              <w:spacing w:before="0" w:after="0"/>
            </w:pPr>
            <w:r>
              <w:rPr>
                <w:color w:val="1E293B"/>
                <w:sz w:val="17"/>
                <w:rFonts w:ascii="Calibri" w:hAnsi="Calibri"/>
              </w:rPr>
              <w:t>I2C Serial Data line (400 kHz)</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MAX30102 (Pulse Oximeter)</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SCL (I2C Clock)</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GPIO 22 (I2C)</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Digital Clock</w:t>
            </w:r>
          </w:p>
        </w:tc>
        <w:tc>
          <w:tcPr>
            <w:tcW w:w="2372" w:type="dxa"/>
            <w:shd w:val="clear" w:color="auto" w:fill="FFFFFF"/>
            <w:tcMar>
              <w:top w:w="90" w:type="dxa"/>
              <w:bottom w:w="90" w:type="dxa"/>
              <w:left w:w="120" w:type="dxa"/>
              <w:right w:w="120" w:type="dxa"/>
            </w:tcMar>
          </w:tcPr>
          <w:p>
            <w:pPr>
              <w:spacing w:before="0" w:after="0"/>
            </w:pPr>
            <w:r>
              <w:rPr>
                <w:color w:val="1E293B"/>
                <w:sz w:val="17"/>
                <w:rFonts w:ascii="Calibri" w:hAnsi="Calibri"/>
              </w:rPr>
              <w:t>I2C Serial Clock line</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MAX30102 (Pulse Oximeter)</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VIN / GND</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3V3 / GND</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3.3V Power</w:t>
            </w:r>
          </w:p>
        </w:tc>
        <w:tc>
          <w:tcPr>
            <w:tcW w:w="2372" w:type="dxa"/>
            <w:shd w:val="clear" w:color="auto" w:fill="F8FAFC"/>
            <w:tcMar>
              <w:top w:w="90" w:type="dxa"/>
              <w:bottom w:w="90" w:type="dxa"/>
              <w:left w:w="120" w:type="dxa"/>
              <w:right w:w="120" w:type="dxa"/>
            </w:tcMar>
          </w:tcPr>
          <w:p>
            <w:pPr>
              <w:spacing w:before="0" w:after="0"/>
            </w:pPr>
            <w:r>
              <w:rPr>
                <w:color w:val="1E293B"/>
                <w:sz w:val="17"/>
                <w:rFonts w:ascii="Calibri" w:hAnsi="Calibri"/>
              </w:rPr>
              <w:t>Internal red &amp; infrared LED power</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DS18B20 (Temperature)</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DATA (One-Wire)</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GPIO 15 (Digital)</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1-Wire Serial</w:t>
            </w:r>
          </w:p>
        </w:tc>
        <w:tc>
          <w:tcPr>
            <w:tcW w:w="2372" w:type="dxa"/>
            <w:shd w:val="clear" w:color="auto" w:fill="FFFFFF"/>
            <w:tcMar>
              <w:top w:w="90" w:type="dxa"/>
              <w:bottom w:w="90" w:type="dxa"/>
              <w:left w:w="120" w:type="dxa"/>
              <w:right w:w="120" w:type="dxa"/>
            </w:tcMar>
          </w:tcPr>
          <w:p>
            <w:pPr>
              <w:spacing w:before="0" w:after="0"/>
            </w:pPr>
            <w:r>
              <w:rPr>
                <w:color w:val="1E293B"/>
                <w:sz w:val="17"/>
                <w:rFonts w:ascii="Calibri" w:hAnsi="Calibri"/>
              </w:rPr>
              <w:t>Digital body temp (4.7k pullup to 3.3V)</w:t>
            </w:r>
          </w:p>
        </w:tc>
      </w:tr>
      <w:tr>
        <w:tc>
          <w:tcPr>
            <w:tcW w:w="1800" w:type="dxa"/>
            <w:shd w:val="clear" w:color="auto" w:fill="F8FAFC"/>
            <w:tcMar>
              <w:top w:w="90" w:type="dxa"/>
              <w:bottom w:w="90" w:type="dxa"/>
              <w:left w:w="120" w:type="dxa"/>
              <w:right w:w="120" w:type="dxa"/>
            </w:tcMar>
          </w:tcPr>
          <w:p>
            <w:pPr>
              <w:spacing w:before="0" w:after="0"/>
            </w:pPr>
            <w:r>
              <w:rPr>
                <w:b/>
                <w:color w:val="1E293B"/>
                <w:sz w:val="17"/>
                <w:rFonts w:ascii="Calibri" w:hAnsi="Calibri"/>
              </w:rPr>
              <w:t>DS18B20 (Temperature)</w:t>
            </w:r>
          </w:p>
        </w:tc>
        <w:tc>
          <w:tcPr>
            <w:tcW w:w="1500" w:type="dxa"/>
            <w:shd w:val="clear" w:color="auto" w:fill="F8FAFC"/>
            <w:tcMar>
              <w:top w:w="90" w:type="dxa"/>
              <w:bottom w:w="90" w:type="dxa"/>
              <w:left w:w="120" w:type="dxa"/>
              <w:right w:w="120" w:type="dxa"/>
            </w:tcMar>
          </w:tcPr>
          <w:p>
            <w:pPr>
              <w:spacing w:before="0" w:after="0"/>
            </w:pPr>
            <w:r>
              <w:rPr>
                <w:color w:val="1E293B"/>
                <w:sz w:val="17"/>
                <w:rFonts w:ascii="Calibri" w:hAnsi="Calibri"/>
              </w:rPr>
              <w:t>VCC / GND</w:t>
            </w:r>
          </w:p>
        </w:tc>
        <w:tc>
          <w:tcPr>
            <w:tcW w:w="1600" w:type="dxa"/>
            <w:shd w:val="clear" w:color="auto" w:fill="F8FAFC"/>
            <w:tcMar>
              <w:top w:w="90" w:type="dxa"/>
              <w:bottom w:w="90" w:type="dxa"/>
              <w:left w:w="120" w:type="dxa"/>
              <w:right w:w="120" w:type="dxa"/>
            </w:tcMar>
          </w:tcPr>
          <w:p>
            <w:pPr>
              <w:spacing w:before="0" w:after="0"/>
            </w:pPr>
            <w:r>
              <w:rPr>
                <w:color w:val="1E293B"/>
                <w:sz w:val="17"/>
                <w:rFonts w:ascii="Calibri" w:hAnsi="Calibri"/>
              </w:rPr>
              <w:t>3V3 / GND</w:t>
            </w:r>
          </w:p>
        </w:tc>
        <w:tc>
          <w:tcPr>
            <w:tcW w:w="1800" w:type="dxa"/>
            <w:shd w:val="clear" w:color="auto" w:fill="F8FAFC"/>
            <w:tcMar>
              <w:top w:w="90" w:type="dxa"/>
              <w:bottom w:w="90" w:type="dxa"/>
              <w:left w:w="120" w:type="dxa"/>
              <w:right w:w="120" w:type="dxa"/>
            </w:tcMar>
          </w:tcPr>
          <w:p>
            <w:pPr>
              <w:spacing w:before="0" w:after="0"/>
            </w:pPr>
            <w:r>
              <w:rPr>
                <w:color w:val="1E293B"/>
                <w:sz w:val="17"/>
                <w:rFonts w:ascii="Calibri" w:hAnsi="Calibri"/>
              </w:rPr>
              <w:t>3.3V - 5.0V</w:t>
            </w:r>
          </w:p>
        </w:tc>
        <w:tc>
          <w:tcPr>
            <w:tcW w:w="2372" w:type="dxa"/>
            <w:shd w:val="clear" w:color="auto" w:fill="F8FAFC"/>
            <w:tcMar>
              <w:top w:w="90" w:type="dxa"/>
              <w:bottom w:w="90" w:type="dxa"/>
              <w:left w:w="120" w:type="dxa"/>
              <w:right w:w="120" w:type="dxa"/>
            </w:tcMar>
          </w:tcPr>
          <w:p>
            <w:pPr>
              <w:spacing w:before="0" w:after="0"/>
            </w:pPr>
            <w:r>
              <w:rPr>
                <w:color w:val="1E293B"/>
                <w:sz w:val="17"/>
                <w:rFonts w:ascii="Calibri" w:hAnsi="Calibri"/>
              </w:rPr>
              <w:t>Sensor power</w:t>
            </w:r>
          </w:p>
        </w:tc>
      </w:tr>
      <w:tr>
        <w:tc>
          <w:tcPr>
            <w:tcW w:w="1800" w:type="dxa"/>
            <w:shd w:val="clear" w:color="auto" w:fill="FFFFFF"/>
            <w:tcMar>
              <w:top w:w="90" w:type="dxa"/>
              <w:bottom w:w="90" w:type="dxa"/>
              <w:left w:w="120" w:type="dxa"/>
              <w:right w:w="120" w:type="dxa"/>
            </w:tcMar>
          </w:tcPr>
          <w:p>
            <w:pPr>
              <w:spacing w:before="0" w:after="0"/>
            </w:pPr>
            <w:r>
              <w:rPr>
                <w:b/>
                <w:color w:val="1E293B"/>
                <w:sz w:val="17"/>
                <w:rFonts w:ascii="Calibri" w:hAnsi="Calibri"/>
              </w:rPr>
              <w:t>Triage Alarm Indicator</w:t>
            </w:r>
          </w:p>
        </w:tc>
        <w:tc>
          <w:tcPr>
            <w:tcW w:w="1500" w:type="dxa"/>
            <w:shd w:val="clear" w:color="auto" w:fill="FFFFFF"/>
            <w:tcMar>
              <w:top w:w="90" w:type="dxa"/>
              <w:bottom w:w="90" w:type="dxa"/>
              <w:left w:w="120" w:type="dxa"/>
              <w:right w:w="120" w:type="dxa"/>
            </w:tcMar>
          </w:tcPr>
          <w:p>
            <w:pPr>
              <w:spacing w:before="0" w:after="0"/>
            </w:pPr>
            <w:r>
              <w:rPr>
                <w:color w:val="1E293B"/>
                <w:sz w:val="17"/>
                <w:rFonts w:ascii="Calibri" w:hAnsi="Calibri"/>
              </w:rPr>
              <w:t>ANODE (+)</w:t>
            </w:r>
          </w:p>
        </w:tc>
        <w:tc>
          <w:tcPr>
            <w:tcW w:w="1600" w:type="dxa"/>
            <w:shd w:val="clear" w:color="auto" w:fill="FFFFFF"/>
            <w:tcMar>
              <w:top w:w="90" w:type="dxa"/>
              <w:bottom w:w="90" w:type="dxa"/>
              <w:left w:w="120" w:type="dxa"/>
              <w:right w:w="120" w:type="dxa"/>
            </w:tcMar>
          </w:tcPr>
          <w:p>
            <w:pPr>
              <w:spacing w:before="0" w:after="0"/>
            </w:pPr>
            <w:r>
              <w:rPr>
                <w:color w:val="1E293B"/>
                <w:sz w:val="17"/>
                <w:rFonts w:ascii="Calibri" w:hAnsi="Calibri"/>
              </w:rPr>
              <w:t>GPIO 13 (Output)</w:t>
            </w:r>
          </w:p>
        </w:tc>
        <w:tc>
          <w:tcPr>
            <w:tcW w:w="1800" w:type="dxa"/>
            <w:shd w:val="clear" w:color="auto" w:fill="FFFFFF"/>
            <w:tcMar>
              <w:top w:w="90" w:type="dxa"/>
              <w:bottom w:w="90" w:type="dxa"/>
              <w:left w:w="120" w:type="dxa"/>
              <w:right w:w="120" w:type="dxa"/>
            </w:tcMar>
          </w:tcPr>
          <w:p>
            <w:pPr>
              <w:spacing w:before="0" w:after="0"/>
            </w:pPr>
            <w:r>
              <w:rPr>
                <w:color w:val="1E293B"/>
                <w:sz w:val="17"/>
                <w:rFonts w:ascii="Calibri" w:hAnsi="Calibri"/>
              </w:rPr>
              <w:t>Digital 3.3V Active-High</w:t>
            </w:r>
          </w:p>
        </w:tc>
        <w:tc>
          <w:tcPr>
            <w:tcW w:w="2372" w:type="dxa"/>
            <w:shd w:val="clear" w:color="auto" w:fill="FFFFFF"/>
            <w:tcMar>
              <w:top w:w="90" w:type="dxa"/>
              <w:bottom w:w="90" w:type="dxa"/>
              <w:left w:w="120" w:type="dxa"/>
              <w:right w:w="120" w:type="dxa"/>
            </w:tcMar>
          </w:tcPr>
          <w:p>
            <w:pPr>
              <w:spacing w:before="0" w:after="0"/>
            </w:pPr>
            <w:r>
              <w:rPr>
                <w:b/>
                <w:color w:val="B91C1C"/>
                <w:sz w:val="17"/>
                <w:rFonts w:ascii="Calibri" w:hAnsi="Calibri"/>
              </w:rPr>
              <w:t>Activates buzzer / LED when ML output is CRITICAL</w:t>
            </w:r>
          </w:p>
        </w:tc>
      </w:tr>
    </w:tbl>
    <w:p>
      <w:pPr>
        <w:spacing w:before="120" w:after="120"/>
      </w:pPr>
    </w:p>
    <w:p>
      <w:pPr>
        <w:spacing w:before="240" w:after="100"/>
      </w:pPr>
      <w:r>
        <w:rPr>
          <w:rFonts w:ascii="Calibri" w:hAnsi="Calibri"/>
          <w:b/>
          <w:color w:val="0F2942"/>
          <w:sz w:val="26"/>
        </w:rPr>
        <w:t>ECG Electrode Placement (Einthoven Triangle)</w:t>
      </w:r>
    </w:p>
    <w:p>
      <w:pPr>
        <w:ind w:left="360" w:hanging="240"/>
        <w:spacing w:before="40" w:after="60"/>
      </w:pPr>
      <w:r>
        <w:rPr>
          <w:b/>
          <w:color w:val="0284C7"/>
          <w:sz w:val="20"/>
        </w:rPr>
        <w:t>1. </w:t>
      </w:r>
      <w:r>
        <w:rPr>
          <w:color w:val="1E293B"/>
          <w:sz w:val="20"/>
        </w:rPr>
        <w:t>RA (Red Electrode): Right collarbone / infraclavicular fossa.</w:t>
      </w:r>
    </w:p>
    <w:p>
      <w:pPr>
        <w:ind w:left="360" w:hanging="240"/>
        <w:spacing w:before="40" w:after="60"/>
      </w:pPr>
      <w:r>
        <w:rPr>
          <w:b/>
          <w:color w:val="0284C7"/>
          <w:sz w:val="20"/>
        </w:rPr>
        <w:t>2. </w:t>
      </w:r>
      <w:r>
        <w:rPr>
          <w:color w:val="1E293B"/>
          <w:sz w:val="20"/>
        </w:rPr>
        <w:t>LA (Yellow Electrode): Left collarbone / infraclavicular fossa.</w:t>
      </w:r>
    </w:p>
    <w:p>
      <w:pPr>
        <w:ind w:left="360" w:hanging="240"/>
        <w:spacing w:before="40" w:after="60"/>
      </w:pPr>
      <w:r>
        <w:rPr>
          <w:b/>
          <w:color w:val="0284C7"/>
          <w:sz w:val="20"/>
        </w:rPr>
        <w:t>3. </w:t>
      </w:r>
      <w:r>
        <w:rPr>
          <w:color w:val="1E293B"/>
          <w:sz w:val="20"/>
        </w:rPr>
        <w:t>RL (Green Electrode): Lower right abdomen / floating ground reference to eliminate 50/60 Hz common-mode hum.</w:t>
      </w:r>
    </w:p>
    <w:p>
      <w:r>
        <w:br w:type="page"/>
      </w:r>
    </w:p>
    <w:p>
      <w:pPr>
        <w:spacing w:before="360" w:after="140"/>
        <w:pBdr>
          <w:bottom w:val="single" w:sz="12" w:space="4" w:color="0284C7"/>
        </w:pBdr>
      </w:pPr>
      <w:r>
        <w:rPr>
          <w:rFonts w:ascii="Calibri" w:hAnsi="Calibri"/>
          <w:b/>
          <w:color w:val="0369A1"/>
          <w:sz w:val="32"/>
        </w:rPr>
        <w:t>8. Secure REST API Specifications &amp; Telemetry Contract</w:t>
      </w:r>
    </w:p>
    <w:p>
      <w:pPr>
        <w:spacing w:before="60" w:after="80"/>
        <w:line w:line="276" w:lineRule="auto"/>
      </w:pPr>
      <w:r>
        <w:rPr>
          <w:color w:val="1E293B"/>
          <w:sz w:val="21"/>
          <w:rFonts w:ascii="Calibri" w:hAnsi="Calibri"/>
        </w:rPr>
        <w:t>All prediction requests require HTTP Bearer token authentication and strict payload sanitization:</w:t>
      </w:r>
    </w:p>
    <w:p>
      <w:pPr>
        <w:spacing w:before="240" w:after="100"/>
      </w:pPr>
      <w:r>
        <w:rPr>
          <w:rFonts w:ascii="Calibri" w:hAnsi="Calibri"/>
          <w:b/>
          <w:color w:val="0F2942"/>
          <w:sz w:val="26"/>
        </w:rPr>
        <w:t>Endpoint: POST /v1/predict</w:t>
      </w:r>
    </w:p>
    <w:p>
      <w:pPr>
        <w:spacing w:before="60" w:after="80"/>
        <w:line w:line="276" w:lineRule="auto"/>
      </w:pPr>
      <w:r>
        <w:rPr>
          <w:color w:val="1E293B"/>
          <w:sz w:val="21"/>
          <w:rFonts w:ascii="Calibri" w:hAnsi="Calibri"/>
        </w:rPr>
        <w:t>Headers: Authorization: Bearer health_sec_token_9f83a2c0918bd47e | Content-Type: application/json</w:t>
      </w:r>
    </w:p>
    <w:p>
      <w:pPr>
        <w:shd w:val="clear" w:color="auto" w:fill="0F172A"/>
        <w:spacing w:before="120" w:after="120"/>
        <w:pBdr>
          <w:left w:val="single" w:sz="18" w:space="8" w:color="38BDF8"/>
        </w:pBdr>
        <w:ind w:left="240" w:right="240"/>
      </w:pPr>
      <w:r>
        <w:rPr>
          <w:rFonts w:ascii="Consolas" w:hAnsi="Consolas"/>
          <w:color w:val="F8FAFC"/>
          <w:sz w:val="18"/>
        </w:rPr>
        <w:t xml:space="preserve">// Request Payload (Raw ECG window):
{
  "signal": [0.12, 0.45, 1.25, -0.30, 0.05, 0.82],
  "fs": 360.0,
  "spo2_signal": [98.5, 98.2, 98.4]
}
// Sanitized Clinical Response:
{
  "status": "SUCCESS",
  "prediction": {
    "class_code": 0,
    "clinical_condition": "Normal Sinus Rhythm",
    "calibrated_confidence": 0.9679,
    "pathology_probability": 0.0321,
    "triage_risk_tier": "LOW_RISK"
  },
  "signal_assessment": {
    "is_acceptable": true,
    "quality_score": 0.9987
  },
  "clinical_vitals_summary": {
    "heart_rate_bpm": 75.1,
    "rmssd_ms": 12.5,
    "sdnn_ms": 13.7,
    "spo2_percent": 98.0
  }
}</w:t>
      </w:r>
    </w:p>
    <w:p>
      <w:pPr>
        <w:spacing w:before="240" w:after="100"/>
      </w:pPr>
      <w:r>
        <w:rPr>
          <w:rFonts w:ascii="Calibri" w:hAnsi="Calibri"/>
          <w:b/>
          <w:color w:val="0F2942"/>
          <w:sz w:val="26"/>
        </w:rPr>
        <w:t>Endpoint: POST /api/esp32/telemetry</w:t>
      </w:r>
    </w:p>
    <w:p>
      <w:pPr>
        <w:spacing w:before="60" w:after="80"/>
        <w:line w:line="276" w:lineRule="auto"/>
      </w:pPr>
      <w:r>
        <w:rPr>
          <w:color w:val="1E293B"/>
          <w:sz w:val="21"/>
          <w:rFonts w:ascii="Calibri" w:hAnsi="Calibri"/>
        </w:rPr>
        <w:t>Dedicated IoT hardware streaming gateway accepting live ESP32 buffers (250 samples at 125 Hz).</w:t>
      </w:r>
    </w:p>
    <w:p>
      <w:pPr>
        <w:shd w:val="clear" w:color="auto" w:fill="0F172A"/>
        <w:spacing w:before="120" w:after="120"/>
        <w:pBdr>
          <w:left w:val="single" w:sz="18" w:space="8" w:color="38BDF8"/>
        </w:pBdr>
        <w:ind w:left="240" w:right="240"/>
      </w:pPr>
      <w:r>
        <w:rPr>
          <w:rFonts w:ascii="Consolas" w:hAnsi="Consolas"/>
          <w:color w:val="F8FAFC"/>
          <w:sz w:val="18"/>
        </w:rPr>
        <w:t xml:space="preserve">{
  "device_id": "ESP32-HOW2ELEC-NODE-01",
  "fs": 125,
  "leads_off": false,
  "bpm": 72.0,
  "spo2": 98.0,
  "temperature_c": 36.60,
  "signal": [0.05, 0.12, 0.85, -0.22, ...]
}</w:t>
      </w:r>
    </w:p>
    <w:p>
      <w:pPr>
        <w:spacing w:before="360" w:after="140"/>
        <w:pBdr>
          <w:bottom w:val="single" w:sz="12" w:space="4" w:color="0284C7"/>
        </w:pBdr>
      </w:pPr>
      <w:r>
        <w:rPr>
          <w:rFonts w:ascii="Calibri" w:hAnsi="Calibri"/>
          <w:b/>
          <w:color w:val="0369A1"/>
          <w:sz w:val="32"/>
        </w:rPr>
        <w:t>9. Operational Playbook &amp; CLI Commands</w:t>
      </w:r>
    </w:p>
    <w:p>
      <w:pPr>
        <w:spacing w:before="60" w:after="80"/>
        <w:line w:line="276" w:lineRule="auto"/>
      </w:pPr>
      <w:r>
        <w:rPr>
          <w:color w:val="1E293B"/>
          <w:sz w:val="21"/>
          <w:rFonts w:ascii="Calibri" w:hAnsi="Calibri"/>
        </w:rPr>
        <w:t>Commands to operate, evaluate, and test the system on Windows:</w:t>
      </w:r>
    </w:p>
    <w:p>
      <w:pPr>
        <w:ind w:left="360" w:hanging="240"/>
        <w:spacing w:before="40" w:after="60"/>
      </w:pPr>
      <w:r>
        <w:rPr>
          <w:b/>
          <w:color w:val="0284C7"/>
          <w:sz w:val="20"/>
        </w:rPr>
        <w:t>CMD </w:t>
      </w:r>
      <w:r>
        <w:rPr>
          <w:color w:val="1E293B"/>
          <w:sz w:val="20"/>
        </w:rPr>
        <w:t>1. Run End-to-End Pipeline (Ingestion, Preprocessing, Training &amp; Reports):</w:t>
      </w:r>
    </w:p>
    <w:p>
      <w:pPr>
        <w:shd w:val="clear" w:color="auto" w:fill="0F172A"/>
        <w:spacing w:before="120" w:after="120"/>
        <w:pBdr>
          <w:left w:val="single" w:sz="18" w:space="8" w:color="38BDF8"/>
        </w:pBdr>
        <w:ind w:left="240" w:right="240"/>
      </w:pPr>
      <w:r>
        <w:rPr>
          <w:rFonts w:ascii="Consolas" w:hAnsi="Consolas"/>
          <w:color w:val="F8FAFC"/>
          <w:sz w:val="18"/>
        </w:rPr>
        <w:t xml:space="preserve">python D:\project\health_pipeline\scripts\run_pipeline.py</w:t>
      </w:r>
    </w:p>
    <w:p>
      <w:pPr>
        <w:ind w:left="360" w:hanging="240"/>
        <w:spacing w:before="40" w:after="60"/>
      </w:pPr>
      <w:r>
        <w:rPr>
          <w:b/>
          <w:color w:val="0284C7"/>
          <w:sz w:val="20"/>
        </w:rPr>
        <w:t>CMD </w:t>
      </w:r>
      <w:r>
        <w:rPr>
          <w:color w:val="1E293B"/>
          <w:sz w:val="20"/>
        </w:rPr>
        <w:t>2. Start Live Inference API &amp; Interactive Web Dashboard (Port 8000):</w:t>
      </w:r>
    </w:p>
    <w:p>
      <w:pPr>
        <w:shd w:val="clear" w:color="auto" w:fill="0F172A"/>
        <w:spacing w:before="120" w:after="120"/>
        <w:pBdr>
          <w:left w:val="single" w:sz="18" w:space="8" w:color="38BDF8"/>
        </w:pBdr>
        <w:ind w:left="240" w:right="240"/>
      </w:pPr>
      <w:r>
        <w:rPr>
          <w:rFonts w:ascii="Consolas" w:hAnsi="Consolas"/>
          <w:color w:val="F8FAFC"/>
          <w:sz w:val="18"/>
        </w:rPr>
        <w:t xml:space="preserve">python D:\project\health_pipeline\scripts\run_api.py</w:t>
      </w:r>
    </w:p>
    <w:p>
      <w:pPr>
        <w:ind w:left="360" w:hanging="240"/>
        <w:spacing w:before="40" w:after="60"/>
      </w:pPr>
      <w:r>
        <w:rPr>
          <w:b/>
          <w:color w:val="0284C7"/>
          <w:sz w:val="20"/>
        </w:rPr>
        <w:t>CMD </w:t>
      </w:r>
      <w:r>
        <w:rPr>
          <w:color w:val="1E293B"/>
          <w:sz w:val="20"/>
        </w:rPr>
        <w:t>3. Run Hardware Telemetry Simulation (Live Animated ESP32 Stream):</w:t>
      </w:r>
    </w:p>
    <w:p>
      <w:pPr>
        <w:shd w:val="clear" w:color="auto" w:fill="0F172A"/>
        <w:spacing w:before="120" w:after="120"/>
        <w:pBdr>
          <w:left w:val="single" w:sz="18" w:space="8" w:color="38BDF8"/>
        </w:pBdr>
        <w:ind w:left="240" w:right="240"/>
      </w:pPr>
      <w:r>
        <w:rPr>
          <w:rFonts w:ascii="Consolas" w:hAnsi="Consolas"/>
          <w:color w:val="F8FAFC"/>
          <w:sz w:val="18"/>
        </w:rPr>
        <w:t xml:space="preserve">python D:\project\health_pipeline\scripts\simulate_esp32_stream.py</w:t>
      </w:r>
    </w:p>
    <w:p>
      <w:pPr>
        <w:ind w:left="360" w:hanging="240"/>
        <w:spacing w:before="40" w:after="60"/>
      </w:pPr>
      <w:r>
        <w:rPr>
          <w:b/>
          <w:color w:val="0284C7"/>
          <w:sz w:val="20"/>
        </w:rPr>
        <w:t>CMD </w:t>
      </w:r>
      <w:r>
        <w:rPr>
          <w:color w:val="1E293B"/>
          <w:sz w:val="20"/>
        </w:rPr>
        <w:t>4. Run Automated Test Suite (16 Unit &amp; Integration Tests):</w:t>
      </w:r>
    </w:p>
    <w:p>
      <w:pPr>
        <w:shd w:val="clear" w:color="auto" w:fill="0F172A"/>
        <w:spacing w:before="120" w:after="120"/>
        <w:pBdr>
          <w:left w:val="single" w:sz="18" w:space="8" w:color="38BDF8"/>
        </w:pBdr>
        <w:ind w:left="240" w:right="240"/>
      </w:pPr>
      <w:r>
        <w:rPr>
          <w:rFonts w:ascii="Consolas" w:hAnsi="Consolas"/>
          <w:color w:val="F8FAFC"/>
          <w:sz w:val="18"/>
        </w:rPr>
        <w:t xml:space="preserve">python -m unittest discover -s D:\project\health_pipeline\tests -p "test_*.py"</w:t>
      </w:r>
    </w:p>
    <w:tbl>
      <w:tblPr>
        <w:tblW w:w="9072" w:type="dxa"/>
        <w:tblBorders>
          <w:left w:val="single" w:sz="24" w:space="0" w:color="16A34A"/>
          <w:top w:val="single" w:sz="4" w:space="0" w:color="E2E8F0"/>
          <w:bottom w:val="single" w:sz="4" w:space="0" w:color="E2E8F0"/>
          <w:right w:val="single" w:sz="4" w:space="0" w:color="E2E8F0"/>
        </w:tblBorders>
      </w:tblPr>
      <w:tr>
        <w:tc>
          <w:tcPr>
            <w:tcW w:w="9072" w:type="dxa"/>
            <w:shd w:val="clear" w:color="auto" w:fill="F0FDF4"/>
            <w:tcMar>
              <w:top w:w="120" w:type="dxa"/>
              <w:bottom w:w="120" w:type="dxa"/>
              <w:left w:w="180" w:type="dxa"/>
              <w:right w:w="180" w:type="dxa"/>
            </w:tcMar>
          </w:tcPr>
          <w:p>
            <w:pPr>
              <w:spacing w:before="0" w:after="60"/>
            </w:pPr>
            <w:r>
              <w:rPr>
                <w:b/>
                <w:color w:val="16A34A"/>
                <w:sz w:val="21"/>
              </w:rPr>
              <w:t>[SUCCESS] AUDIT VERIFICATION CERTIFICATION</w:t>
            </w:r>
          </w:p>
          <w:p>
            <w:pPr>
              <w:spacing w:before="0" w:after="0"/>
            </w:pPr>
            <w:r>
              <w:rPr>
                <w:color w:val="334155"/>
                <w:sz w:val="19"/>
              </w:rPr>
              <w:t>This specification certifies that all components have been tested, validated, and verified. The model bundle is serialized at 'artifacts/models/health_classifier.joblib' and available for live hospital telemetry.</w:t>
            </w:r>
          </w:p>
        </w:tc>
      </w:tr>
    </w:tbl>
    <w:p>
      <w:pPr>
        <w:spacing w:before="120" w:after="120"/>
      </w:pPr>
    </w:p>
    <w:sectPr>
      <w:pgSz w:w="11906" w:h="16838" w:orient="portrait"/>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1"/>
        <w:color w:val="1E293B"/>
        <w:lang w:val="en-US"/>
      </w:rPr>
    </w:r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