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line="252" w:lineRule="auto" w:after="80"/>
        <w:jc w:val="center"/>
      </w:pPr>
      <w:r>
        <w:rPr>
          <w:rFonts w:ascii="Aptos Display" w:hAnsi="Aptos Display"/>
          <w:b/>
          <w:color w:val="1F4E79"/>
          <w:sz w:val="54"/>
        </w:rPr>
        <w:t>AIRLINE OPERATIONAL</w:t>
        <w:br/>
        <w:t>PERFORMANCE ANALYTICS</w:t>
      </w:r>
    </w:p>
    <w:p>
      <w:pPr>
        <w:spacing w:line="252" w:lineRule="auto" w:after="80"/>
        <w:jc w:val="center"/>
      </w:pPr>
      <w:r>
        <w:rPr>
          <w:color w:val="505050"/>
          <w:sz w:val="32"/>
        </w:rPr>
        <w:t>U.S. Domestic Flights - January 2025</w:t>
      </w:r>
    </w:p>
    <w:p>
      <w:pPr>
        <w:spacing w:before="280" w:line="252" w:lineRule="auto" w:after="80"/>
        <w:jc w:val="center"/>
      </w:pPr>
      <w:r>
        <w:rPr>
          <w:b/>
          <w:color w:val="2F5496"/>
          <w:sz w:val="24"/>
        </w:rPr>
        <w:t>SQL  |  Python  |  Statistical Inference  |  Power BI</w:t>
      </w:r>
    </w:p>
    <w:p>
      <w:pPr>
        <w:spacing w:line="252" w:lineRule="auto" w:after="80"/>
      </w:pPr>
      <w:r>
        <w:br/>
      </w:r>
    </w:p>
    <w:tbl>
      <w:tblPr>
        <w:tblStyle w:val="TableGrid"/>
        <w:tblW w:type="auto" w:w="0"/>
        <w:jc w:val="center"/>
        <w:tblLook w:firstColumn="1" w:firstRow="1" w:lastColumn="0" w:lastRow="0" w:noHBand="0" w:noVBand="1" w:val="04A0"/>
      </w:tblPr>
      <w:tblGrid>
        <w:gridCol w:w="5112"/>
        <w:gridCol w:w="5112"/>
      </w:tblGrid>
      <w:tr>
        <w:tc>
          <w:tcPr>
            <w:tcW w:type="dxa" w:w="2880"/>
            <w:vAlign w:val="center"/>
            <w:shd w:fill="1F4E79"/>
          </w:tcPr>
          <w:p>
            <w:pPr>
              <w:jc w:val="center"/>
            </w:pPr>
            <w:r/>
            <w:r>
              <w:rPr>
                <w:rFonts w:ascii="Aptos" w:hAnsi="Aptos"/>
                <w:b/>
                <w:color w:val="FFFFFF"/>
                <w:sz w:val="17"/>
              </w:rPr>
              <w:t>Scope</w:t>
            </w:r>
          </w:p>
        </w:tc>
        <w:tc>
          <w:tcPr>
            <w:tcW w:type="dxa" w:w="7776"/>
            <w:vAlign w:val="center"/>
            <w:shd w:fill="1F4E79"/>
          </w:tcPr>
          <w:p>
            <w:pPr>
              <w:jc w:val="center"/>
            </w:pPr>
            <w:r/>
            <w:r>
              <w:rPr>
                <w:rFonts w:ascii="Aptos" w:hAnsi="Aptos"/>
                <w:b/>
                <w:color w:val="FFFFFF"/>
                <w:sz w:val="17"/>
              </w:rPr>
              <w:t>Value</w:t>
            </w:r>
          </w:p>
        </w:tc>
      </w:tr>
      <w:tr>
        <w:tc>
          <w:tcPr>
            <w:tcW w:type="dxa" w:w="2880"/>
            <w:vAlign w:val="center"/>
          </w:tcPr>
          <w:p>
            <w:r/>
            <w:r>
              <w:rPr>
                <w:rFonts w:ascii="Aptos" w:hAnsi="Aptos"/>
                <w:b w:val="0"/>
                <w:sz w:val="16"/>
              </w:rPr>
              <w:t>Source</w:t>
            </w:r>
          </w:p>
        </w:tc>
        <w:tc>
          <w:tcPr>
            <w:tcW w:type="dxa" w:w="7776"/>
            <w:vAlign w:val="center"/>
          </w:tcPr>
          <w:p>
            <w:r/>
            <w:r>
              <w:rPr>
                <w:rFonts w:ascii="Aptos" w:hAnsi="Aptos"/>
                <w:b w:val="0"/>
                <w:sz w:val="16"/>
              </w:rPr>
              <w:t>U.S. Bureau of Transportation Statistics (BTS), Reporting Carrier On-Time Performance</w:t>
            </w:r>
          </w:p>
        </w:tc>
      </w:tr>
      <w:tr>
        <w:tc>
          <w:tcPr>
            <w:tcW w:type="dxa" w:w="2880"/>
            <w:vAlign w:val="center"/>
          </w:tcPr>
          <w:p>
            <w:r/>
            <w:r>
              <w:rPr>
                <w:rFonts w:ascii="Aptos" w:hAnsi="Aptos"/>
                <w:b w:val="0"/>
                <w:sz w:val="16"/>
              </w:rPr>
              <w:t>Analysis period</w:t>
            </w:r>
          </w:p>
        </w:tc>
        <w:tc>
          <w:tcPr>
            <w:tcW w:type="dxa" w:w="7776"/>
            <w:vAlign w:val="center"/>
          </w:tcPr>
          <w:p>
            <w:r/>
            <w:r>
              <w:rPr>
                <w:rFonts w:ascii="Aptos" w:hAnsi="Aptos"/>
                <w:b w:val="0"/>
                <w:sz w:val="16"/>
              </w:rPr>
              <w:t>January 2025</w:t>
            </w:r>
          </w:p>
        </w:tc>
      </w:tr>
      <w:tr>
        <w:tc>
          <w:tcPr>
            <w:tcW w:type="dxa" w:w="2880"/>
            <w:vAlign w:val="center"/>
          </w:tcPr>
          <w:p>
            <w:r/>
            <w:r>
              <w:rPr>
                <w:rFonts w:ascii="Aptos" w:hAnsi="Aptos"/>
                <w:b w:val="0"/>
                <w:sz w:val="16"/>
              </w:rPr>
              <w:t>Raw records</w:t>
            </w:r>
          </w:p>
        </w:tc>
        <w:tc>
          <w:tcPr>
            <w:tcW w:type="dxa" w:w="7776"/>
            <w:vAlign w:val="center"/>
          </w:tcPr>
          <w:p>
            <w:r/>
            <w:r>
              <w:rPr>
                <w:rFonts w:ascii="Aptos" w:hAnsi="Aptos"/>
                <w:b w:val="0"/>
                <w:sz w:val="16"/>
              </w:rPr>
              <w:t>539,747 scheduled flight records</w:t>
            </w:r>
          </w:p>
        </w:tc>
      </w:tr>
      <w:tr>
        <w:tc>
          <w:tcPr>
            <w:tcW w:type="dxa" w:w="2880"/>
            <w:vAlign w:val="center"/>
          </w:tcPr>
          <w:p>
            <w:r/>
            <w:r>
              <w:rPr>
                <w:rFonts w:ascii="Aptos" w:hAnsi="Aptos"/>
                <w:b w:val="0"/>
                <w:sz w:val="16"/>
              </w:rPr>
              <w:t>Completed flights</w:t>
            </w:r>
          </w:p>
        </w:tc>
        <w:tc>
          <w:tcPr>
            <w:tcW w:type="dxa" w:w="7776"/>
            <w:vAlign w:val="center"/>
          </w:tcPr>
          <w:p>
            <w:r/>
            <w:r>
              <w:rPr>
                <w:rFonts w:ascii="Aptos" w:hAnsi="Aptos"/>
                <w:b w:val="0"/>
                <w:sz w:val="16"/>
              </w:rPr>
              <w:t>522,269</w:t>
            </w:r>
          </w:p>
        </w:tc>
      </w:tr>
      <w:tr>
        <w:tc>
          <w:tcPr>
            <w:tcW w:type="dxa" w:w="2880"/>
            <w:vAlign w:val="center"/>
          </w:tcPr>
          <w:p>
            <w:r/>
            <w:r>
              <w:rPr>
                <w:rFonts w:ascii="Aptos" w:hAnsi="Aptos"/>
                <w:b w:val="0"/>
                <w:sz w:val="16"/>
              </w:rPr>
              <w:t>Final analytical fields</w:t>
            </w:r>
          </w:p>
        </w:tc>
        <w:tc>
          <w:tcPr>
            <w:tcW w:type="dxa" w:w="7776"/>
            <w:vAlign w:val="center"/>
          </w:tcPr>
          <w:p>
            <w:r/>
            <w:r>
              <w:rPr>
                <w:rFonts w:ascii="Aptos" w:hAnsi="Aptos"/>
                <w:b w:val="0"/>
                <w:sz w:val="16"/>
              </w:rPr>
              <w:t>51 selected/derived variables</w:t>
            </w:r>
          </w:p>
        </w:tc>
      </w:tr>
      <w:tr>
        <w:tc>
          <w:tcPr>
            <w:tcW w:type="dxa" w:w="2880"/>
            <w:vAlign w:val="center"/>
          </w:tcPr>
          <w:p>
            <w:r/>
            <w:r>
              <w:rPr>
                <w:rFonts w:ascii="Aptos" w:hAnsi="Aptos"/>
                <w:b w:val="0"/>
                <w:sz w:val="16"/>
              </w:rPr>
              <w:t>Primary outputs</w:t>
            </w:r>
          </w:p>
        </w:tc>
        <w:tc>
          <w:tcPr>
            <w:tcW w:type="dxa" w:w="7776"/>
            <w:vAlign w:val="center"/>
          </w:tcPr>
          <w:p>
            <w:r/>
            <w:r>
              <w:rPr>
                <w:rFonts w:ascii="Aptos" w:hAnsi="Aptos"/>
                <w:b w:val="0"/>
                <w:sz w:val="16"/>
              </w:rPr>
              <w:t>SQL analysis, EDA, statistical tests, explanatory regression, Power BI dashboard</w:t>
            </w:r>
          </w:p>
        </w:tc>
      </w:tr>
    </w:tbl>
    <w:p>
      <w:pPr>
        <w:spacing w:after="80" w:line="252" w:lineRule="auto"/>
      </w:pPr>
    </w:p>
    <w:p>
      <w:pPr>
        <w:spacing w:before="500" w:line="252" w:lineRule="auto" w:after="80"/>
        <w:jc w:val="center"/>
      </w:pPr>
      <w:r>
        <w:rPr>
          <w:b/>
          <w:sz w:val="26"/>
        </w:rPr>
        <w:t>Technical Project Report</w:t>
      </w:r>
    </w:p>
    <w:p>
      <w:pPr>
        <w:spacing w:line="252" w:lineRule="auto" w:after="80"/>
        <w:jc w:val="center"/>
      </w:pPr>
      <w:r>
        <w:rPr>
          <w:color w:val="646464"/>
          <w:sz w:val="20"/>
        </w:rPr>
        <w:t>August 2026</w:t>
      </w:r>
    </w:p>
    <w:p>
      <w:pPr>
        <w:spacing w:line="252" w:lineRule="auto" w:after="80"/>
      </w:pPr>
      <w:r>
        <w:br w:type="page"/>
      </w:r>
    </w:p>
    <w:p>
      <w:pPr>
        <w:pStyle w:val="Heading1"/>
        <w:spacing w:line="252" w:lineRule="auto"/>
      </w:pPr>
      <w:r>
        <w:t>1. Executive Summary</w:t>
      </w:r>
    </w:p>
    <w:p>
      <w:pPr>
        <w:spacing w:line="252" w:lineRule="auto" w:after="80"/>
      </w:pPr>
      <w:r>
        <w:t>This project analyzes airline operational performance using the Bureau of Transportation Statistics (BTS) Reporting Carrier On-Time Performance data for January 2025. The objective was to build a reproducible analytics workflow that combines large-table querying, exploratory data analysis, statistical inference and interactive business-intelligence reporting. The study focuses on delay frequency, cancellation behavior, carrier and airport differences, time-of-day effects and recorded delay causes.</w:t>
      </w:r>
    </w:p>
    <w:tbl>
      <w:tblPr>
        <w:tblStyle w:val="TableGrid"/>
        <w:tblW w:type="auto" w:w="0"/>
        <w:jc w:val="center"/>
        <w:tblLook w:firstColumn="1" w:firstRow="1" w:lastColumn="0" w:lastRow="0" w:noHBand="0" w:noVBand="1" w:val="04A0"/>
      </w:tblPr>
      <w:tblGrid>
        <w:gridCol w:w="5112"/>
        <w:gridCol w:w="5112"/>
      </w:tblGrid>
      <w:tr>
        <w:tc>
          <w:tcPr>
            <w:tcW w:type="dxa" w:w="4032"/>
            <w:vAlign w:val="center"/>
            <w:shd w:fill="1F4E79"/>
          </w:tcPr>
          <w:p>
            <w:pPr>
              <w:jc w:val="center"/>
            </w:pPr>
            <w:r/>
            <w:r>
              <w:rPr>
                <w:rFonts w:ascii="Aptos" w:hAnsi="Aptos"/>
                <w:b/>
                <w:color w:val="FFFFFF"/>
                <w:sz w:val="17"/>
              </w:rPr>
              <w:t>Metric</w:t>
            </w:r>
          </w:p>
        </w:tc>
        <w:tc>
          <w:tcPr>
            <w:tcW w:type="dxa" w:w="6768"/>
            <w:vAlign w:val="center"/>
            <w:shd w:fill="1F4E79"/>
          </w:tcPr>
          <w:p>
            <w:pPr>
              <w:jc w:val="center"/>
            </w:pPr>
            <w:r/>
            <w:r>
              <w:rPr>
                <w:rFonts w:ascii="Aptos" w:hAnsi="Aptos"/>
                <w:b/>
                <w:color w:val="FFFFFF"/>
                <w:sz w:val="17"/>
              </w:rPr>
              <w:t>Result</w:t>
            </w:r>
          </w:p>
        </w:tc>
      </w:tr>
      <w:tr>
        <w:tc>
          <w:tcPr>
            <w:tcW w:type="dxa" w:w="4032"/>
            <w:vAlign w:val="center"/>
          </w:tcPr>
          <w:p>
            <w:r/>
            <w:r>
              <w:rPr>
                <w:rFonts w:ascii="Aptos" w:hAnsi="Aptos"/>
                <w:b w:val="0"/>
                <w:sz w:val="16"/>
              </w:rPr>
              <w:t>Total flights</w:t>
            </w:r>
          </w:p>
        </w:tc>
        <w:tc>
          <w:tcPr>
            <w:tcW w:type="dxa" w:w="6768"/>
            <w:vAlign w:val="center"/>
          </w:tcPr>
          <w:p>
            <w:r/>
            <w:r>
              <w:rPr>
                <w:rFonts w:ascii="Aptos" w:hAnsi="Aptos"/>
                <w:b w:val="0"/>
                <w:sz w:val="16"/>
              </w:rPr>
              <w:t>539,747</w:t>
            </w:r>
          </w:p>
        </w:tc>
      </w:tr>
      <w:tr>
        <w:tc>
          <w:tcPr>
            <w:tcW w:type="dxa" w:w="4032"/>
            <w:vAlign w:val="center"/>
          </w:tcPr>
          <w:p>
            <w:r/>
            <w:r>
              <w:rPr>
                <w:rFonts w:ascii="Aptos" w:hAnsi="Aptos"/>
                <w:b w:val="0"/>
                <w:sz w:val="16"/>
              </w:rPr>
              <w:t>Completed flights</w:t>
            </w:r>
          </w:p>
        </w:tc>
        <w:tc>
          <w:tcPr>
            <w:tcW w:type="dxa" w:w="6768"/>
            <w:vAlign w:val="center"/>
          </w:tcPr>
          <w:p>
            <w:r/>
            <w:r>
              <w:rPr>
                <w:rFonts w:ascii="Aptos" w:hAnsi="Aptos"/>
                <w:b w:val="0"/>
                <w:sz w:val="16"/>
              </w:rPr>
              <w:t>522,269</w:t>
            </w:r>
          </w:p>
        </w:tc>
      </w:tr>
      <w:tr>
        <w:tc>
          <w:tcPr>
            <w:tcW w:type="dxa" w:w="4032"/>
            <w:vAlign w:val="center"/>
          </w:tcPr>
          <w:p>
            <w:r/>
            <w:r>
              <w:rPr>
                <w:rFonts w:ascii="Aptos" w:hAnsi="Aptos"/>
                <w:b w:val="0"/>
                <w:sz w:val="16"/>
              </w:rPr>
              <w:t>Cancelled flights</w:t>
            </w:r>
          </w:p>
        </w:tc>
        <w:tc>
          <w:tcPr>
            <w:tcW w:type="dxa" w:w="6768"/>
            <w:vAlign w:val="center"/>
          </w:tcPr>
          <w:p>
            <w:r/>
            <w:r>
              <w:rPr>
                <w:rFonts w:ascii="Aptos" w:hAnsi="Aptos"/>
                <w:b w:val="0"/>
                <w:sz w:val="16"/>
              </w:rPr>
              <w:t>16,312 (3.02%)</w:t>
            </w:r>
          </w:p>
        </w:tc>
      </w:tr>
      <w:tr>
        <w:tc>
          <w:tcPr>
            <w:tcW w:type="dxa" w:w="4032"/>
            <w:vAlign w:val="center"/>
          </w:tcPr>
          <w:p>
            <w:r/>
            <w:r>
              <w:rPr>
                <w:rFonts w:ascii="Aptos" w:hAnsi="Aptos"/>
                <w:b w:val="0"/>
                <w:sz w:val="16"/>
              </w:rPr>
              <w:t>Diverted flights</w:t>
            </w:r>
          </w:p>
        </w:tc>
        <w:tc>
          <w:tcPr>
            <w:tcW w:type="dxa" w:w="6768"/>
            <w:vAlign w:val="center"/>
          </w:tcPr>
          <w:p>
            <w:r/>
            <w:r>
              <w:rPr>
                <w:rFonts w:ascii="Aptos" w:hAnsi="Aptos"/>
                <w:b w:val="0"/>
                <w:sz w:val="16"/>
              </w:rPr>
              <w:t>1,166</w:t>
            </w:r>
          </w:p>
        </w:tc>
      </w:tr>
      <w:tr>
        <w:tc>
          <w:tcPr>
            <w:tcW w:type="dxa" w:w="4032"/>
            <w:vAlign w:val="center"/>
          </w:tcPr>
          <w:p>
            <w:r/>
            <w:r>
              <w:rPr>
                <w:rFonts w:ascii="Aptos" w:hAnsi="Aptos"/>
                <w:b w:val="0"/>
                <w:sz w:val="16"/>
              </w:rPr>
              <w:t>Arrival delay &gt;= 15 min</w:t>
            </w:r>
          </w:p>
        </w:tc>
        <w:tc>
          <w:tcPr>
            <w:tcW w:type="dxa" w:w="6768"/>
            <w:vAlign w:val="center"/>
          </w:tcPr>
          <w:p>
            <w:r/>
            <w:r>
              <w:rPr>
                <w:rFonts w:ascii="Aptos" w:hAnsi="Aptos"/>
                <w:b w:val="0"/>
                <w:sz w:val="16"/>
              </w:rPr>
              <w:t>18.79% of completed flights</w:t>
            </w:r>
          </w:p>
        </w:tc>
      </w:tr>
      <w:tr>
        <w:tc>
          <w:tcPr>
            <w:tcW w:type="dxa" w:w="4032"/>
            <w:vAlign w:val="center"/>
          </w:tcPr>
          <w:p>
            <w:r/>
            <w:r>
              <w:rPr>
                <w:rFonts w:ascii="Aptos" w:hAnsi="Aptos"/>
                <w:b w:val="0"/>
                <w:sz w:val="16"/>
              </w:rPr>
              <w:t>Mean arrival delay</w:t>
            </w:r>
          </w:p>
        </w:tc>
        <w:tc>
          <w:tcPr>
            <w:tcW w:type="dxa" w:w="6768"/>
            <w:vAlign w:val="center"/>
          </w:tcPr>
          <w:p>
            <w:r/>
            <w:r>
              <w:rPr>
                <w:rFonts w:ascii="Aptos" w:hAnsi="Aptos"/>
                <w:b w:val="0"/>
                <w:sz w:val="16"/>
              </w:rPr>
              <w:t>3.76 min (95% CI: 3.60 to 3.91 min)</w:t>
            </w:r>
          </w:p>
        </w:tc>
      </w:tr>
      <w:tr>
        <w:tc>
          <w:tcPr>
            <w:tcW w:type="dxa" w:w="4032"/>
            <w:vAlign w:val="center"/>
          </w:tcPr>
          <w:p>
            <w:r/>
            <w:r>
              <w:rPr>
                <w:rFonts w:ascii="Aptos" w:hAnsi="Aptos"/>
                <w:b w:val="0"/>
                <w:sz w:val="16"/>
              </w:rPr>
              <w:t>Median arrival delay</w:t>
            </w:r>
          </w:p>
        </w:tc>
        <w:tc>
          <w:tcPr>
            <w:tcW w:type="dxa" w:w="6768"/>
            <w:vAlign w:val="center"/>
          </w:tcPr>
          <w:p>
            <w:r/>
            <w:r>
              <w:rPr>
                <w:rFonts w:ascii="Aptos" w:hAnsi="Aptos"/>
                <w:b w:val="0"/>
                <w:sz w:val="16"/>
              </w:rPr>
              <w:t>-8 min</w:t>
            </w:r>
          </w:p>
        </w:tc>
      </w:tr>
      <w:tr>
        <w:tc>
          <w:tcPr>
            <w:tcW w:type="dxa" w:w="4032"/>
            <w:vAlign w:val="center"/>
          </w:tcPr>
          <w:p>
            <w:r/>
            <w:r>
              <w:rPr>
                <w:rFonts w:ascii="Aptos" w:hAnsi="Aptos"/>
                <w:b w:val="0"/>
                <w:sz w:val="16"/>
              </w:rPr>
              <w:t>Mean departure delay</w:t>
            </w:r>
          </w:p>
        </w:tc>
        <w:tc>
          <w:tcPr>
            <w:tcW w:type="dxa" w:w="6768"/>
            <w:vAlign w:val="center"/>
          </w:tcPr>
          <w:p>
            <w:r/>
            <w:r>
              <w:rPr>
                <w:rFonts w:ascii="Aptos" w:hAnsi="Aptos"/>
                <w:b w:val="0"/>
                <w:sz w:val="16"/>
              </w:rPr>
              <w:t>10.24 min</w:t>
            </w:r>
          </w:p>
        </w:tc>
      </w:tr>
      <w:tr>
        <w:tc>
          <w:tcPr>
            <w:tcW w:type="dxa" w:w="4032"/>
            <w:vAlign w:val="center"/>
          </w:tcPr>
          <w:p>
            <w:r/>
            <w:r>
              <w:rPr>
                <w:rFonts w:ascii="Aptos" w:hAnsi="Aptos"/>
                <w:b w:val="0"/>
                <w:sz w:val="16"/>
              </w:rPr>
              <w:t>Mean taxi-out / taxi-in</w:t>
            </w:r>
          </w:p>
        </w:tc>
        <w:tc>
          <w:tcPr>
            <w:tcW w:type="dxa" w:w="6768"/>
            <w:vAlign w:val="center"/>
          </w:tcPr>
          <w:p>
            <w:r/>
            <w:r>
              <w:rPr>
                <w:rFonts w:ascii="Aptos" w:hAnsi="Aptos"/>
                <w:b w:val="0"/>
                <w:sz w:val="16"/>
              </w:rPr>
              <w:t>19.05 / 8.32 min</w:t>
            </w:r>
          </w:p>
        </w:tc>
      </w:tr>
    </w:tbl>
    <w:p>
      <w:pPr>
        <w:spacing w:after="80" w:line="252" w:lineRule="auto"/>
      </w:pPr>
    </w:p>
    <w:tbl>
      <w:tblPr>
        <w:tblStyle w:val="TableGrid"/>
        <w:tblW w:type="auto" w:w="0"/>
        <w:tblLook w:firstColumn="1" w:firstRow="1" w:lastColumn="0" w:lastRow="0" w:noHBand="0" w:noVBand="1" w:val="04A0"/>
      </w:tblPr>
      <w:tblGrid>
        <w:gridCol w:w="10224"/>
      </w:tblGrid>
      <w:tr>
        <w:tc>
          <w:tcPr>
            <w:tcW w:type="dxa" w:w="10224"/>
            <w:shd w:fill="EAF2F8"/>
            <w:vAlign w:val="center"/>
          </w:tcPr>
          <w:p>
            <w:r/>
            <w:r>
              <w:rPr>
                <w:rFonts w:ascii="Aptos" w:hAnsi="Aptos"/>
                <w:b w:val="0"/>
                <w:color w:val="1F4E79"/>
                <w:sz w:val="17"/>
              </w:rPr>
              <w:t>BTS classifies a late-arriving flight as one arriving 15 minutes or more after its scheduled arrival time. This threshold was used consistently for the project delay-rate metrics [1,2].</w:t>
            </w:r>
          </w:p>
        </w:tc>
      </w:tr>
    </w:tbl>
    <w:p>
      <w:pPr>
        <w:spacing w:after="80" w:line="252" w:lineRule="auto"/>
      </w:pPr>
    </w:p>
    <w:p>
      <w:pPr>
        <w:pStyle w:val="Heading2"/>
        <w:spacing w:line="252" w:lineRule="auto"/>
      </w:pPr>
      <w:r>
        <w:t>Key findings</w:t>
      </w:r>
    </w:p>
    <w:p>
      <w:pPr>
        <w:pStyle w:val="ListBullet"/>
        <w:spacing w:after="40" w:line="252" w:lineRule="auto"/>
        <w:ind w:left="259"/>
      </w:pPr>
      <w:r>
        <w:rPr>
          <w:sz w:val="18"/>
        </w:rPr>
        <w:t>Arrival-delay risk increased through the day: early-morning flights had a 14.41% delay rate, compared with 22.01% in the afternoon and 22.59% in the evening.</w:t>
      </w:r>
    </w:p>
    <w:p>
      <w:pPr>
        <w:pStyle w:val="ListBullet"/>
        <w:spacing w:after="40" w:line="252" w:lineRule="auto"/>
        <w:ind w:left="259"/>
      </w:pPr>
      <w:r>
        <w:rPr>
          <w:sz w:val="18"/>
        </w:rPr>
        <w:t>Recorded delay minutes were dominated by carrier-related delay (36.16%) and late-arriving aircraft delay (34.72%), followed by National Air System delay (19.90%).</w:t>
      </w:r>
    </w:p>
    <w:p>
      <w:pPr>
        <w:pStyle w:val="ListBullet"/>
        <w:spacing w:after="40" w:line="252" w:lineRule="auto"/>
        <w:ind w:left="259"/>
      </w:pPr>
      <w:r>
        <w:rPr>
          <w:sz w:val="18"/>
        </w:rPr>
        <w:t>Among the 15 busiest origin airports, DFW and DEN had the highest departure-delay rates, at approximately 23.44% and 23.36%, respectively.</w:t>
      </w:r>
    </w:p>
    <w:p>
      <w:pPr>
        <w:pStyle w:val="ListBullet"/>
        <w:spacing w:after="40" w:line="252" w:lineRule="auto"/>
        <w:ind w:left="259"/>
      </w:pPr>
      <w:r>
        <w:rPr>
          <w:sz w:val="18"/>
        </w:rPr>
        <w:t>Airline mean arrival delays differed statistically (ANOVA p &lt; 0.001), but the effect size was small (eta-squared = 0.0053), indicating that carrier identity alone explained only a small share of flight-level variability.</w:t>
      </w:r>
    </w:p>
    <w:p>
      <w:pPr>
        <w:pStyle w:val="ListBullet"/>
        <w:spacing w:after="40" w:line="252" w:lineRule="auto"/>
        <w:ind w:left="259"/>
      </w:pPr>
      <w:r>
        <w:rPr>
          <w:sz w:val="18"/>
        </w:rPr>
        <w:t>Cancellation status was associated with airline (chi-square p &lt; 0.001; Cramer's V = 0.085), and delay status was associated with departure period (chi-square p &lt; 0.001; Cramer's V = 0.082).</w:t>
      </w:r>
    </w:p>
    <w:p>
      <w:pPr>
        <w:pStyle w:val="ListBullet"/>
        <w:spacing w:after="40" w:line="252" w:lineRule="auto"/>
        <w:ind w:left="259"/>
      </w:pPr>
      <w:r>
        <w:rPr>
          <w:sz w:val="18"/>
        </w:rPr>
        <w:t>An explanatory OLS model achieved R-squared = 0.969 because departure delay is strongly propagated into arrival delay; this model is interpreted operationally rather than presented as a forecasting model.</w:t>
      </w:r>
    </w:p>
    <w:p>
      <w:pPr>
        <w:spacing w:line="252" w:lineRule="auto" w:after="80"/>
      </w:pPr>
      <w:r>
        <w:br w:type="page"/>
      </w:r>
    </w:p>
    <w:p>
      <w:pPr>
        <w:pStyle w:val="Heading1"/>
        <w:spacing w:line="252" w:lineRule="auto"/>
      </w:pPr>
      <w:r>
        <w:t>2. Data Source and Analytical Dataset</w:t>
      </w:r>
    </w:p>
    <w:p>
      <w:pPr>
        <w:spacing w:line="252" w:lineRule="auto" w:after="80"/>
      </w:pPr>
      <w:r>
        <w:t>The analysis uses the BTS TranStats Reporting Carrier On-Time Performance database, which stores flight-level scheduled and actual operating information for reportable U.S. domestic operations. The official specification includes carrier, flight number, origin/destination airports, scheduled and actual departure/arrival times, elapsed time, cancellation status, and cause-specific delay minutes [1-3].</w:t>
      </w:r>
    </w:p>
    <w:p>
      <w:pPr>
        <w:pStyle w:val="Heading2"/>
        <w:spacing w:line="252" w:lineRule="auto"/>
      </w:pPr>
      <w:r>
        <w:t>2.1 Raw data</w:t>
      </w:r>
    </w:p>
    <w:tbl>
      <w:tblPr>
        <w:tblStyle w:val="TableGrid"/>
        <w:tblW w:type="auto" w:w="0"/>
        <w:jc w:val="center"/>
        <w:tblLook w:firstColumn="1" w:firstRow="1" w:lastColumn="0" w:lastRow="0" w:noHBand="0" w:noVBand="1" w:val="04A0"/>
      </w:tblPr>
      <w:tblGrid>
        <w:gridCol w:w="5112"/>
        <w:gridCol w:w="5112"/>
      </w:tblGrid>
      <w:tr>
        <w:tc>
          <w:tcPr>
            <w:tcW w:type="dxa" w:w="3168"/>
            <w:vAlign w:val="center"/>
            <w:shd w:fill="1F4E79"/>
          </w:tcPr>
          <w:p>
            <w:pPr>
              <w:jc w:val="center"/>
            </w:pPr>
            <w:r/>
            <w:r>
              <w:rPr>
                <w:rFonts w:ascii="Aptos" w:hAnsi="Aptos"/>
                <w:b/>
                <w:color w:val="FFFFFF"/>
                <w:sz w:val="17"/>
              </w:rPr>
              <w:t>Item</w:t>
            </w:r>
          </w:p>
        </w:tc>
        <w:tc>
          <w:tcPr>
            <w:tcW w:type="dxa" w:w="7632"/>
            <w:vAlign w:val="center"/>
            <w:shd w:fill="1F4E79"/>
          </w:tcPr>
          <w:p>
            <w:pPr>
              <w:jc w:val="center"/>
            </w:pPr>
            <w:r/>
            <w:r>
              <w:rPr>
                <w:rFonts w:ascii="Aptos" w:hAnsi="Aptos"/>
                <w:b/>
                <w:color w:val="FFFFFF"/>
                <w:sz w:val="17"/>
              </w:rPr>
              <w:t>Description</w:t>
            </w:r>
          </w:p>
        </w:tc>
      </w:tr>
      <w:tr>
        <w:tc>
          <w:tcPr>
            <w:tcW w:type="dxa" w:w="3168"/>
            <w:vAlign w:val="center"/>
          </w:tcPr>
          <w:p>
            <w:r/>
            <w:r>
              <w:rPr>
                <w:rFonts w:ascii="Aptos" w:hAnsi="Aptos"/>
                <w:b w:val="0"/>
                <w:sz w:val="16"/>
              </w:rPr>
              <w:t>Period</w:t>
            </w:r>
          </w:p>
        </w:tc>
        <w:tc>
          <w:tcPr>
            <w:tcW w:type="dxa" w:w="7632"/>
            <w:vAlign w:val="center"/>
          </w:tcPr>
          <w:p>
            <w:r/>
            <w:r>
              <w:rPr>
                <w:rFonts w:ascii="Aptos" w:hAnsi="Aptos"/>
                <w:b w:val="0"/>
                <w:sz w:val="16"/>
              </w:rPr>
              <w:t>January 1-31, 2025</w:t>
            </w:r>
          </w:p>
        </w:tc>
      </w:tr>
      <w:tr>
        <w:tc>
          <w:tcPr>
            <w:tcW w:type="dxa" w:w="3168"/>
            <w:vAlign w:val="center"/>
          </w:tcPr>
          <w:p>
            <w:r/>
            <w:r>
              <w:rPr>
                <w:rFonts w:ascii="Aptos" w:hAnsi="Aptos"/>
                <w:b w:val="0"/>
                <w:sz w:val="16"/>
              </w:rPr>
              <w:t>Rows</w:t>
            </w:r>
          </w:p>
        </w:tc>
        <w:tc>
          <w:tcPr>
            <w:tcW w:type="dxa" w:w="7632"/>
            <w:vAlign w:val="center"/>
          </w:tcPr>
          <w:p>
            <w:r/>
            <w:r>
              <w:rPr>
                <w:rFonts w:ascii="Aptos" w:hAnsi="Aptos"/>
                <w:b w:val="0"/>
                <w:sz w:val="16"/>
              </w:rPr>
              <w:t>539,747</w:t>
            </w:r>
          </w:p>
        </w:tc>
      </w:tr>
      <w:tr>
        <w:tc>
          <w:tcPr>
            <w:tcW w:type="dxa" w:w="3168"/>
            <w:vAlign w:val="center"/>
          </w:tcPr>
          <w:p>
            <w:r/>
            <w:r>
              <w:rPr>
                <w:rFonts w:ascii="Aptos" w:hAnsi="Aptos"/>
                <w:b w:val="0"/>
                <w:sz w:val="16"/>
              </w:rPr>
              <w:t>Original fields</w:t>
            </w:r>
          </w:p>
        </w:tc>
        <w:tc>
          <w:tcPr>
            <w:tcW w:type="dxa" w:w="7632"/>
            <w:vAlign w:val="center"/>
          </w:tcPr>
          <w:p>
            <w:r/>
            <w:r>
              <w:rPr>
                <w:rFonts w:ascii="Aptos" w:hAnsi="Aptos"/>
                <w:b w:val="0"/>
                <w:sz w:val="16"/>
              </w:rPr>
              <w:t>110</w:t>
            </w:r>
          </w:p>
        </w:tc>
      </w:tr>
      <w:tr>
        <w:tc>
          <w:tcPr>
            <w:tcW w:type="dxa" w:w="3168"/>
            <w:vAlign w:val="center"/>
          </w:tcPr>
          <w:p>
            <w:r/>
            <w:r>
              <w:rPr>
                <w:rFonts w:ascii="Aptos" w:hAnsi="Aptos"/>
                <w:b w:val="0"/>
                <w:sz w:val="16"/>
              </w:rPr>
              <w:t>Core identifiers</w:t>
            </w:r>
          </w:p>
        </w:tc>
        <w:tc>
          <w:tcPr>
            <w:tcW w:type="dxa" w:w="7632"/>
            <w:vAlign w:val="center"/>
          </w:tcPr>
          <w:p>
            <w:r/>
            <w:r>
              <w:rPr>
                <w:rFonts w:ascii="Aptos" w:hAnsi="Aptos"/>
                <w:b w:val="0"/>
                <w:sz w:val="16"/>
              </w:rPr>
              <w:t>Flight date, carrier, flight number, origin, destination</w:t>
            </w:r>
          </w:p>
        </w:tc>
      </w:tr>
      <w:tr>
        <w:tc>
          <w:tcPr>
            <w:tcW w:type="dxa" w:w="3168"/>
            <w:vAlign w:val="center"/>
          </w:tcPr>
          <w:p>
            <w:r/>
            <w:r>
              <w:rPr>
                <w:rFonts w:ascii="Aptos" w:hAnsi="Aptos"/>
                <w:b w:val="0"/>
                <w:sz w:val="16"/>
              </w:rPr>
              <w:t>Operational variables</w:t>
            </w:r>
          </w:p>
        </w:tc>
        <w:tc>
          <w:tcPr>
            <w:tcW w:type="dxa" w:w="7632"/>
            <w:vAlign w:val="center"/>
          </w:tcPr>
          <w:p>
            <w:r/>
            <w:r>
              <w:rPr>
                <w:rFonts w:ascii="Aptos" w:hAnsi="Aptos"/>
                <w:b w:val="0"/>
                <w:sz w:val="16"/>
              </w:rPr>
              <w:t>Scheduled/actual times, departure/arrival delay, taxi times, air time, elapsed time, distance</w:t>
            </w:r>
          </w:p>
        </w:tc>
      </w:tr>
      <w:tr>
        <w:tc>
          <w:tcPr>
            <w:tcW w:type="dxa" w:w="3168"/>
            <w:vAlign w:val="center"/>
          </w:tcPr>
          <w:p>
            <w:r/>
            <w:r>
              <w:rPr>
                <w:rFonts w:ascii="Aptos" w:hAnsi="Aptos"/>
                <w:b w:val="0"/>
                <w:sz w:val="16"/>
              </w:rPr>
              <w:t>Irregular operations</w:t>
            </w:r>
          </w:p>
        </w:tc>
        <w:tc>
          <w:tcPr>
            <w:tcW w:type="dxa" w:w="7632"/>
            <w:vAlign w:val="center"/>
          </w:tcPr>
          <w:p>
            <w:r/>
            <w:r>
              <w:rPr>
                <w:rFonts w:ascii="Aptos" w:hAnsi="Aptos"/>
                <w:b w:val="0"/>
                <w:sz w:val="16"/>
              </w:rPr>
              <w:t>Cancellation, cancellation code, diversion</w:t>
            </w:r>
          </w:p>
        </w:tc>
      </w:tr>
      <w:tr>
        <w:tc>
          <w:tcPr>
            <w:tcW w:type="dxa" w:w="3168"/>
            <w:vAlign w:val="center"/>
          </w:tcPr>
          <w:p>
            <w:r/>
            <w:r>
              <w:rPr>
                <w:rFonts w:ascii="Aptos" w:hAnsi="Aptos"/>
                <w:b w:val="0"/>
                <w:sz w:val="16"/>
              </w:rPr>
              <w:t>Delay causes</w:t>
            </w:r>
          </w:p>
        </w:tc>
        <w:tc>
          <w:tcPr>
            <w:tcW w:type="dxa" w:w="7632"/>
            <w:vAlign w:val="center"/>
          </w:tcPr>
          <w:p>
            <w:r/>
            <w:r>
              <w:rPr>
                <w:rFonts w:ascii="Aptos" w:hAnsi="Aptos"/>
                <w:b w:val="0"/>
                <w:sz w:val="16"/>
              </w:rPr>
              <w:t>Carrier, weather, NAS, security, late-arriving aircraft</w:t>
            </w:r>
          </w:p>
        </w:tc>
      </w:tr>
    </w:tbl>
    <w:p>
      <w:pPr>
        <w:spacing w:after="80" w:line="252" w:lineRule="auto"/>
      </w:pPr>
    </w:p>
    <w:p>
      <w:pPr>
        <w:pStyle w:val="Heading2"/>
        <w:spacing w:line="252" w:lineRule="auto"/>
      </w:pPr>
      <w:r>
        <w:t>2.2 Cleaning and feature engineering</w:t>
      </w:r>
    </w:p>
    <w:p>
      <w:pPr>
        <w:pStyle w:val="ListBullet"/>
        <w:spacing w:after="40" w:line="252" w:lineRule="auto"/>
        <w:ind w:left="259"/>
      </w:pPr>
      <w:r>
        <w:rPr>
          <w:sz w:val="18"/>
        </w:rPr>
        <w:t>Selected 41 source variables and created 10 derived variables, producing a 51-field analysis table.</w:t>
      </w:r>
    </w:p>
    <w:p>
      <w:pPr>
        <w:pStyle w:val="ListBullet"/>
        <w:spacing w:after="40" w:line="252" w:lineRule="auto"/>
        <w:ind w:left="259"/>
      </w:pPr>
      <w:r>
        <w:rPr>
          <w:sz w:val="18"/>
        </w:rPr>
        <w:t>Parsed FlightDate as a date field and retained carrier/airport codes as categorical identifiers.</w:t>
      </w:r>
    </w:p>
    <w:p>
      <w:pPr>
        <w:pStyle w:val="ListBullet"/>
        <w:spacing w:after="40" w:line="252" w:lineRule="auto"/>
        <w:ind w:left="259"/>
      </w:pPr>
      <w:r>
        <w:rPr>
          <w:sz w:val="18"/>
        </w:rPr>
        <w:t>Created IsCancelled, IsDiverted and CompletedFlight flags.</w:t>
      </w:r>
    </w:p>
    <w:p>
      <w:pPr>
        <w:pStyle w:val="ListBullet"/>
        <w:spacing w:after="40" w:line="252" w:lineRule="auto"/>
        <w:ind w:left="259"/>
      </w:pPr>
      <w:r>
        <w:rPr>
          <w:sz w:val="18"/>
        </w:rPr>
        <w:t>Created IsArrivalDelayed15 and IsDepartureDelayed15 using the BTS 15-minute threshold.</w:t>
      </w:r>
    </w:p>
    <w:p>
      <w:pPr>
        <w:pStyle w:val="ListBullet"/>
        <w:spacing w:after="40" w:line="252" w:lineRule="auto"/>
        <w:ind w:left="259"/>
      </w:pPr>
      <w:r>
        <w:rPr>
          <w:sz w:val="18"/>
        </w:rPr>
        <w:t>Converted scheduled departure HHMM values into ScheduledDepHour and grouped departures into Early Morning, Late Morning, Afternoon, Evening and Night.</w:t>
      </w:r>
    </w:p>
    <w:p>
      <w:pPr>
        <w:pStyle w:val="ListBullet"/>
        <w:spacing w:after="40" w:line="252" w:lineRule="auto"/>
        <w:ind w:left="259"/>
      </w:pPr>
      <w:r>
        <w:rPr>
          <w:sz w:val="18"/>
        </w:rPr>
        <w:t>Created DayName and directional Route (Origin-Destination) fields.</w:t>
      </w:r>
    </w:p>
    <w:p>
      <w:pPr>
        <w:pStyle w:val="ListBullet"/>
        <w:spacing w:after="40" w:line="252" w:lineRule="auto"/>
        <w:ind w:left="259"/>
      </w:pPr>
      <w:r>
        <w:rPr>
          <w:sz w:val="18"/>
        </w:rPr>
        <w:t>Removed only exact duplicate records; no duplicates were present.</w:t>
      </w:r>
    </w:p>
    <w:p>
      <w:pPr>
        <w:pStyle w:val="ListBullet"/>
        <w:spacing w:after="40" w:line="252" w:lineRule="auto"/>
        <w:ind w:left="259"/>
      </w:pPr>
      <w:r>
        <w:rPr>
          <w:sz w:val="18"/>
        </w:rPr>
        <w:t>Excluded cancelled and diverted records from flight-completion delay statistics because actual arrival-delay measures are not comparable for those operations.</w:t>
      </w:r>
    </w:p>
    <w:tbl>
      <w:tblPr>
        <w:tblStyle w:val="TableGrid"/>
        <w:tblW w:type="auto" w:w="0"/>
        <w:tblLook w:firstColumn="1" w:firstRow="1" w:lastColumn="0" w:lastRow="0" w:noHBand="0" w:noVBand="1" w:val="04A0"/>
      </w:tblPr>
      <w:tblGrid>
        <w:gridCol w:w="10224"/>
      </w:tblGrid>
      <w:tr>
        <w:tc>
          <w:tcPr>
            <w:tcW w:type="dxa" w:w="10224"/>
            <w:shd w:fill="EAF2F8"/>
            <w:vAlign w:val="center"/>
          </w:tcPr>
          <w:p>
            <w:r/>
            <w:r>
              <w:rPr>
                <w:rFonts w:ascii="Aptos" w:hAnsi="Aptos"/>
                <w:b w:val="0"/>
                <w:color w:val="1F4E79"/>
                <w:sz w:val="17"/>
              </w:rPr>
              <w:t>The final dataset retained all 539,747 scheduled records. Delay analyses used 522,269 completed, non-diverted flights.</w:t>
            </w:r>
          </w:p>
        </w:tc>
      </w:tr>
    </w:tbl>
    <w:p>
      <w:pPr>
        <w:spacing w:after="80" w:line="252" w:lineRule="auto"/>
      </w:pPr>
    </w:p>
    <w:p>
      <w:pPr>
        <w:pStyle w:val="Heading2"/>
        <w:spacing w:line="252" w:lineRule="auto"/>
      </w:pPr>
      <w:r>
        <w:t>2.3 Analysis architecture</w:t>
      </w:r>
    </w:p>
    <w:tbl>
      <w:tblPr>
        <w:tblStyle w:val="TableGrid"/>
        <w:tblW w:type="auto" w:w="0"/>
        <w:jc w:val="center"/>
        <w:tblLook w:firstColumn="1" w:firstRow="1" w:lastColumn="0" w:lastRow="0" w:noHBand="0" w:noVBand="1" w:val="04A0"/>
      </w:tblPr>
      <w:tblGrid>
        <w:gridCol w:w="3408"/>
        <w:gridCol w:w="3408"/>
        <w:gridCol w:w="3408"/>
      </w:tblGrid>
      <w:tr>
        <w:tc>
          <w:tcPr>
            <w:tcW w:type="dxa" w:w="2304"/>
            <w:vAlign w:val="center"/>
            <w:shd w:fill="1F4E79"/>
          </w:tcPr>
          <w:p>
            <w:pPr>
              <w:jc w:val="center"/>
            </w:pPr>
            <w:r/>
            <w:r>
              <w:rPr>
                <w:rFonts w:ascii="Aptos" w:hAnsi="Aptos"/>
                <w:b/>
                <w:color w:val="FFFFFF"/>
                <w:sz w:val="17"/>
              </w:rPr>
              <w:t>Stage</w:t>
            </w:r>
          </w:p>
        </w:tc>
        <w:tc>
          <w:tcPr>
            <w:tcW w:type="dxa" w:w="2880"/>
            <w:vAlign w:val="center"/>
            <w:shd w:fill="1F4E79"/>
          </w:tcPr>
          <w:p>
            <w:pPr>
              <w:jc w:val="center"/>
            </w:pPr>
            <w:r/>
            <w:r>
              <w:rPr>
                <w:rFonts w:ascii="Aptos" w:hAnsi="Aptos"/>
                <w:b/>
                <w:color w:val="FFFFFF"/>
                <w:sz w:val="17"/>
              </w:rPr>
              <w:t>Tool</w:t>
            </w:r>
          </w:p>
        </w:tc>
        <w:tc>
          <w:tcPr>
            <w:tcW w:type="dxa" w:w="5616"/>
            <w:vAlign w:val="center"/>
            <w:shd w:fill="1F4E79"/>
          </w:tcPr>
          <w:p>
            <w:pPr>
              <w:jc w:val="center"/>
            </w:pPr>
            <w:r/>
            <w:r>
              <w:rPr>
                <w:rFonts w:ascii="Aptos" w:hAnsi="Aptos"/>
                <w:b/>
                <w:color w:val="FFFFFF"/>
                <w:sz w:val="17"/>
              </w:rPr>
              <w:t>Purpose</w:t>
            </w:r>
          </w:p>
        </w:tc>
      </w:tr>
      <w:tr>
        <w:tc>
          <w:tcPr>
            <w:tcW w:type="dxa" w:w="2304"/>
            <w:vAlign w:val="center"/>
          </w:tcPr>
          <w:p>
            <w:r/>
            <w:r>
              <w:rPr>
                <w:rFonts w:ascii="Aptos" w:hAnsi="Aptos"/>
                <w:b w:val="0"/>
                <w:sz w:val="16"/>
              </w:rPr>
              <w:t>Data preparation</w:t>
            </w:r>
          </w:p>
        </w:tc>
        <w:tc>
          <w:tcPr>
            <w:tcW w:type="dxa" w:w="2880"/>
            <w:vAlign w:val="center"/>
          </w:tcPr>
          <w:p>
            <w:r/>
            <w:r>
              <w:rPr>
                <w:rFonts w:ascii="Aptos" w:hAnsi="Aptos"/>
                <w:b w:val="0"/>
                <w:sz w:val="16"/>
              </w:rPr>
              <w:t>Python / pandas</w:t>
            </w:r>
          </w:p>
        </w:tc>
        <w:tc>
          <w:tcPr>
            <w:tcW w:type="dxa" w:w="5616"/>
            <w:vAlign w:val="center"/>
          </w:tcPr>
          <w:p>
            <w:r/>
            <w:r>
              <w:rPr>
                <w:rFonts w:ascii="Aptos" w:hAnsi="Aptos"/>
                <w:b w:val="0"/>
                <w:sz w:val="16"/>
              </w:rPr>
              <w:t>Column reduction, cleaning, derived fields, reusable CSV</w:t>
            </w:r>
          </w:p>
        </w:tc>
      </w:tr>
      <w:tr>
        <w:tc>
          <w:tcPr>
            <w:tcW w:type="dxa" w:w="2304"/>
            <w:vAlign w:val="center"/>
          </w:tcPr>
          <w:p>
            <w:r/>
            <w:r>
              <w:rPr>
                <w:rFonts w:ascii="Aptos" w:hAnsi="Aptos"/>
                <w:b w:val="0"/>
                <w:sz w:val="16"/>
              </w:rPr>
              <w:t>Database analytics</w:t>
            </w:r>
          </w:p>
        </w:tc>
        <w:tc>
          <w:tcPr>
            <w:tcW w:type="dxa" w:w="2880"/>
            <w:vAlign w:val="center"/>
          </w:tcPr>
          <w:p>
            <w:r/>
            <w:r>
              <w:rPr>
                <w:rFonts w:ascii="Aptos" w:hAnsi="Aptos"/>
                <w:b w:val="0"/>
                <w:sz w:val="16"/>
              </w:rPr>
              <w:t>SQLite</w:t>
            </w:r>
          </w:p>
        </w:tc>
        <w:tc>
          <w:tcPr>
            <w:tcW w:type="dxa" w:w="5616"/>
            <w:vAlign w:val="center"/>
          </w:tcPr>
          <w:p>
            <w:r/>
            <w:r>
              <w:rPr>
                <w:rFonts w:ascii="Aptos" w:hAnsi="Aptos"/>
                <w:b w:val="0"/>
                <w:sz w:val="16"/>
              </w:rPr>
              <w:t>Aggregation, CTEs, CASE logic, window functions, views</w:t>
            </w:r>
          </w:p>
        </w:tc>
      </w:tr>
      <w:tr>
        <w:tc>
          <w:tcPr>
            <w:tcW w:type="dxa" w:w="2304"/>
            <w:vAlign w:val="center"/>
          </w:tcPr>
          <w:p>
            <w:r/>
            <w:r>
              <w:rPr>
                <w:rFonts w:ascii="Aptos" w:hAnsi="Aptos"/>
                <w:b w:val="0"/>
                <w:sz w:val="16"/>
              </w:rPr>
              <w:t>Statistical analysis</w:t>
            </w:r>
          </w:p>
        </w:tc>
        <w:tc>
          <w:tcPr>
            <w:tcW w:type="dxa" w:w="2880"/>
            <w:vAlign w:val="center"/>
          </w:tcPr>
          <w:p>
            <w:r/>
            <w:r>
              <w:rPr>
                <w:rFonts w:ascii="Aptos" w:hAnsi="Aptos"/>
                <w:b w:val="0"/>
                <w:sz w:val="16"/>
              </w:rPr>
              <w:t>Python / SciPy / statsmodels</w:t>
            </w:r>
          </w:p>
        </w:tc>
        <w:tc>
          <w:tcPr>
            <w:tcW w:type="dxa" w:w="5616"/>
            <w:vAlign w:val="center"/>
          </w:tcPr>
          <w:p>
            <w:r/>
            <w:r>
              <w:rPr>
                <w:rFonts w:ascii="Aptos" w:hAnsi="Aptos"/>
                <w:b w:val="0"/>
                <w:sz w:val="16"/>
              </w:rPr>
              <w:t>Confidence intervals, ANOVA, chi-square, effect sizes, OLS</w:t>
            </w:r>
          </w:p>
        </w:tc>
      </w:tr>
      <w:tr>
        <w:tc>
          <w:tcPr>
            <w:tcW w:type="dxa" w:w="2304"/>
            <w:vAlign w:val="center"/>
          </w:tcPr>
          <w:p>
            <w:r/>
            <w:r>
              <w:rPr>
                <w:rFonts w:ascii="Aptos" w:hAnsi="Aptos"/>
                <w:b w:val="0"/>
                <w:sz w:val="16"/>
              </w:rPr>
              <w:t>Visualization</w:t>
            </w:r>
          </w:p>
        </w:tc>
        <w:tc>
          <w:tcPr>
            <w:tcW w:type="dxa" w:w="2880"/>
            <w:vAlign w:val="center"/>
          </w:tcPr>
          <w:p>
            <w:r/>
            <w:r>
              <w:rPr>
                <w:rFonts w:ascii="Aptos" w:hAnsi="Aptos"/>
                <w:b w:val="0"/>
                <w:sz w:val="16"/>
              </w:rPr>
              <w:t>Matplotlib + Power BI</w:t>
            </w:r>
          </w:p>
        </w:tc>
        <w:tc>
          <w:tcPr>
            <w:tcW w:type="dxa" w:w="5616"/>
            <w:vAlign w:val="center"/>
          </w:tcPr>
          <w:p>
            <w:r/>
            <w:r>
              <w:rPr>
                <w:rFonts w:ascii="Aptos" w:hAnsi="Aptos"/>
                <w:b w:val="0"/>
                <w:sz w:val="16"/>
              </w:rPr>
              <w:t>Static analytical figures and interactive dashboard</w:t>
            </w:r>
          </w:p>
        </w:tc>
      </w:tr>
    </w:tbl>
    <w:p>
      <w:pPr>
        <w:spacing w:after="80" w:line="252" w:lineRule="auto"/>
      </w:pPr>
    </w:p>
    <w:p>
      <w:pPr>
        <w:spacing w:line="252" w:lineRule="auto" w:after="80"/>
      </w:pPr>
      <w:r>
        <w:br w:type="page"/>
      </w:r>
    </w:p>
    <w:p>
      <w:pPr>
        <w:pStyle w:val="Heading1"/>
        <w:spacing w:line="252" w:lineRule="auto"/>
      </w:pPr>
      <w:r>
        <w:t>3. SQL Analytical Workflow</w:t>
      </w:r>
    </w:p>
    <w:p>
      <w:pPr>
        <w:spacing w:line="252" w:lineRule="auto" w:after="80"/>
      </w:pPr>
      <w:r>
        <w:t>The cleaned flight table was imported into SQLite as a table named flights. Fifteen analytical queries were written to demonstrate both operational analysis and reusable SQL patterns rather than relying only on Python group-by operations.</w:t>
      </w:r>
    </w:p>
    <w:tbl>
      <w:tblPr>
        <w:tblStyle w:val="TableGrid"/>
        <w:tblW w:type="auto" w:w="0"/>
        <w:jc w:val="center"/>
        <w:tblLook w:firstColumn="1" w:firstRow="1" w:lastColumn="0" w:lastRow="0" w:noHBand="0" w:noVBand="1" w:val="04A0"/>
      </w:tblPr>
      <w:tblGrid>
        <w:gridCol w:w="5112"/>
        <w:gridCol w:w="5112"/>
      </w:tblGrid>
      <w:tr>
        <w:tc>
          <w:tcPr>
            <w:tcW w:type="dxa" w:w="5040"/>
            <w:vAlign w:val="center"/>
            <w:shd w:fill="1F4E79"/>
          </w:tcPr>
          <w:p>
            <w:pPr>
              <w:jc w:val="center"/>
            </w:pPr>
            <w:r/>
            <w:r>
              <w:rPr>
                <w:rFonts w:ascii="Aptos" w:hAnsi="Aptos"/>
                <w:b/>
                <w:color w:val="FFFFFF"/>
                <w:sz w:val="17"/>
              </w:rPr>
              <w:t>SQL task</w:t>
            </w:r>
          </w:p>
        </w:tc>
        <w:tc>
          <w:tcPr>
            <w:tcW w:type="dxa" w:w="5760"/>
            <w:vAlign w:val="center"/>
            <w:shd w:fill="1F4E79"/>
          </w:tcPr>
          <w:p>
            <w:pPr>
              <w:jc w:val="center"/>
            </w:pPr>
            <w:r/>
            <w:r>
              <w:rPr>
                <w:rFonts w:ascii="Aptos" w:hAnsi="Aptos"/>
                <w:b/>
                <w:color w:val="FFFFFF"/>
                <w:sz w:val="17"/>
              </w:rPr>
              <w:t>Main SQL concepts</w:t>
            </w:r>
          </w:p>
        </w:tc>
      </w:tr>
      <w:tr>
        <w:tc>
          <w:tcPr>
            <w:tcW w:type="dxa" w:w="5040"/>
            <w:vAlign w:val="center"/>
          </w:tcPr>
          <w:p>
            <w:r/>
            <w:r>
              <w:rPr>
                <w:rFonts w:ascii="Aptos" w:hAnsi="Aptos"/>
                <w:b w:val="0"/>
                <w:sz w:val="16"/>
              </w:rPr>
              <w:t>Overall flight KPIs</w:t>
            </w:r>
          </w:p>
        </w:tc>
        <w:tc>
          <w:tcPr>
            <w:tcW w:type="dxa" w:w="5760"/>
            <w:vAlign w:val="center"/>
          </w:tcPr>
          <w:p>
            <w:r/>
            <w:r>
              <w:rPr>
                <w:rFonts w:ascii="Aptos" w:hAnsi="Aptos"/>
                <w:b w:val="0"/>
                <w:sz w:val="16"/>
              </w:rPr>
              <w:t>COUNT, SUM, AVG, CASE</w:t>
            </w:r>
          </w:p>
        </w:tc>
      </w:tr>
      <w:tr>
        <w:tc>
          <w:tcPr>
            <w:tcW w:type="dxa" w:w="5040"/>
            <w:vAlign w:val="center"/>
          </w:tcPr>
          <w:p>
            <w:r/>
            <w:r>
              <w:rPr>
                <w:rFonts w:ascii="Aptos" w:hAnsi="Aptos"/>
                <w:b w:val="0"/>
                <w:sz w:val="16"/>
              </w:rPr>
              <w:t>Airline delay ranking</w:t>
            </w:r>
          </w:p>
        </w:tc>
        <w:tc>
          <w:tcPr>
            <w:tcW w:type="dxa" w:w="5760"/>
            <w:vAlign w:val="center"/>
          </w:tcPr>
          <w:p>
            <w:r/>
            <w:r>
              <w:rPr>
                <w:rFonts w:ascii="Aptos" w:hAnsi="Aptos"/>
                <w:b w:val="0"/>
                <w:sz w:val="16"/>
              </w:rPr>
              <w:t>GROUP BY, conditional aggregation, ORDER BY</w:t>
            </w:r>
          </w:p>
        </w:tc>
      </w:tr>
      <w:tr>
        <w:tc>
          <w:tcPr>
            <w:tcW w:type="dxa" w:w="5040"/>
            <w:vAlign w:val="center"/>
          </w:tcPr>
          <w:p>
            <w:r/>
            <w:r>
              <w:rPr>
                <w:rFonts w:ascii="Aptos" w:hAnsi="Aptos"/>
                <w:b w:val="0"/>
                <w:sz w:val="16"/>
              </w:rPr>
              <w:t>Airline cancellation ranking</w:t>
            </w:r>
          </w:p>
        </w:tc>
        <w:tc>
          <w:tcPr>
            <w:tcW w:type="dxa" w:w="5760"/>
            <w:vAlign w:val="center"/>
          </w:tcPr>
          <w:p>
            <w:r/>
            <w:r>
              <w:rPr>
                <w:rFonts w:ascii="Aptos" w:hAnsi="Aptos"/>
                <w:b w:val="0"/>
                <w:sz w:val="16"/>
              </w:rPr>
              <w:t>HAVING, rate calculation</w:t>
            </w:r>
          </w:p>
        </w:tc>
      </w:tr>
      <w:tr>
        <w:tc>
          <w:tcPr>
            <w:tcW w:type="dxa" w:w="5040"/>
            <w:vAlign w:val="center"/>
          </w:tcPr>
          <w:p>
            <w:r/>
            <w:r>
              <w:rPr>
                <w:rFonts w:ascii="Aptos" w:hAnsi="Aptos"/>
                <w:b w:val="0"/>
                <w:sz w:val="16"/>
              </w:rPr>
              <w:t>Origin-airport performance</w:t>
            </w:r>
          </w:p>
        </w:tc>
        <w:tc>
          <w:tcPr>
            <w:tcW w:type="dxa" w:w="5760"/>
            <w:vAlign w:val="center"/>
          </w:tcPr>
          <w:p>
            <w:r/>
            <w:r>
              <w:rPr>
                <w:rFonts w:ascii="Aptos" w:hAnsi="Aptos"/>
                <w:b w:val="0"/>
                <w:sz w:val="16"/>
              </w:rPr>
              <w:t>Traffic threshold + conditional aggregation</w:t>
            </w:r>
          </w:p>
        </w:tc>
      </w:tr>
      <w:tr>
        <w:tc>
          <w:tcPr>
            <w:tcW w:type="dxa" w:w="5040"/>
            <w:vAlign w:val="center"/>
          </w:tcPr>
          <w:p>
            <w:r/>
            <w:r>
              <w:rPr>
                <w:rFonts w:ascii="Aptos" w:hAnsi="Aptos"/>
                <w:b w:val="0"/>
                <w:sz w:val="16"/>
              </w:rPr>
              <w:t>Busiest routes</w:t>
            </w:r>
          </w:p>
        </w:tc>
        <w:tc>
          <w:tcPr>
            <w:tcW w:type="dxa" w:w="5760"/>
            <w:vAlign w:val="center"/>
          </w:tcPr>
          <w:p>
            <w:r/>
            <w:r>
              <w:rPr>
                <w:rFonts w:ascii="Aptos" w:hAnsi="Aptos"/>
                <w:b w:val="0"/>
                <w:sz w:val="16"/>
              </w:rPr>
              <w:t>Multi-column grouping, LIMIT</w:t>
            </w:r>
          </w:p>
        </w:tc>
      </w:tr>
      <w:tr>
        <w:tc>
          <w:tcPr>
            <w:tcW w:type="dxa" w:w="5040"/>
            <w:vAlign w:val="center"/>
          </w:tcPr>
          <w:p>
            <w:r/>
            <w:r>
              <w:rPr>
                <w:rFonts w:ascii="Aptos" w:hAnsi="Aptos"/>
                <w:b w:val="0"/>
                <w:sz w:val="16"/>
              </w:rPr>
              <w:t>Departure period / weekday</w:t>
            </w:r>
          </w:p>
        </w:tc>
        <w:tc>
          <w:tcPr>
            <w:tcW w:type="dxa" w:w="5760"/>
            <w:vAlign w:val="center"/>
          </w:tcPr>
          <w:p>
            <w:r/>
            <w:r>
              <w:rPr>
                <w:rFonts w:ascii="Aptos" w:hAnsi="Aptos"/>
                <w:b w:val="0"/>
                <w:sz w:val="16"/>
              </w:rPr>
              <w:t>CASE ordering, grouped rates</w:t>
            </w:r>
          </w:p>
        </w:tc>
      </w:tr>
      <w:tr>
        <w:tc>
          <w:tcPr>
            <w:tcW w:type="dxa" w:w="5040"/>
            <w:vAlign w:val="center"/>
          </w:tcPr>
          <w:p>
            <w:r/>
            <w:r>
              <w:rPr>
                <w:rFonts w:ascii="Aptos" w:hAnsi="Aptos"/>
                <w:b w:val="0"/>
                <w:sz w:val="16"/>
              </w:rPr>
              <w:t>Delay-cause composition</w:t>
            </w:r>
          </w:p>
        </w:tc>
        <w:tc>
          <w:tcPr>
            <w:tcW w:type="dxa" w:w="5760"/>
            <w:vAlign w:val="center"/>
          </w:tcPr>
          <w:p>
            <w:r/>
            <w:r>
              <w:rPr>
                <w:rFonts w:ascii="Aptos" w:hAnsi="Aptos"/>
                <w:b w:val="0"/>
                <w:sz w:val="16"/>
              </w:rPr>
              <w:t>CTEs + UNION ALL</w:t>
            </w:r>
          </w:p>
        </w:tc>
      </w:tr>
      <w:tr>
        <w:tc>
          <w:tcPr>
            <w:tcW w:type="dxa" w:w="5040"/>
            <w:vAlign w:val="center"/>
          </w:tcPr>
          <w:p>
            <w:r/>
            <w:r>
              <w:rPr>
                <w:rFonts w:ascii="Aptos" w:hAnsi="Aptos"/>
                <w:b w:val="0"/>
                <w:sz w:val="16"/>
              </w:rPr>
              <w:t>Carrier performance rank</w:t>
            </w:r>
          </w:p>
        </w:tc>
        <w:tc>
          <w:tcPr>
            <w:tcW w:type="dxa" w:w="5760"/>
            <w:vAlign w:val="center"/>
          </w:tcPr>
          <w:p>
            <w:r/>
            <w:r>
              <w:rPr>
                <w:rFonts w:ascii="Aptos" w:hAnsi="Aptos"/>
                <w:b w:val="0"/>
                <w:sz w:val="16"/>
              </w:rPr>
              <w:t>RANK() window function</w:t>
            </w:r>
          </w:p>
        </w:tc>
      </w:tr>
      <w:tr>
        <w:tc>
          <w:tcPr>
            <w:tcW w:type="dxa" w:w="5040"/>
            <w:vAlign w:val="center"/>
          </w:tcPr>
          <w:p>
            <w:r/>
            <w:r>
              <w:rPr>
                <w:rFonts w:ascii="Aptos" w:hAnsi="Aptos"/>
                <w:b w:val="0"/>
                <w:sz w:val="16"/>
              </w:rPr>
              <w:t>Traffic-adjusted airport rank</w:t>
            </w:r>
          </w:p>
        </w:tc>
        <w:tc>
          <w:tcPr>
            <w:tcW w:type="dxa" w:w="5760"/>
            <w:vAlign w:val="center"/>
          </w:tcPr>
          <w:p>
            <w:r/>
            <w:r>
              <w:rPr>
                <w:rFonts w:ascii="Aptos" w:hAnsi="Aptos"/>
                <w:b w:val="0"/>
                <w:sz w:val="16"/>
              </w:rPr>
              <w:t>DENSE_RANK() + CTE</w:t>
            </w:r>
          </w:p>
        </w:tc>
      </w:tr>
      <w:tr>
        <w:tc>
          <w:tcPr>
            <w:tcW w:type="dxa" w:w="5040"/>
            <w:vAlign w:val="center"/>
          </w:tcPr>
          <w:p>
            <w:r/>
            <w:r>
              <w:rPr>
                <w:rFonts w:ascii="Aptos" w:hAnsi="Aptos"/>
                <w:b w:val="0"/>
                <w:sz w:val="16"/>
              </w:rPr>
              <w:t>Daily delay trend</w:t>
            </w:r>
          </w:p>
        </w:tc>
        <w:tc>
          <w:tcPr>
            <w:tcW w:type="dxa" w:w="5760"/>
            <w:vAlign w:val="center"/>
          </w:tcPr>
          <w:p>
            <w:r/>
            <w:r>
              <w:rPr>
                <w:rFonts w:ascii="Aptos" w:hAnsi="Aptos"/>
                <w:b w:val="0"/>
                <w:sz w:val="16"/>
              </w:rPr>
              <w:t>7-day rolling AVG() window</w:t>
            </w:r>
          </w:p>
        </w:tc>
      </w:tr>
      <w:tr>
        <w:tc>
          <w:tcPr>
            <w:tcW w:type="dxa" w:w="5040"/>
            <w:vAlign w:val="center"/>
          </w:tcPr>
          <w:p>
            <w:r/>
            <w:r>
              <w:rPr>
                <w:rFonts w:ascii="Aptos" w:hAnsi="Aptos"/>
                <w:b w:val="0"/>
                <w:sz w:val="16"/>
              </w:rPr>
              <w:t>Cancellation reason</w:t>
            </w:r>
          </w:p>
        </w:tc>
        <w:tc>
          <w:tcPr>
            <w:tcW w:type="dxa" w:w="5760"/>
            <w:vAlign w:val="center"/>
          </w:tcPr>
          <w:p>
            <w:r/>
            <w:r>
              <w:rPr>
                <w:rFonts w:ascii="Aptos" w:hAnsi="Aptos"/>
                <w:b w:val="0"/>
                <w:sz w:val="16"/>
              </w:rPr>
              <w:t>CASE WHEN mapping</w:t>
            </w:r>
          </w:p>
        </w:tc>
      </w:tr>
      <w:tr>
        <w:tc>
          <w:tcPr>
            <w:tcW w:type="dxa" w:w="5040"/>
            <w:vAlign w:val="center"/>
          </w:tcPr>
          <w:p>
            <w:r/>
            <w:r>
              <w:rPr>
                <w:rFonts w:ascii="Aptos" w:hAnsi="Aptos"/>
                <w:b w:val="0"/>
                <w:sz w:val="16"/>
              </w:rPr>
              <w:t>High-delay routes</w:t>
            </w:r>
          </w:p>
        </w:tc>
        <w:tc>
          <w:tcPr>
            <w:tcW w:type="dxa" w:w="5760"/>
            <w:vAlign w:val="center"/>
          </w:tcPr>
          <w:p>
            <w:r/>
            <w:r>
              <w:rPr>
                <w:rFonts w:ascii="Aptos" w:hAnsi="Aptos"/>
                <w:b w:val="0"/>
                <w:sz w:val="16"/>
              </w:rPr>
              <w:t>HAVING sample-size control</w:t>
            </w:r>
          </w:p>
        </w:tc>
      </w:tr>
      <w:tr>
        <w:tc>
          <w:tcPr>
            <w:tcW w:type="dxa" w:w="5040"/>
            <w:vAlign w:val="center"/>
          </w:tcPr>
          <w:p>
            <w:r/>
            <w:r>
              <w:rPr>
                <w:rFonts w:ascii="Aptos" w:hAnsi="Aptos"/>
                <w:b w:val="0"/>
                <w:sz w:val="16"/>
              </w:rPr>
              <w:t>Distance bands</w:t>
            </w:r>
          </w:p>
        </w:tc>
        <w:tc>
          <w:tcPr>
            <w:tcW w:type="dxa" w:w="5760"/>
            <w:vAlign w:val="center"/>
          </w:tcPr>
          <w:p>
            <w:r/>
            <w:r>
              <w:rPr>
                <w:rFonts w:ascii="Aptos" w:hAnsi="Aptos"/>
                <w:b w:val="0"/>
                <w:sz w:val="16"/>
              </w:rPr>
              <w:t>CASE-based binning</w:t>
            </w:r>
          </w:p>
        </w:tc>
      </w:tr>
      <w:tr>
        <w:tc>
          <w:tcPr>
            <w:tcW w:type="dxa" w:w="5040"/>
            <w:vAlign w:val="center"/>
          </w:tcPr>
          <w:p>
            <w:r/>
            <w:r>
              <w:rPr>
                <w:rFonts w:ascii="Aptos" w:hAnsi="Aptos"/>
                <w:b w:val="0"/>
                <w:sz w:val="16"/>
              </w:rPr>
              <w:t>Reusable output</w:t>
            </w:r>
          </w:p>
        </w:tc>
        <w:tc>
          <w:tcPr>
            <w:tcW w:type="dxa" w:w="5760"/>
            <w:vAlign w:val="center"/>
          </w:tcPr>
          <w:p>
            <w:r/>
            <w:r>
              <w:rPr>
                <w:rFonts w:ascii="Aptos" w:hAnsi="Aptos"/>
                <w:b w:val="0"/>
                <w:sz w:val="16"/>
              </w:rPr>
              <w:t>CREATE VIEW airline_kpi_view</w:t>
            </w:r>
          </w:p>
        </w:tc>
      </w:tr>
    </w:tbl>
    <w:p>
      <w:pPr>
        <w:spacing w:after="80" w:line="252" w:lineRule="auto"/>
      </w:pPr>
    </w:p>
    <w:p>
      <w:pPr>
        <w:pStyle w:val="Heading2"/>
        <w:spacing w:line="252" w:lineRule="auto"/>
      </w:pPr>
      <w:r>
        <w:t>3.1 Example: traffic-controlled airport ranking</w:t>
      </w:r>
    </w:p>
    <w:p>
      <w:pPr>
        <w:spacing w:line="252" w:lineRule="auto" w:after="80"/>
      </w:pPr>
      <w:r>
        <w:rPr>
          <w:rFonts w:ascii="Consolas" w:hAnsi="Consolas"/>
          <w:sz w:val="16"/>
        </w:rPr>
        <w:t>WITH airport_perf AS (</w:t>
        <w:br/>
        <w:t xml:space="preserve">    SELECT Origin AS airport, COUNT(*) AS total_flights,</w:t>
        <w:br/>
        <w:t xml:space="preserve">           100.0 * AVG(CASE WHEN CompletedFlight=1</w:t>
        <w:br/>
        <w:t xml:space="preserve">                    THEN IsDepartureDelayed15 END) AS delay_rate</w:t>
        <w:br/>
        <w:t xml:space="preserve">    FROM flights</w:t>
        <w:br/>
        <w:t xml:space="preserve">    GROUP BY Origin</w:t>
        <w:br/>
        <w:t xml:space="preserve">    HAVING COUNT(*) &gt;= 2000</w:t>
        <w:br/>
        <w:t>)</w:t>
        <w:br/>
        <w:t>SELECT airport, total_flights, delay_rate,</w:t>
        <w:br/>
        <w:t xml:space="preserve">       DENSE_RANK() OVER (ORDER BY delay_rate ASC) AS performance_rank</w:t>
        <w:br/>
        <w:t>FROM airport_perf;</w:t>
      </w:r>
    </w:p>
    <w:p>
      <w:pPr>
        <w:pStyle w:val="Heading2"/>
        <w:spacing w:line="252" w:lineRule="auto"/>
      </w:pPr>
      <w:r>
        <w:t>3.2 Why traffic thresholds were used</w:t>
      </w:r>
    </w:p>
    <w:p>
      <w:pPr>
        <w:spacing w:line="252" w:lineRule="auto" w:after="80"/>
      </w:pPr>
      <w:r>
        <w:t>A raw airport-delay ranking can be dominated by small airports with few flights. The dashboard therefore uses the 15 busiest origin airports when comparing delay rates. This separates operational performance from unstable percentages caused by very small denominators.</w:t>
      </w:r>
    </w:p>
    <w:p>
      <w:pPr>
        <w:spacing w:line="252" w:lineRule="auto" w:after="80"/>
        <w:jc w:val="center"/>
      </w:pPr>
      <w:r>
        <w:drawing>
          <wp:inline xmlns:a="http://schemas.openxmlformats.org/drawingml/2006/main" xmlns:pic="http://schemas.openxmlformats.org/drawingml/2006/picture">
            <wp:extent cx="6035040" cy="3621024"/>
            <wp:docPr id="1" name="Picture 1"/>
            <wp:cNvGraphicFramePr>
              <a:graphicFrameLocks noChangeAspect="1"/>
            </wp:cNvGraphicFramePr>
            <a:graphic>
              <a:graphicData uri="http://schemas.openxmlformats.org/drawingml/2006/picture">
                <pic:pic>
                  <pic:nvPicPr>
                    <pic:cNvPr id="0" name="airline_cancellation_rate.png"/>
                    <pic:cNvPicPr/>
                  </pic:nvPicPr>
                  <pic:blipFill>
                    <a:blip r:embed="rId11"/>
                    <a:stretch>
                      <a:fillRect/>
                    </a:stretch>
                  </pic:blipFill>
                  <pic:spPr>
                    <a:xfrm>
                      <a:off x="0" y="0"/>
                      <a:ext cx="6035040" cy="3621024"/>
                    </a:xfrm>
                    <a:prstGeom prst="rect"/>
                  </pic:spPr>
                </pic:pic>
              </a:graphicData>
            </a:graphic>
          </wp:inline>
        </w:drawing>
      </w:r>
    </w:p>
    <w:p>
      <w:pPr>
        <w:spacing w:after="80" w:line="252" w:lineRule="auto"/>
        <w:jc w:val="center"/>
      </w:pPr>
      <w:r>
        <w:rPr>
          <w:i/>
          <w:color w:val="5A5A5A"/>
          <w:sz w:val="17"/>
        </w:rPr>
        <w:t>Figure 1. Cancellation rate by airline. OH had the highest January cancellation rate among the analyzed carriers (9.00%).</w:t>
      </w:r>
    </w:p>
    <w:p>
      <w:pPr>
        <w:spacing w:line="252" w:lineRule="auto" w:after="80"/>
      </w:pPr>
      <w:r>
        <w:br w:type="page"/>
      </w:r>
    </w:p>
    <w:p>
      <w:pPr>
        <w:pStyle w:val="Heading1"/>
        <w:spacing w:line="252" w:lineRule="auto"/>
      </w:pPr>
      <w:r>
        <w:t>4. Exploratory Operational Analysis</w:t>
      </w:r>
    </w:p>
    <w:p>
      <w:pPr>
        <w:pStyle w:val="Heading2"/>
        <w:spacing w:line="252" w:lineRule="auto"/>
      </w:pPr>
      <w:r>
        <w:t>4.1 Carrier performance</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1440"/>
            <w:vAlign w:val="center"/>
            <w:shd w:fill="1F4E79"/>
          </w:tcPr>
          <w:p>
            <w:pPr>
              <w:jc w:val="center"/>
            </w:pPr>
            <w:r/>
            <w:r>
              <w:rPr>
                <w:rFonts w:ascii="Aptos" w:hAnsi="Aptos"/>
                <w:b/>
                <w:color w:val="FFFFFF"/>
                <w:sz w:val="17"/>
              </w:rPr>
              <w:t>Airline</w:t>
            </w:r>
          </w:p>
        </w:tc>
        <w:tc>
          <w:tcPr>
            <w:tcW w:type="dxa" w:w="1728"/>
            <w:vAlign w:val="center"/>
            <w:shd w:fill="1F4E79"/>
          </w:tcPr>
          <w:p>
            <w:pPr>
              <w:jc w:val="center"/>
            </w:pPr>
            <w:r/>
            <w:r>
              <w:rPr>
                <w:rFonts w:ascii="Aptos" w:hAnsi="Aptos"/>
                <w:b/>
                <w:color w:val="FFFFFF"/>
                <w:sz w:val="17"/>
              </w:rPr>
              <w:t>Flights</w:t>
            </w:r>
          </w:p>
        </w:tc>
        <w:tc>
          <w:tcPr>
            <w:tcW w:type="dxa" w:w="1872"/>
            <w:vAlign w:val="center"/>
            <w:shd w:fill="1F4E79"/>
          </w:tcPr>
          <w:p>
            <w:pPr>
              <w:jc w:val="center"/>
            </w:pPr>
            <w:r/>
            <w:r>
              <w:rPr>
                <w:rFonts w:ascii="Aptos" w:hAnsi="Aptos"/>
                <w:b/>
                <w:color w:val="FFFFFF"/>
                <w:sz w:val="17"/>
              </w:rPr>
              <w:t>Cancellation %</w:t>
            </w:r>
          </w:p>
        </w:tc>
        <w:tc>
          <w:tcPr>
            <w:tcW w:type="dxa" w:w="2592"/>
            <w:vAlign w:val="center"/>
            <w:shd w:fill="1F4E79"/>
          </w:tcPr>
          <w:p>
            <w:pPr>
              <w:jc w:val="center"/>
            </w:pPr>
            <w:r/>
            <w:r>
              <w:rPr>
                <w:rFonts w:ascii="Aptos" w:hAnsi="Aptos"/>
                <w:b/>
                <w:color w:val="FFFFFF"/>
                <w:sz w:val="17"/>
              </w:rPr>
              <w:t>Mean arrival delay (min)</w:t>
            </w:r>
          </w:p>
        </w:tc>
        <w:tc>
          <w:tcPr>
            <w:tcW w:type="dxa" w:w="2592"/>
            <w:vAlign w:val="center"/>
            <w:shd w:fill="1F4E79"/>
          </w:tcPr>
          <w:p>
            <w:pPr>
              <w:jc w:val="center"/>
            </w:pPr>
            <w:r/>
            <w:r>
              <w:rPr>
                <w:rFonts w:ascii="Aptos" w:hAnsi="Aptos"/>
                <w:b/>
                <w:color w:val="FFFFFF"/>
                <w:sz w:val="17"/>
              </w:rPr>
              <w:t>Arrival delay &gt;=15 min %</w:t>
            </w:r>
          </w:p>
        </w:tc>
      </w:tr>
      <w:tr>
        <w:tc>
          <w:tcPr>
            <w:tcW w:type="dxa" w:w="1440"/>
            <w:vAlign w:val="center"/>
          </w:tcPr>
          <w:p>
            <w:r/>
            <w:r>
              <w:rPr>
                <w:rFonts w:ascii="Aptos" w:hAnsi="Aptos"/>
                <w:b w:val="0"/>
                <w:sz w:val="16"/>
              </w:rPr>
              <w:t>WN</w:t>
            </w:r>
          </w:p>
        </w:tc>
        <w:tc>
          <w:tcPr>
            <w:tcW w:type="dxa" w:w="1728"/>
            <w:vAlign w:val="center"/>
          </w:tcPr>
          <w:p>
            <w:r/>
            <w:r>
              <w:rPr>
                <w:rFonts w:ascii="Aptos" w:hAnsi="Aptos"/>
                <w:b w:val="0"/>
                <w:sz w:val="16"/>
              </w:rPr>
              <w:t>105,307</w:t>
            </w:r>
          </w:p>
        </w:tc>
        <w:tc>
          <w:tcPr>
            <w:tcW w:type="dxa" w:w="1872"/>
            <w:vAlign w:val="center"/>
          </w:tcPr>
          <w:p>
            <w:r/>
            <w:r>
              <w:rPr>
                <w:rFonts w:ascii="Aptos" w:hAnsi="Aptos"/>
                <w:b w:val="0"/>
                <w:sz w:val="16"/>
              </w:rPr>
              <w:t>2.86</w:t>
            </w:r>
          </w:p>
        </w:tc>
        <w:tc>
          <w:tcPr>
            <w:tcW w:type="dxa" w:w="2592"/>
            <w:vAlign w:val="center"/>
          </w:tcPr>
          <w:p>
            <w:r/>
            <w:r>
              <w:rPr>
                <w:rFonts w:ascii="Aptos" w:hAnsi="Aptos"/>
                <w:b w:val="0"/>
                <w:sz w:val="16"/>
              </w:rPr>
              <w:t>-1.17</w:t>
            </w:r>
          </w:p>
        </w:tc>
        <w:tc>
          <w:tcPr>
            <w:tcW w:type="dxa" w:w="2592"/>
            <w:vAlign w:val="center"/>
          </w:tcPr>
          <w:p>
            <w:r/>
            <w:r>
              <w:rPr>
                <w:rFonts w:ascii="Aptos" w:hAnsi="Aptos"/>
                <w:b w:val="0"/>
                <w:sz w:val="16"/>
              </w:rPr>
              <w:t>15.21</w:t>
            </w:r>
          </w:p>
        </w:tc>
      </w:tr>
      <w:tr>
        <w:tc>
          <w:tcPr>
            <w:tcW w:type="dxa" w:w="1440"/>
            <w:vAlign w:val="center"/>
          </w:tcPr>
          <w:p>
            <w:r/>
            <w:r>
              <w:rPr>
                <w:rFonts w:ascii="Aptos" w:hAnsi="Aptos"/>
                <w:b w:val="0"/>
                <w:sz w:val="16"/>
              </w:rPr>
              <w:t>DL</w:t>
            </w:r>
          </w:p>
        </w:tc>
        <w:tc>
          <w:tcPr>
            <w:tcW w:type="dxa" w:w="1728"/>
            <w:vAlign w:val="center"/>
          </w:tcPr>
          <w:p>
            <w:r/>
            <w:r>
              <w:rPr>
                <w:rFonts w:ascii="Aptos" w:hAnsi="Aptos"/>
                <w:b w:val="0"/>
                <w:sz w:val="16"/>
              </w:rPr>
              <w:t>76,306</w:t>
            </w:r>
          </w:p>
        </w:tc>
        <w:tc>
          <w:tcPr>
            <w:tcW w:type="dxa" w:w="1872"/>
            <w:vAlign w:val="center"/>
          </w:tcPr>
          <w:p>
            <w:r/>
            <w:r>
              <w:rPr>
                <w:rFonts w:ascii="Aptos" w:hAnsi="Aptos"/>
                <w:b w:val="0"/>
                <w:sz w:val="16"/>
              </w:rPr>
              <w:t>2.80</w:t>
            </w:r>
          </w:p>
        </w:tc>
        <w:tc>
          <w:tcPr>
            <w:tcW w:type="dxa" w:w="2592"/>
            <w:vAlign w:val="center"/>
          </w:tcPr>
          <w:p>
            <w:r/>
            <w:r>
              <w:rPr>
                <w:rFonts w:ascii="Aptos" w:hAnsi="Aptos"/>
                <w:b w:val="0"/>
                <w:sz w:val="16"/>
              </w:rPr>
              <w:t>5.22</w:t>
            </w:r>
          </w:p>
        </w:tc>
        <w:tc>
          <w:tcPr>
            <w:tcW w:type="dxa" w:w="2592"/>
            <w:vAlign w:val="center"/>
          </w:tcPr>
          <w:p>
            <w:r/>
            <w:r>
              <w:rPr>
                <w:rFonts w:ascii="Aptos" w:hAnsi="Aptos"/>
                <w:b w:val="0"/>
                <w:sz w:val="16"/>
              </w:rPr>
              <w:t>19.32</w:t>
            </w:r>
          </w:p>
        </w:tc>
      </w:tr>
      <w:tr>
        <w:tc>
          <w:tcPr>
            <w:tcW w:type="dxa" w:w="1440"/>
            <w:vAlign w:val="center"/>
          </w:tcPr>
          <w:p>
            <w:r/>
            <w:r>
              <w:rPr>
                <w:rFonts w:ascii="Aptos" w:hAnsi="Aptos"/>
                <w:b w:val="0"/>
                <w:sz w:val="16"/>
              </w:rPr>
              <w:t>AA</w:t>
            </w:r>
          </w:p>
        </w:tc>
        <w:tc>
          <w:tcPr>
            <w:tcW w:type="dxa" w:w="1728"/>
            <w:vAlign w:val="center"/>
          </w:tcPr>
          <w:p>
            <w:r/>
            <w:r>
              <w:rPr>
                <w:rFonts w:ascii="Aptos" w:hAnsi="Aptos"/>
                <w:b w:val="0"/>
                <w:sz w:val="16"/>
              </w:rPr>
              <w:t>75,088</w:t>
            </w:r>
          </w:p>
        </w:tc>
        <w:tc>
          <w:tcPr>
            <w:tcW w:type="dxa" w:w="1872"/>
            <w:vAlign w:val="center"/>
          </w:tcPr>
          <w:p>
            <w:r/>
            <w:r>
              <w:rPr>
                <w:rFonts w:ascii="Aptos" w:hAnsi="Aptos"/>
                <w:b w:val="0"/>
                <w:sz w:val="16"/>
              </w:rPr>
              <w:t>3.73</w:t>
            </w:r>
          </w:p>
        </w:tc>
        <w:tc>
          <w:tcPr>
            <w:tcW w:type="dxa" w:w="2592"/>
            <w:vAlign w:val="center"/>
          </w:tcPr>
          <w:p>
            <w:r/>
            <w:r>
              <w:rPr>
                <w:rFonts w:ascii="Aptos" w:hAnsi="Aptos"/>
                <w:b w:val="0"/>
                <w:sz w:val="16"/>
              </w:rPr>
              <w:t>5.57</w:t>
            </w:r>
          </w:p>
        </w:tc>
        <w:tc>
          <w:tcPr>
            <w:tcW w:type="dxa" w:w="2592"/>
            <w:vAlign w:val="center"/>
          </w:tcPr>
          <w:p>
            <w:r/>
            <w:r>
              <w:rPr>
                <w:rFonts w:ascii="Aptos" w:hAnsi="Aptos"/>
                <w:b w:val="0"/>
                <w:sz w:val="16"/>
              </w:rPr>
              <w:t>19.23</w:t>
            </w:r>
          </w:p>
        </w:tc>
      </w:tr>
      <w:tr>
        <w:tc>
          <w:tcPr>
            <w:tcW w:type="dxa" w:w="1440"/>
            <w:vAlign w:val="center"/>
          </w:tcPr>
          <w:p>
            <w:r/>
            <w:r>
              <w:rPr>
                <w:rFonts w:ascii="Aptos" w:hAnsi="Aptos"/>
                <w:b w:val="0"/>
                <w:sz w:val="16"/>
              </w:rPr>
              <w:t>OO</w:t>
            </w:r>
          </w:p>
        </w:tc>
        <w:tc>
          <w:tcPr>
            <w:tcW w:type="dxa" w:w="1728"/>
            <w:vAlign w:val="center"/>
          </w:tcPr>
          <w:p>
            <w:r/>
            <w:r>
              <w:rPr>
                <w:rFonts w:ascii="Aptos" w:hAnsi="Aptos"/>
                <w:b w:val="0"/>
                <w:sz w:val="16"/>
              </w:rPr>
              <w:t>65,036</w:t>
            </w:r>
          </w:p>
        </w:tc>
        <w:tc>
          <w:tcPr>
            <w:tcW w:type="dxa" w:w="1872"/>
            <w:vAlign w:val="center"/>
          </w:tcPr>
          <w:p>
            <w:r/>
            <w:r>
              <w:rPr>
                <w:rFonts w:ascii="Aptos" w:hAnsi="Aptos"/>
                <w:b w:val="0"/>
                <w:sz w:val="16"/>
              </w:rPr>
              <w:t>2.07</w:t>
            </w:r>
          </w:p>
        </w:tc>
        <w:tc>
          <w:tcPr>
            <w:tcW w:type="dxa" w:w="2592"/>
            <w:vAlign w:val="center"/>
          </w:tcPr>
          <w:p>
            <w:r/>
            <w:r>
              <w:rPr>
                <w:rFonts w:ascii="Aptos" w:hAnsi="Aptos"/>
                <w:b w:val="0"/>
                <w:sz w:val="16"/>
              </w:rPr>
              <w:t>7.94</w:t>
            </w:r>
          </w:p>
        </w:tc>
        <w:tc>
          <w:tcPr>
            <w:tcW w:type="dxa" w:w="2592"/>
            <w:vAlign w:val="center"/>
          </w:tcPr>
          <w:p>
            <w:r/>
            <w:r>
              <w:rPr>
                <w:rFonts w:ascii="Aptos" w:hAnsi="Aptos"/>
                <w:b w:val="0"/>
                <w:sz w:val="16"/>
              </w:rPr>
              <w:t>20.88</w:t>
            </w:r>
          </w:p>
        </w:tc>
      </w:tr>
      <w:tr>
        <w:tc>
          <w:tcPr>
            <w:tcW w:type="dxa" w:w="1440"/>
            <w:vAlign w:val="center"/>
          </w:tcPr>
          <w:p>
            <w:r/>
            <w:r>
              <w:rPr>
                <w:rFonts w:ascii="Aptos" w:hAnsi="Aptos"/>
                <w:b w:val="0"/>
                <w:sz w:val="16"/>
              </w:rPr>
              <w:t>UA</w:t>
            </w:r>
          </w:p>
        </w:tc>
        <w:tc>
          <w:tcPr>
            <w:tcW w:type="dxa" w:w="1728"/>
            <w:vAlign w:val="center"/>
          </w:tcPr>
          <w:p>
            <w:r/>
            <w:r>
              <w:rPr>
                <w:rFonts w:ascii="Aptos" w:hAnsi="Aptos"/>
                <w:b w:val="0"/>
                <w:sz w:val="16"/>
              </w:rPr>
              <w:t>62,007</w:t>
            </w:r>
          </w:p>
        </w:tc>
        <w:tc>
          <w:tcPr>
            <w:tcW w:type="dxa" w:w="1872"/>
            <w:vAlign w:val="center"/>
          </w:tcPr>
          <w:p>
            <w:r/>
            <w:r>
              <w:rPr>
                <w:rFonts w:ascii="Aptos" w:hAnsi="Aptos"/>
                <w:b w:val="0"/>
                <w:sz w:val="16"/>
              </w:rPr>
              <w:t>1.92</w:t>
            </w:r>
          </w:p>
        </w:tc>
        <w:tc>
          <w:tcPr>
            <w:tcW w:type="dxa" w:w="2592"/>
            <w:vAlign w:val="center"/>
          </w:tcPr>
          <w:p>
            <w:r/>
            <w:r>
              <w:rPr>
                <w:rFonts w:ascii="Aptos" w:hAnsi="Aptos"/>
                <w:b w:val="0"/>
                <w:sz w:val="16"/>
              </w:rPr>
              <w:t>1.29</w:t>
            </w:r>
          </w:p>
        </w:tc>
        <w:tc>
          <w:tcPr>
            <w:tcW w:type="dxa" w:w="2592"/>
            <w:vAlign w:val="center"/>
          </w:tcPr>
          <w:p>
            <w:r/>
            <w:r>
              <w:rPr>
                <w:rFonts w:ascii="Aptos" w:hAnsi="Aptos"/>
                <w:b w:val="0"/>
                <w:sz w:val="16"/>
              </w:rPr>
              <w:t>17.63</w:t>
            </w:r>
          </w:p>
        </w:tc>
      </w:tr>
      <w:tr>
        <w:tc>
          <w:tcPr>
            <w:tcW w:type="dxa" w:w="1440"/>
            <w:vAlign w:val="center"/>
          </w:tcPr>
          <w:p>
            <w:r/>
            <w:r>
              <w:rPr>
                <w:rFonts w:ascii="Aptos" w:hAnsi="Aptos"/>
                <w:b w:val="0"/>
                <w:sz w:val="16"/>
              </w:rPr>
              <w:t>OH</w:t>
            </w:r>
          </w:p>
        </w:tc>
        <w:tc>
          <w:tcPr>
            <w:tcW w:type="dxa" w:w="1728"/>
            <w:vAlign w:val="center"/>
          </w:tcPr>
          <w:p>
            <w:r/>
            <w:r>
              <w:rPr>
                <w:rFonts w:ascii="Aptos" w:hAnsi="Aptos"/>
                <w:b w:val="0"/>
                <w:sz w:val="16"/>
              </w:rPr>
              <w:t>21,094</w:t>
            </w:r>
          </w:p>
        </w:tc>
        <w:tc>
          <w:tcPr>
            <w:tcW w:type="dxa" w:w="1872"/>
            <w:vAlign w:val="center"/>
          </w:tcPr>
          <w:p>
            <w:r/>
            <w:r>
              <w:rPr>
                <w:rFonts w:ascii="Aptos" w:hAnsi="Aptos"/>
                <w:b w:val="0"/>
                <w:sz w:val="16"/>
              </w:rPr>
              <w:t>9.00</w:t>
            </w:r>
          </w:p>
        </w:tc>
        <w:tc>
          <w:tcPr>
            <w:tcW w:type="dxa" w:w="2592"/>
            <w:vAlign w:val="center"/>
          </w:tcPr>
          <w:p>
            <w:r/>
            <w:r>
              <w:rPr>
                <w:rFonts w:ascii="Aptos" w:hAnsi="Aptos"/>
                <w:b w:val="0"/>
                <w:sz w:val="16"/>
              </w:rPr>
              <w:t>14.14</w:t>
            </w:r>
          </w:p>
        </w:tc>
        <w:tc>
          <w:tcPr>
            <w:tcW w:type="dxa" w:w="2592"/>
            <w:vAlign w:val="center"/>
          </w:tcPr>
          <w:p>
            <w:r/>
            <w:r>
              <w:rPr>
                <w:rFonts w:ascii="Aptos" w:hAnsi="Aptos"/>
                <w:b w:val="0"/>
                <w:sz w:val="16"/>
              </w:rPr>
              <w:t>25.48</w:t>
            </w:r>
          </w:p>
        </w:tc>
      </w:tr>
      <w:tr>
        <w:tc>
          <w:tcPr>
            <w:tcW w:type="dxa" w:w="1440"/>
            <w:vAlign w:val="center"/>
          </w:tcPr>
          <w:p>
            <w:r/>
            <w:r>
              <w:rPr>
                <w:rFonts w:ascii="Aptos" w:hAnsi="Aptos"/>
                <w:b w:val="0"/>
                <w:sz w:val="16"/>
              </w:rPr>
              <w:t>B6</w:t>
            </w:r>
          </w:p>
        </w:tc>
        <w:tc>
          <w:tcPr>
            <w:tcW w:type="dxa" w:w="1728"/>
            <w:vAlign w:val="center"/>
          </w:tcPr>
          <w:p>
            <w:r/>
            <w:r>
              <w:rPr>
                <w:rFonts w:ascii="Aptos" w:hAnsi="Aptos"/>
                <w:b w:val="0"/>
                <w:sz w:val="16"/>
              </w:rPr>
              <w:t>17,918</w:t>
            </w:r>
          </w:p>
        </w:tc>
        <w:tc>
          <w:tcPr>
            <w:tcW w:type="dxa" w:w="1872"/>
            <w:vAlign w:val="center"/>
          </w:tcPr>
          <w:p>
            <w:r/>
            <w:r>
              <w:rPr>
                <w:rFonts w:ascii="Aptos" w:hAnsi="Aptos"/>
                <w:b w:val="0"/>
                <w:sz w:val="16"/>
              </w:rPr>
              <w:t>1.80</w:t>
            </w:r>
          </w:p>
        </w:tc>
        <w:tc>
          <w:tcPr>
            <w:tcW w:type="dxa" w:w="2592"/>
            <w:vAlign w:val="center"/>
          </w:tcPr>
          <w:p>
            <w:r/>
            <w:r>
              <w:rPr>
                <w:rFonts w:ascii="Aptos" w:hAnsi="Aptos"/>
                <w:b w:val="0"/>
                <w:sz w:val="16"/>
              </w:rPr>
              <w:t>5.81</w:t>
            </w:r>
          </w:p>
        </w:tc>
        <w:tc>
          <w:tcPr>
            <w:tcW w:type="dxa" w:w="2592"/>
            <w:vAlign w:val="center"/>
          </w:tcPr>
          <w:p>
            <w:r/>
            <w:r>
              <w:rPr>
                <w:rFonts w:ascii="Aptos" w:hAnsi="Aptos"/>
                <w:b w:val="0"/>
                <w:sz w:val="16"/>
              </w:rPr>
              <w:t>24.46</w:t>
            </w:r>
          </w:p>
        </w:tc>
      </w:tr>
      <w:tr>
        <w:tc>
          <w:tcPr>
            <w:tcW w:type="dxa" w:w="1440"/>
            <w:vAlign w:val="center"/>
          </w:tcPr>
          <w:p>
            <w:r/>
            <w:r>
              <w:rPr>
                <w:rFonts w:ascii="Aptos" w:hAnsi="Aptos"/>
                <w:b w:val="0"/>
                <w:sz w:val="16"/>
              </w:rPr>
              <w:t>F9</w:t>
            </w:r>
          </w:p>
        </w:tc>
        <w:tc>
          <w:tcPr>
            <w:tcW w:type="dxa" w:w="1728"/>
            <w:vAlign w:val="center"/>
          </w:tcPr>
          <w:p>
            <w:r/>
            <w:r>
              <w:rPr>
                <w:rFonts w:ascii="Aptos" w:hAnsi="Aptos"/>
                <w:b w:val="0"/>
                <w:sz w:val="16"/>
              </w:rPr>
              <w:t>15,526</w:t>
            </w:r>
          </w:p>
        </w:tc>
        <w:tc>
          <w:tcPr>
            <w:tcW w:type="dxa" w:w="1872"/>
            <w:vAlign w:val="center"/>
          </w:tcPr>
          <w:p>
            <w:r/>
            <w:r>
              <w:rPr>
                <w:rFonts w:ascii="Aptos" w:hAnsi="Aptos"/>
                <w:b w:val="0"/>
                <w:sz w:val="16"/>
              </w:rPr>
              <w:t>2.52</w:t>
            </w:r>
          </w:p>
        </w:tc>
        <w:tc>
          <w:tcPr>
            <w:tcW w:type="dxa" w:w="2592"/>
            <w:vAlign w:val="center"/>
          </w:tcPr>
          <w:p>
            <w:r/>
            <w:r>
              <w:rPr>
                <w:rFonts w:ascii="Aptos" w:hAnsi="Aptos"/>
                <w:b w:val="0"/>
                <w:sz w:val="16"/>
              </w:rPr>
              <w:t>10.82</w:t>
            </w:r>
          </w:p>
        </w:tc>
        <w:tc>
          <w:tcPr>
            <w:tcW w:type="dxa" w:w="2592"/>
            <w:vAlign w:val="center"/>
          </w:tcPr>
          <w:p>
            <w:r/>
            <w:r>
              <w:rPr>
                <w:rFonts w:ascii="Aptos" w:hAnsi="Aptos"/>
                <w:b w:val="0"/>
                <w:sz w:val="16"/>
              </w:rPr>
              <w:t>25.98</w:t>
            </w:r>
          </w:p>
        </w:tc>
      </w:tr>
      <w:tr>
        <w:tc>
          <w:tcPr>
            <w:tcW w:type="dxa" w:w="1440"/>
            <w:vAlign w:val="center"/>
          </w:tcPr>
          <w:p>
            <w:r/>
            <w:r>
              <w:rPr>
                <w:rFonts w:ascii="Aptos" w:hAnsi="Aptos"/>
                <w:b w:val="0"/>
                <w:sz w:val="16"/>
              </w:rPr>
              <w:t>HA</w:t>
            </w:r>
          </w:p>
        </w:tc>
        <w:tc>
          <w:tcPr>
            <w:tcW w:type="dxa" w:w="1728"/>
            <w:vAlign w:val="center"/>
          </w:tcPr>
          <w:p>
            <w:r/>
            <w:r>
              <w:rPr>
                <w:rFonts w:ascii="Aptos" w:hAnsi="Aptos"/>
                <w:b w:val="0"/>
                <w:sz w:val="16"/>
              </w:rPr>
              <w:t>6,690</w:t>
            </w:r>
          </w:p>
        </w:tc>
        <w:tc>
          <w:tcPr>
            <w:tcW w:type="dxa" w:w="1872"/>
            <w:vAlign w:val="center"/>
          </w:tcPr>
          <w:p>
            <w:r/>
            <w:r>
              <w:rPr>
                <w:rFonts w:ascii="Aptos" w:hAnsi="Aptos"/>
                <w:b w:val="0"/>
                <w:sz w:val="16"/>
              </w:rPr>
              <w:t>1.91</w:t>
            </w:r>
          </w:p>
        </w:tc>
        <w:tc>
          <w:tcPr>
            <w:tcW w:type="dxa" w:w="2592"/>
            <w:vAlign w:val="center"/>
          </w:tcPr>
          <w:p>
            <w:r/>
            <w:r>
              <w:rPr>
                <w:rFonts w:ascii="Aptos" w:hAnsi="Aptos"/>
                <w:b w:val="0"/>
                <w:sz w:val="16"/>
              </w:rPr>
              <w:t>6.04</w:t>
            </w:r>
          </w:p>
        </w:tc>
        <w:tc>
          <w:tcPr>
            <w:tcW w:type="dxa" w:w="2592"/>
            <w:vAlign w:val="center"/>
          </w:tcPr>
          <w:p>
            <w:r/>
            <w:r>
              <w:rPr>
                <w:rFonts w:ascii="Aptos" w:hAnsi="Aptos"/>
                <w:b w:val="0"/>
                <w:sz w:val="16"/>
              </w:rPr>
              <w:t>13.55</w:t>
            </w:r>
          </w:p>
        </w:tc>
      </w:tr>
    </w:tbl>
    <w:p>
      <w:pPr>
        <w:spacing w:after="80" w:line="252" w:lineRule="auto"/>
      </w:pPr>
    </w:p>
    <w:p>
      <w:pPr>
        <w:spacing w:line="252" w:lineRule="auto" w:after="80"/>
      </w:pPr>
      <w:r>
        <w:t>The large difference between the overall mean arrival delay (+3.76 min) and median (-8 min) indicates a right-skewed distribution: most flights are near schedule or early, while a smaller number of severely delayed flights pull the mean upward.</w:t>
      </w:r>
    </w:p>
    <w:p>
      <w:pPr>
        <w:spacing w:line="252" w:lineRule="auto" w:after="80"/>
        <w:jc w:val="center"/>
      </w:pPr>
      <w:r>
        <w:drawing>
          <wp:inline xmlns:a="http://schemas.openxmlformats.org/drawingml/2006/main" xmlns:pic="http://schemas.openxmlformats.org/drawingml/2006/picture">
            <wp:extent cx="6035040" cy="3352800"/>
            <wp:docPr id="2" name="Picture 2"/>
            <wp:cNvGraphicFramePr>
              <a:graphicFrameLocks noChangeAspect="1"/>
            </wp:cNvGraphicFramePr>
            <a:graphic>
              <a:graphicData uri="http://schemas.openxmlformats.org/drawingml/2006/picture">
                <pic:pic>
                  <pic:nvPicPr>
                    <pic:cNvPr id="0" name="01_airline_delay_rate.png"/>
                    <pic:cNvPicPr/>
                  </pic:nvPicPr>
                  <pic:blipFill>
                    <a:blip r:embed="rId12"/>
                    <a:stretch>
                      <a:fillRect/>
                    </a:stretch>
                  </pic:blipFill>
                  <pic:spPr>
                    <a:xfrm>
                      <a:off x="0" y="0"/>
                      <a:ext cx="6035040" cy="3352800"/>
                    </a:xfrm>
                    <a:prstGeom prst="rect"/>
                  </pic:spPr>
                </pic:pic>
              </a:graphicData>
            </a:graphic>
          </wp:inline>
        </w:drawing>
      </w:r>
    </w:p>
    <w:p>
      <w:pPr>
        <w:spacing w:after="80" w:line="252" w:lineRule="auto"/>
        <w:jc w:val="center"/>
      </w:pPr>
      <w:r>
        <w:rPr>
          <w:i/>
          <w:color w:val="5A5A5A"/>
          <w:sz w:val="17"/>
        </w:rPr>
        <w:t>Figure 2. Arrival-delay rate among the largest carriers.</w:t>
      </w:r>
    </w:p>
    <w:p>
      <w:pPr>
        <w:pStyle w:val="Heading2"/>
        <w:spacing w:line="252" w:lineRule="auto"/>
      </w:pPr>
      <w:r>
        <w:t>4.2 Departure-time effect</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92"/>
            <w:vAlign w:val="center"/>
            <w:shd w:fill="1F4E79"/>
          </w:tcPr>
          <w:p>
            <w:pPr>
              <w:jc w:val="center"/>
            </w:pPr>
            <w:r/>
            <w:r>
              <w:rPr>
                <w:rFonts w:ascii="Aptos" w:hAnsi="Aptos"/>
                <w:b/>
                <w:color w:val="FFFFFF"/>
                <w:sz w:val="17"/>
              </w:rPr>
              <w:t>Departure period</w:t>
            </w:r>
          </w:p>
        </w:tc>
        <w:tc>
          <w:tcPr>
            <w:tcW w:type="dxa" w:w="2448"/>
            <w:vAlign w:val="center"/>
            <w:shd w:fill="1F4E79"/>
          </w:tcPr>
          <w:p>
            <w:pPr>
              <w:jc w:val="center"/>
            </w:pPr>
            <w:r/>
            <w:r>
              <w:rPr>
                <w:rFonts w:ascii="Aptos" w:hAnsi="Aptos"/>
                <w:b/>
                <w:color w:val="FFFFFF"/>
                <w:sz w:val="17"/>
              </w:rPr>
              <w:t>Completed flights</w:t>
            </w:r>
          </w:p>
        </w:tc>
        <w:tc>
          <w:tcPr>
            <w:tcW w:type="dxa" w:w="2880"/>
            <w:vAlign w:val="center"/>
            <w:shd w:fill="1F4E79"/>
          </w:tcPr>
          <w:p>
            <w:pPr>
              <w:jc w:val="center"/>
            </w:pPr>
            <w:r/>
            <w:r>
              <w:rPr>
                <w:rFonts w:ascii="Aptos" w:hAnsi="Aptos"/>
                <w:b/>
                <w:color w:val="FFFFFF"/>
                <w:sz w:val="17"/>
              </w:rPr>
              <w:t>Mean arrival delay (min)</w:t>
            </w:r>
          </w:p>
        </w:tc>
        <w:tc>
          <w:tcPr>
            <w:tcW w:type="dxa" w:w="2304"/>
            <w:vAlign w:val="center"/>
            <w:shd w:fill="1F4E79"/>
          </w:tcPr>
          <w:p>
            <w:pPr>
              <w:jc w:val="center"/>
            </w:pPr>
            <w:r/>
            <w:r>
              <w:rPr>
                <w:rFonts w:ascii="Aptos" w:hAnsi="Aptos"/>
                <w:b/>
                <w:color w:val="FFFFFF"/>
                <w:sz w:val="17"/>
              </w:rPr>
              <w:t>Delay &gt;=15 min %</w:t>
            </w:r>
          </w:p>
        </w:tc>
      </w:tr>
      <w:tr>
        <w:tc>
          <w:tcPr>
            <w:tcW w:type="dxa" w:w="2592"/>
            <w:vAlign w:val="center"/>
          </w:tcPr>
          <w:p>
            <w:r/>
            <w:r>
              <w:rPr>
                <w:rFonts w:ascii="Aptos" w:hAnsi="Aptos"/>
                <w:b w:val="0"/>
                <w:sz w:val="16"/>
              </w:rPr>
              <w:t>Early Morning</w:t>
            </w:r>
          </w:p>
        </w:tc>
        <w:tc>
          <w:tcPr>
            <w:tcW w:type="dxa" w:w="2448"/>
            <w:vAlign w:val="center"/>
          </w:tcPr>
          <w:p>
            <w:r/>
            <w:r>
              <w:rPr>
                <w:rFonts w:ascii="Aptos" w:hAnsi="Aptos"/>
                <w:b w:val="0"/>
                <w:sz w:val="16"/>
              </w:rPr>
              <w:t>154,197</w:t>
            </w:r>
          </w:p>
        </w:tc>
        <w:tc>
          <w:tcPr>
            <w:tcW w:type="dxa" w:w="2880"/>
            <w:vAlign w:val="center"/>
          </w:tcPr>
          <w:p>
            <w:r/>
            <w:r>
              <w:rPr>
                <w:rFonts w:ascii="Aptos" w:hAnsi="Aptos"/>
                <w:b w:val="0"/>
                <w:sz w:val="16"/>
              </w:rPr>
              <w:t>0.05</w:t>
            </w:r>
          </w:p>
        </w:tc>
        <w:tc>
          <w:tcPr>
            <w:tcW w:type="dxa" w:w="2304"/>
            <w:vAlign w:val="center"/>
          </w:tcPr>
          <w:p>
            <w:r/>
            <w:r>
              <w:rPr>
                <w:rFonts w:ascii="Aptos" w:hAnsi="Aptos"/>
                <w:b w:val="0"/>
                <w:sz w:val="16"/>
              </w:rPr>
              <w:t>14.41</w:t>
            </w:r>
          </w:p>
        </w:tc>
      </w:tr>
      <w:tr>
        <w:tc>
          <w:tcPr>
            <w:tcW w:type="dxa" w:w="2592"/>
            <w:vAlign w:val="center"/>
          </w:tcPr>
          <w:p>
            <w:r/>
            <w:r>
              <w:rPr>
                <w:rFonts w:ascii="Aptos" w:hAnsi="Aptos"/>
                <w:b w:val="0"/>
                <w:sz w:val="16"/>
              </w:rPr>
              <w:t>Late Morning</w:t>
            </w:r>
          </w:p>
        </w:tc>
        <w:tc>
          <w:tcPr>
            <w:tcW w:type="dxa" w:w="2448"/>
            <w:vAlign w:val="center"/>
          </w:tcPr>
          <w:p>
            <w:r/>
            <w:r>
              <w:rPr>
                <w:rFonts w:ascii="Aptos" w:hAnsi="Aptos"/>
                <w:b w:val="0"/>
                <w:sz w:val="16"/>
              </w:rPr>
              <w:t>162,610</w:t>
            </w:r>
          </w:p>
        </w:tc>
        <w:tc>
          <w:tcPr>
            <w:tcW w:type="dxa" w:w="2880"/>
            <w:vAlign w:val="center"/>
          </w:tcPr>
          <w:p>
            <w:r/>
            <w:r>
              <w:rPr>
                <w:rFonts w:ascii="Aptos" w:hAnsi="Aptos"/>
                <w:b w:val="0"/>
                <w:sz w:val="16"/>
              </w:rPr>
              <w:t>3.50</w:t>
            </w:r>
          </w:p>
        </w:tc>
        <w:tc>
          <w:tcPr>
            <w:tcW w:type="dxa" w:w="2304"/>
            <w:vAlign w:val="center"/>
          </w:tcPr>
          <w:p>
            <w:r/>
            <w:r>
              <w:rPr>
                <w:rFonts w:ascii="Aptos" w:hAnsi="Aptos"/>
                <w:b w:val="0"/>
                <w:sz w:val="16"/>
              </w:rPr>
              <w:t>18.66</w:t>
            </w:r>
          </w:p>
        </w:tc>
      </w:tr>
      <w:tr>
        <w:tc>
          <w:tcPr>
            <w:tcW w:type="dxa" w:w="2592"/>
            <w:vAlign w:val="center"/>
          </w:tcPr>
          <w:p>
            <w:r/>
            <w:r>
              <w:rPr>
                <w:rFonts w:ascii="Aptos" w:hAnsi="Aptos"/>
                <w:b w:val="0"/>
                <w:sz w:val="16"/>
              </w:rPr>
              <w:t>Afternoon</w:t>
            </w:r>
          </w:p>
        </w:tc>
        <w:tc>
          <w:tcPr>
            <w:tcW w:type="dxa" w:w="2448"/>
            <w:vAlign w:val="center"/>
          </w:tcPr>
          <w:p>
            <w:r/>
            <w:r>
              <w:rPr>
                <w:rFonts w:ascii="Aptos" w:hAnsi="Aptos"/>
                <w:b w:val="0"/>
                <w:sz w:val="16"/>
              </w:rPr>
              <w:t>127,987</w:t>
            </w:r>
          </w:p>
        </w:tc>
        <w:tc>
          <w:tcPr>
            <w:tcW w:type="dxa" w:w="2880"/>
            <w:vAlign w:val="center"/>
          </w:tcPr>
          <w:p>
            <w:r/>
            <w:r>
              <w:rPr>
                <w:rFonts w:ascii="Aptos" w:hAnsi="Aptos"/>
                <w:b w:val="0"/>
                <w:sz w:val="16"/>
              </w:rPr>
              <w:t>6.77</w:t>
            </w:r>
          </w:p>
        </w:tc>
        <w:tc>
          <w:tcPr>
            <w:tcW w:type="dxa" w:w="2304"/>
            <w:vAlign w:val="center"/>
          </w:tcPr>
          <w:p>
            <w:r/>
            <w:r>
              <w:rPr>
                <w:rFonts w:ascii="Aptos" w:hAnsi="Aptos"/>
                <w:b w:val="0"/>
                <w:sz w:val="16"/>
              </w:rPr>
              <w:t>22.01</w:t>
            </w:r>
          </w:p>
        </w:tc>
      </w:tr>
      <w:tr>
        <w:tc>
          <w:tcPr>
            <w:tcW w:type="dxa" w:w="2592"/>
            <w:vAlign w:val="center"/>
          </w:tcPr>
          <w:p>
            <w:r/>
            <w:r>
              <w:rPr>
                <w:rFonts w:ascii="Aptos" w:hAnsi="Aptos"/>
                <w:b w:val="0"/>
                <w:sz w:val="16"/>
              </w:rPr>
              <w:t>Evening</w:t>
            </w:r>
          </w:p>
        </w:tc>
        <w:tc>
          <w:tcPr>
            <w:tcW w:type="dxa" w:w="2448"/>
            <w:vAlign w:val="center"/>
          </w:tcPr>
          <w:p>
            <w:r/>
            <w:r>
              <w:rPr>
                <w:rFonts w:ascii="Aptos" w:hAnsi="Aptos"/>
                <w:b w:val="0"/>
                <w:sz w:val="16"/>
              </w:rPr>
              <w:t>76,456</w:t>
            </w:r>
          </w:p>
        </w:tc>
        <w:tc>
          <w:tcPr>
            <w:tcW w:type="dxa" w:w="2880"/>
            <w:vAlign w:val="center"/>
          </w:tcPr>
          <w:p>
            <w:r/>
            <w:r>
              <w:rPr>
                <w:rFonts w:ascii="Aptos" w:hAnsi="Aptos"/>
                <w:b w:val="0"/>
                <w:sz w:val="16"/>
              </w:rPr>
              <w:t>6.83</w:t>
            </w:r>
          </w:p>
        </w:tc>
        <w:tc>
          <w:tcPr>
            <w:tcW w:type="dxa" w:w="2304"/>
            <w:vAlign w:val="center"/>
          </w:tcPr>
          <w:p>
            <w:r/>
            <w:r>
              <w:rPr>
                <w:rFonts w:ascii="Aptos" w:hAnsi="Aptos"/>
                <w:b w:val="0"/>
                <w:sz w:val="16"/>
              </w:rPr>
              <w:t>22.59</w:t>
            </w:r>
          </w:p>
        </w:tc>
      </w:tr>
      <w:tr>
        <w:tc>
          <w:tcPr>
            <w:tcW w:type="dxa" w:w="2592"/>
            <w:vAlign w:val="center"/>
          </w:tcPr>
          <w:p>
            <w:r/>
            <w:r>
              <w:rPr>
                <w:rFonts w:ascii="Aptos" w:hAnsi="Aptos"/>
                <w:b w:val="0"/>
                <w:sz w:val="16"/>
              </w:rPr>
              <w:t>Night</w:t>
            </w:r>
          </w:p>
        </w:tc>
        <w:tc>
          <w:tcPr>
            <w:tcW w:type="dxa" w:w="2448"/>
            <w:vAlign w:val="center"/>
          </w:tcPr>
          <w:p>
            <w:r/>
            <w:r>
              <w:rPr>
                <w:rFonts w:ascii="Aptos" w:hAnsi="Aptos"/>
                <w:b w:val="0"/>
                <w:sz w:val="16"/>
              </w:rPr>
              <w:t>1,019</w:t>
            </w:r>
          </w:p>
        </w:tc>
        <w:tc>
          <w:tcPr>
            <w:tcW w:type="dxa" w:w="2880"/>
            <w:vAlign w:val="center"/>
          </w:tcPr>
          <w:p>
            <w:r/>
            <w:r>
              <w:rPr>
                <w:rFonts w:ascii="Aptos" w:hAnsi="Aptos"/>
                <w:b w:val="0"/>
                <w:sz w:val="16"/>
              </w:rPr>
              <w:t>-3.77</w:t>
            </w:r>
          </w:p>
        </w:tc>
        <w:tc>
          <w:tcPr>
            <w:tcW w:type="dxa" w:w="2304"/>
            <w:vAlign w:val="center"/>
          </w:tcPr>
          <w:p>
            <w:r/>
            <w:r>
              <w:rPr>
                <w:rFonts w:ascii="Aptos" w:hAnsi="Aptos"/>
                <w:b w:val="0"/>
                <w:sz w:val="16"/>
              </w:rPr>
              <w:t>13.54</w:t>
            </w:r>
          </w:p>
        </w:tc>
      </w:tr>
    </w:tbl>
    <w:p>
      <w:pPr>
        <w:spacing w:after="80" w:line="252" w:lineRule="auto"/>
      </w:pPr>
    </w:p>
    <w:tbl>
      <w:tblPr>
        <w:tblStyle w:val="TableGrid"/>
        <w:tblW w:type="auto" w:w="0"/>
        <w:tblLook w:firstColumn="1" w:firstRow="1" w:lastColumn="0" w:lastRow="0" w:noHBand="0" w:noVBand="1" w:val="04A0"/>
      </w:tblPr>
      <w:tblGrid>
        <w:gridCol w:w="10224"/>
      </w:tblGrid>
      <w:tr>
        <w:tc>
          <w:tcPr>
            <w:tcW w:type="dxa" w:w="10224"/>
            <w:shd w:fill="EAF2F8"/>
            <w:vAlign w:val="center"/>
          </w:tcPr>
          <w:p>
            <w:r/>
            <w:r>
              <w:rPr>
                <w:rFonts w:ascii="Aptos" w:hAnsi="Aptos"/>
                <w:b w:val="0"/>
                <w:color w:val="1F4E79"/>
                <w:sz w:val="17"/>
              </w:rPr>
              <w:t>The Night category contains only 1,019 completed flights and should not be interpreted on equal footing with the much larger daytime groups.</w:t>
            </w:r>
          </w:p>
        </w:tc>
      </w:tr>
    </w:tbl>
    <w:p>
      <w:pPr>
        <w:spacing w:after="80" w:line="252" w:lineRule="auto"/>
      </w:pPr>
    </w:p>
    <w:p>
      <w:pPr>
        <w:spacing w:line="252" w:lineRule="auto" w:after="80"/>
      </w:pPr>
      <w:r>
        <w:br w:type="page"/>
      </w:r>
    </w:p>
    <w:p>
      <w:pPr>
        <w:pStyle w:val="Heading1"/>
        <w:spacing w:line="252" w:lineRule="auto"/>
      </w:pPr>
      <w:r>
        <w:t>5. Airports, Delay Causes and Daily Variation</w:t>
      </w:r>
    </w:p>
    <w:p>
      <w:pPr>
        <w:pStyle w:val="Heading2"/>
        <w:spacing w:line="252" w:lineRule="auto"/>
      </w:pPr>
      <w:r>
        <w:t>5.1 Busiest-airport performance</w:t>
      </w:r>
    </w:p>
    <w:p>
      <w:pPr>
        <w:spacing w:line="252" w:lineRule="auto" w:after="80"/>
      </w:pPr>
      <w:r>
        <w:t>Restricting the comparison to the 15 busiest origin airports produced a more stable operational ranking. DFW (23.44%), DEN (23.36%), ATL (22.41%) and MIA (22.15%) had the largest proportions of departures delayed by at least 15 minutes in this group, while LAX and SFO were both approximately 13.85%.</w:t>
      </w:r>
    </w:p>
    <w:p>
      <w:pPr>
        <w:spacing w:line="252" w:lineRule="auto" w:after="80"/>
        <w:jc w:val="center"/>
      </w:pPr>
      <w:r>
        <w:drawing>
          <wp:inline xmlns:a="http://schemas.openxmlformats.org/drawingml/2006/main" xmlns:pic="http://schemas.openxmlformats.org/drawingml/2006/picture">
            <wp:extent cx="5943600" cy="3714750"/>
            <wp:docPr id="3" name="Picture 3"/>
            <wp:cNvGraphicFramePr>
              <a:graphicFrameLocks noChangeAspect="1"/>
            </wp:cNvGraphicFramePr>
            <a:graphic>
              <a:graphicData uri="http://schemas.openxmlformats.org/drawingml/2006/picture">
                <pic:pic>
                  <pic:nvPicPr>
                    <pic:cNvPr id="0" name="busiest_airport_delay_rate.png"/>
                    <pic:cNvPicPr/>
                  </pic:nvPicPr>
                  <pic:blipFill>
                    <a:blip r:embed="rId13"/>
                    <a:stretch>
                      <a:fillRect/>
                    </a:stretch>
                  </pic:blipFill>
                  <pic:spPr>
                    <a:xfrm>
                      <a:off x="0" y="0"/>
                      <a:ext cx="5943600" cy="3714750"/>
                    </a:xfrm>
                    <a:prstGeom prst="rect"/>
                  </pic:spPr>
                </pic:pic>
              </a:graphicData>
            </a:graphic>
          </wp:inline>
        </w:drawing>
      </w:r>
    </w:p>
    <w:p>
      <w:pPr>
        <w:spacing w:after="80" w:line="252" w:lineRule="auto"/>
        <w:jc w:val="center"/>
      </w:pPr>
      <w:r>
        <w:rPr>
          <w:i/>
          <w:color w:val="5A5A5A"/>
          <w:sz w:val="17"/>
        </w:rPr>
        <w:t>Figure 3. Departure-delay rate among the 15 busiest origin airports in the January dataset.</w:t>
      </w:r>
    </w:p>
    <w:p>
      <w:pPr>
        <w:pStyle w:val="Heading2"/>
        <w:spacing w:line="252" w:lineRule="auto"/>
      </w:pPr>
      <w:r>
        <w:t>5.2 Recorded delay causes</w:t>
      </w:r>
    </w:p>
    <w:tbl>
      <w:tblPr>
        <w:tblStyle w:val="TableGrid"/>
        <w:tblW w:type="auto" w:w="0"/>
        <w:jc w:val="center"/>
        <w:tblLook w:firstColumn="1" w:firstRow="1" w:lastColumn="0" w:lastRow="0" w:noHBand="0" w:noVBand="1" w:val="04A0"/>
      </w:tblPr>
      <w:tblGrid>
        <w:gridCol w:w="3408"/>
        <w:gridCol w:w="3408"/>
        <w:gridCol w:w="3408"/>
      </w:tblGrid>
      <w:tr>
        <w:tc>
          <w:tcPr>
            <w:tcW w:type="dxa" w:w="3168"/>
            <w:vAlign w:val="center"/>
            <w:shd w:fill="1F4E79"/>
          </w:tcPr>
          <w:p>
            <w:pPr>
              <w:jc w:val="center"/>
            </w:pPr>
            <w:r/>
            <w:r>
              <w:rPr>
                <w:rFonts w:ascii="Aptos" w:hAnsi="Aptos"/>
                <w:b/>
                <w:color w:val="FFFFFF"/>
                <w:sz w:val="17"/>
              </w:rPr>
              <w:t>Cause</w:t>
            </w:r>
          </w:p>
        </w:tc>
        <w:tc>
          <w:tcPr>
            <w:tcW w:type="dxa" w:w="2880"/>
            <w:vAlign w:val="center"/>
            <w:shd w:fill="1F4E79"/>
          </w:tcPr>
          <w:p>
            <w:pPr>
              <w:jc w:val="center"/>
            </w:pPr>
            <w:r/>
            <w:r>
              <w:rPr>
                <w:rFonts w:ascii="Aptos" w:hAnsi="Aptos"/>
                <w:b/>
                <w:color w:val="FFFFFF"/>
                <w:sz w:val="17"/>
              </w:rPr>
              <w:t>Delay minutes</w:t>
            </w:r>
          </w:p>
        </w:tc>
        <w:tc>
          <w:tcPr>
            <w:tcW w:type="dxa" w:w="4320"/>
            <w:vAlign w:val="center"/>
            <w:shd w:fill="1F4E79"/>
          </w:tcPr>
          <w:p>
            <w:pPr>
              <w:jc w:val="center"/>
            </w:pPr>
            <w:r/>
            <w:r>
              <w:rPr>
                <w:rFonts w:ascii="Aptos" w:hAnsi="Aptos"/>
                <w:b/>
                <w:color w:val="FFFFFF"/>
                <w:sz w:val="17"/>
              </w:rPr>
              <w:t>Share of recorded delay minutes</w:t>
            </w:r>
          </w:p>
        </w:tc>
      </w:tr>
      <w:tr>
        <w:tc>
          <w:tcPr>
            <w:tcW w:type="dxa" w:w="3168"/>
            <w:vAlign w:val="center"/>
          </w:tcPr>
          <w:p>
            <w:r/>
            <w:r>
              <w:rPr>
                <w:rFonts w:ascii="Aptos" w:hAnsi="Aptos"/>
                <w:b w:val="0"/>
                <w:sz w:val="16"/>
              </w:rPr>
              <w:t>Carrier</w:t>
            </w:r>
          </w:p>
        </w:tc>
        <w:tc>
          <w:tcPr>
            <w:tcW w:type="dxa" w:w="2880"/>
            <w:vAlign w:val="center"/>
          </w:tcPr>
          <w:p>
            <w:r/>
            <w:r>
              <w:rPr>
                <w:rFonts w:ascii="Aptos" w:hAnsi="Aptos"/>
                <w:b w:val="0"/>
                <w:sz w:val="16"/>
              </w:rPr>
              <w:t>2,510,886</w:t>
            </w:r>
          </w:p>
        </w:tc>
        <w:tc>
          <w:tcPr>
            <w:tcW w:type="dxa" w:w="4320"/>
            <w:vAlign w:val="center"/>
          </w:tcPr>
          <w:p>
            <w:r/>
            <w:r>
              <w:rPr>
                <w:rFonts w:ascii="Aptos" w:hAnsi="Aptos"/>
                <w:b w:val="0"/>
                <w:sz w:val="16"/>
              </w:rPr>
              <w:t>36.16%</w:t>
            </w:r>
          </w:p>
        </w:tc>
      </w:tr>
      <w:tr>
        <w:tc>
          <w:tcPr>
            <w:tcW w:type="dxa" w:w="3168"/>
            <w:vAlign w:val="center"/>
          </w:tcPr>
          <w:p>
            <w:r/>
            <w:r>
              <w:rPr>
                <w:rFonts w:ascii="Aptos" w:hAnsi="Aptos"/>
                <w:b w:val="0"/>
                <w:sz w:val="16"/>
              </w:rPr>
              <w:t>Late-arriving aircraft</w:t>
            </w:r>
          </w:p>
        </w:tc>
        <w:tc>
          <w:tcPr>
            <w:tcW w:type="dxa" w:w="2880"/>
            <w:vAlign w:val="center"/>
          </w:tcPr>
          <w:p>
            <w:r/>
            <w:r>
              <w:rPr>
                <w:rFonts w:ascii="Aptos" w:hAnsi="Aptos"/>
                <w:b w:val="0"/>
                <w:sz w:val="16"/>
              </w:rPr>
              <w:t>2,410,759</w:t>
            </w:r>
          </w:p>
        </w:tc>
        <w:tc>
          <w:tcPr>
            <w:tcW w:type="dxa" w:w="4320"/>
            <w:vAlign w:val="center"/>
          </w:tcPr>
          <w:p>
            <w:r/>
            <w:r>
              <w:rPr>
                <w:rFonts w:ascii="Aptos" w:hAnsi="Aptos"/>
                <w:b w:val="0"/>
                <w:sz w:val="16"/>
              </w:rPr>
              <w:t>34.72%</w:t>
            </w:r>
          </w:p>
        </w:tc>
      </w:tr>
      <w:tr>
        <w:tc>
          <w:tcPr>
            <w:tcW w:type="dxa" w:w="3168"/>
            <w:vAlign w:val="center"/>
          </w:tcPr>
          <w:p>
            <w:r/>
            <w:r>
              <w:rPr>
                <w:rFonts w:ascii="Aptos" w:hAnsi="Aptos"/>
                <w:b w:val="0"/>
                <w:sz w:val="16"/>
              </w:rPr>
              <w:t>National Air System</w:t>
            </w:r>
          </w:p>
        </w:tc>
        <w:tc>
          <w:tcPr>
            <w:tcW w:type="dxa" w:w="2880"/>
            <w:vAlign w:val="center"/>
          </w:tcPr>
          <w:p>
            <w:r/>
            <w:r>
              <w:rPr>
                <w:rFonts w:ascii="Aptos" w:hAnsi="Aptos"/>
                <w:b w:val="0"/>
                <w:sz w:val="16"/>
              </w:rPr>
              <w:t>1,381,827</w:t>
            </w:r>
          </w:p>
        </w:tc>
        <w:tc>
          <w:tcPr>
            <w:tcW w:type="dxa" w:w="4320"/>
            <w:vAlign w:val="center"/>
          </w:tcPr>
          <w:p>
            <w:r/>
            <w:r>
              <w:rPr>
                <w:rFonts w:ascii="Aptos" w:hAnsi="Aptos"/>
                <w:b w:val="0"/>
                <w:sz w:val="16"/>
              </w:rPr>
              <w:t>19.90%</w:t>
            </w:r>
          </w:p>
        </w:tc>
      </w:tr>
      <w:tr>
        <w:tc>
          <w:tcPr>
            <w:tcW w:type="dxa" w:w="3168"/>
            <w:vAlign w:val="center"/>
          </w:tcPr>
          <w:p>
            <w:r/>
            <w:r>
              <w:rPr>
                <w:rFonts w:ascii="Aptos" w:hAnsi="Aptos"/>
                <w:b w:val="0"/>
                <w:sz w:val="16"/>
              </w:rPr>
              <w:t>Weather</w:t>
            </w:r>
          </w:p>
        </w:tc>
        <w:tc>
          <w:tcPr>
            <w:tcW w:type="dxa" w:w="2880"/>
            <w:vAlign w:val="center"/>
          </w:tcPr>
          <w:p>
            <w:r/>
            <w:r>
              <w:rPr>
                <w:rFonts w:ascii="Aptos" w:hAnsi="Aptos"/>
                <w:b w:val="0"/>
                <w:sz w:val="16"/>
              </w:rPr>
              <w:t>629,972</w:t>
            </w:r>
          </w:p>
        </w:tc>
        <w:tc>
          <w:tcPr>
            <w:tcW w:type="dxa" w:w="4320"/>
            <w:vAlign w:val="center"/>
          </w:tcPr>
          <w:p>
            <w:r/>
            <w:r>
              <w:rPr>
                <w:rFonts w:ascii="Aptos" w:hAnsi="Aptos"/>
                <w:b w:val="0"/>
                <w:sz w:val="16"/>
              </w:rPr>
              <w:t>9.07%</w:t>
            </w:r>
          </w:p>
        </w:tc>
      </w:tr>
      <w:tr>
        <w:tc>
          <w:tcPr>
            <w:tcW w:type="dxa" w:w="3168"/>
            <w:vAlign w:val="center"/>
          </w:tcPr>
          <w:p>
            <w:r/>
            <w:r>
              <w:rPr>
                <w:rFonts w:ascii="Aptos" w:hAnsi="Aptos"/>
                <w:b w:val="0"/>
                <w:sz w:val="16"/>
              </w:rPr>
              <w:t>Security</w:t>
            </w:r>
          </w:p>
        </w:tc>
        <w:tc>
          <w:tcPr>
            <w:tcW w:type="dxa" w:w="2880"/>
            <w:vAlign w:val="center"/>
          </w:tcPr>
          <w:p>
            <w:r/>
            <w:r>
              <w:rPr>
                <w:rFonts w:ascii="Aptos" w:hAnsi="Aptos"/>
                <w:b w:val="0"/>
                <w:sz w:val="16"/>
              </w:rPr>
              <w:t>10,550</w:t>
            </w:r>
          </w:p>
        </w:tc>
        <w:tc>
          <w:tcPr>
            <w:tcW w:type="dxa" w:w="4320"/>
            <w:vAlign w:val="center"/>
          </w:tcPr>
          <w:p>
            <w:r/>
            <w:r>
              <w:rPr>
                <w:rFonts w:ascii="Aptos" w:hAnsi="Aptos"/>
                <w:b w:val="0"/>
                <w:sz w:val="16"/>
              </w:rPr>
              <w:t>0.15%</w:t>
            </w:r>
          </w:p>
        </w:tc>
      </w:tr>
    </w:tbl>
    <w:p>
      <w:pPr>
        <w:spacing w:after="80" w:line="252" w:lineRule="auto"/>
      </w:pPr>
    </w:p>
    <w:p>
      <w:pPr>
        <w:spacing w:line="252" w:lineRule="auto" w:after="80"/>
      </w:pPr>
      <w:r>
        <w:t>Carrier delay and late-arriving aircraft together accounted for approximately 70.9% of recorded delay minutes. These categories are operationally related to carrier processes and network propagation, highlighting how disruption can carry forward through aircraft rotations.</w:t>
      </w:r>
    </w:p>
    <w:p>
      <w:pPr>
        <w:pStyle w:val="Heading2"/>
        <w:spacing w:line="252" w:lineRule="auto"/>
      </w:pPr>
      <w:r>
        <w:t>5.3 Daily variation</w:t>
      </w:r>
    </w:p>
    <w:p>
      <w:pPr>
        <w:spacing w:line="252" w:lineRule="auto" w:after="80"/>
      </w:pPr>
      <w:r>
        <w:t>Daily mean arrival delay varied substantially across the month. January 6 had the highest mean arrival delay (approximately 29.0 minutes), followed by January 5 and January 10 (both about 22.8 minutes). The plot below is descriptive only; the project does not attribute individual daily spikes to a specific cause without additional event-level investigation.</w:t>
      </w:r>
    </w:p>
    <w:p>
      <w:pPr>
        <w:spacing w:line="252" w:lineRule="auto" w:after="80"/>
        <w:jc w:val="center"/>
      </w:pPr>
      <w:r>
        <w:drawing>
          <wp:inline xmlns:a="http://schemas.openxmlformats.org/drawingml/2006/main" xmlns:pic="http://schemas.openxmlformats.org/drawingml/2006/picture">
            <wp:extent cx="6126480" cy="3063240"/>
            <wp:docPr id="4" name="Picture 4"/>
            <wp:cNvGraphicFramePr>
              <a:graphicFrameLocks noChangeAspect="1"/>
            </wp:cNvGraphicFramePr>
            <a:graphic>
              <a:graphicData uri="http://schemas.openxmlformats.org/drawingml/2006/picture">
                <pic:pic>
                  <pic:nvPicPr>
                    <pic:cNvPr id="0" name="daily_arrival_delay_trend.png"/>
                    <pic:cNvPicPr/>
                  </pic:nvPicPr>
                  <pic:blipFill>
                    <a:blip r:embed="rId14"/>
                    <a:stretch>
                      <a:fillRect/>
                    </a:stretch>
                  </pic:blipFill>
                  <pic:spPr>
                    <a:xfrm>
                      <a:off x="0" y="0"/>
                      <a:ext cx="6126480" cy="3063240"/>
                    </a:xfrm>
                    <a:prstGeom prst="rect"/>
                  </pic:spPr>
                </pic:pic>
              </a:graphicData>
            </a:graphic>
          </wp:inline>
        </w:drawing>
      </w:r>
    </w:p>
    <w:p>
      <w:pPr>
        <w:spacing w:after="80" w:line="252" w:lineRule="auto"/>
        <w:jc w:val="center"/>
      </w:pPr>
      <w:r>
        <w:rPr>
          <w:i/>
          <w:color w:val="5A5A5A"/>
          <w:sz w:val="17"/>
        </w:rPr>
        <w:t>Figure 4. Daily mean arrival delay and seven-day rolling average.</w:t>
      </w:r>
    </w:p>
    <w:p>
      <w:pPr>
        <w:spacing w:line="252" w:lineRule="auto" w:after="80"/>
      </w:pPr>
      <w:r>
        <w:br w:type="page"/>
      </w:r>
    </w:p>
    <w:p>
      <w:pPr>
        <w:pStyle w:val="Heading1"/>
        <w:spacing w:line="252" w:lineRule="auto"/>
      </w:pPr>
      <w:r>
        <w:t>6. Statistical Inference</w:t>
      </w:r>
    </w:p>
    <w:p>
      <w:pPr>
        <w:spacing w:line="252" w:lineRule="auto" w:after="80"/>
      </w:pPr>
      <w:r>
        <w:t>Statistical tests were used to determine whether observed differences were larger than would be expected from sampling variation. Because the dataset is very large, p-values alone can indicate significance for practically small effects; effect-size measures were therefore reported alongside hypothesis tests.</w:t>
      </w:r>
    </w:p>
    <w:p>
      <w:pPr>
        <w:pStyle w:val="Heading2"/>
        <w:spacing w:line="252" w:lineRule="auto"/>
      </w:pPr>
      <w:r>
        <w:t>6.1 Confidence interval for mean arrival delay</w:t>
      </w:r>
    </w:p>
    <w:p>
      <w:pPr>
        <w:spacing w:line="252" w:lineRule="auto" w:after="80"/>
      </w:pPr>
      <w:r>
        <w:t>For 522,269 completed flights, mean arrival delay was 3.757 minutes. The 95% confidence interval was 3.602 to 3.911 minutes. The narrow interval reflects the large sample size, not necessarily low flight-to-flight variability.</w:t>
      </w:r>
    </w:p>
    <w:p>
      <w:pPr>
        <w:pStyle w:val="Heading2"/>
        <w:spacing w:line="252" w:lineRule="auto"/>
      </w:pPr>
      <w:r>
        <w:t>6.2 Airline differences: one-way ANOVA</w:t>
      </w:r>
    </w:p>
    <w:tbl>
      <w:tblPr>
        <w:tblStyle w:val="TableGrid"/>
        <w:tblW w:type="auto" w:w="0"/>
        <w:jc w:val="center"/>
        <w:tblLook w:firstColumn="1" w:firstRow="1" w:lastColumn="0" w:lastRow="0" w:noHBand="0" w:noVBand="1" w:val="04A0"/>
      </w:tblPr>
      <w:tblGrid>
        <w:gridCol w:w="5112"/>
        <w:gridCol w:w="5112"/>
      </w:tblGrid>
      <w:tr>
        <w:tc>
          <w:tcPr>
            <w:tcW w:type="dxa" w:w="4320"/>
            <w:vAlign w:val="center"/>
            <w:shd w:fill="1F4E79"/>
          </w:tcPr>
          <w:p>
            <w:pPr>
              <w:jc w:val="center"/>
            </w:pPr>
            <w:r/>
            <w:r>
              <w:rPr>
                <w:rFonts w:ascii="Aptos" w:hAnsi="Aptos"/>
                <w:b/>
                <w:color w:val="FFFFFF"/>
                <w:sz w:val="17"/>
              </w:rPr>
              <w:t>Statistic</w:t>
            </w:r>
          </w:p>
        </w:tc>
        <w:tc>
          <w:tcPr>
            <w:tcW w:type="dxa" w:w="6192"/>
            <w:vAlign w:val="center"/>
            <w:shd w:fill="1F4E79"/>
          </w:tcPr>
          <w:p>
            <w:pPr>
              <w:jc w:val="center"/>
            </w:pPr>
            <w:r/>
            <w:r>
              <w:rPr>
                <w:rFonts w:ascii="Aptos" w:hAnsi="Aptos"/>
                <w:b/>
                <w:color w:val="FFFFFF"/>
                <w:sz w:val="17"/>
              </w:rPr>
              <w:t>Value</w:t>
            </w:r>
          </w:p>
        </w:tc>
      </w:tr>
      <w:tr>
        <w:tc>
          <w:tcPr>
            <w:tcW w:type="dxa" w:w="4320"/>
            <w:vAlign w:val="center"/>
          </w:tcPr>
          <w:p>
            <w:r/>
            <w:r>
              <w:rPr>
                <w:rFonts w:ascii="Aptos" w:hAnsi="Aptos"/>
                <w:b w:val="0"/>
                <w:sz w:val="16"/>
              </w:rPr>
              <w:t>Airlines included</w:t>
            </w:r>
          </w:p>
        </w:tc>
        <w:tc>
          <w:tcPr>
            <w:tcW w:type="dxa" w:w="6192"/>
            <w:vAlign w:val="center"/>
          </w:tcPr>
          <w:p>
            <w:r/>
            <w:r>
              <w:rPr>
                <w:rFonts w:ascii="Aptos" w:hAnsi="Aptos"/>
                <w:b w:val="0"/>
                <w:sz w:val="16"/>
              </w:rPr>
              <w:t>14 carriers with &gt;=5,000 completed flights</w:t>
            </w:r>
          </w:p>
        </w:tc>
      </w:tr>
      <w:tr>
        <w:tc>
          <w:tcPr>
            <w:tcW w:type="dxa" w:w="4320"/>
            <w:vAlign w:val="center"/>
          </w:tcPr>
          <w:p>
            <w:r/>
            <w:r>
              <w:rPr>
                <w:rFonts w:ascii="Aptos" w:hAnsi="Aptos"/>
                <w:b w:val="0"/>
                <w:sz w:val="16"/>
              </w:rPr>
              <w:t>F statistic</w:t>
            </w:r>
          </w:p>
        </w:tc>
        <w:tc>
          <w:tcPr>
            <w:tcW w:type="dxa" w:w="6192"/>
            <w:vAlign w:val="center"/>
          </w:tcPr>
          <w:p>
            <w:r/>
            <w:r>
              <w:rPr>
                <w:rFonts w:ascii="Aptos" w:hAnsi="Aptos"/>
                <w:b w:val="0"/>
                <w:sz w:val="16"/>
              </w:rPr>
              <w:t>215.88</w:t>
            </w:r>
          </w:p>
        </w:tc>
      </w:tr>
      <w:tr>
        <w:tc>
          <w:tcPr>
            <w:tcW w:type="dxa" w:w="4320"/>
            <w:vAlign w:val="center"/>
          </w:tcPr>
          <w:p>
            <w:r/>
            <w:r>
              <w:rPr>
                <w:rFonts w:ascii="Aptos" w:hAnsi="Aptos"/>
                <w:b w:val="0"/>
                <w:sz w:val="16"/>
              </w:rPr>
              <w:t>p-value</w:t>
            </w:r>
          </w:p>
        </w:tc>
        <w:tc>
          <w:tcPr>
            <w:tcW w:type="dxa" w:w="6192"/>
            <w:vAlign w:val="center"/>
          </w:tcPr>
          <w:p>
            <w:r/>
            <w:r>
              <w:rPr>
                <w:rFonts w:ascii="Aptos" w:hAnsi="Aptos"/>
                <w:b w:val="0"/>
                <w:sz w:val="16"/>
              </w:rPr>
              <w:t>&lt; 0.001</w:t>
            </w:r>
          </w:p>
        </w:tc>
      </w:tr>
      <w:tr>
        <w:tc>
          <w:tcPr>
            <w:tcW w:type="dxa" w:w="4320"/>
            <w:vAlign w:val="center"/>
          </w:tcPr>
          <w:p>
            <w:r/>
            <w:r>
              <w:rPr>
                <w:rFonts w:ascii="Aptos" w:hAnsi="Aptos"/>
                <w:b w:val="0"/>
                <w:sz w:val="16"/>
              </w:rPr>
              <w:t>Eta-squared</w:t>
            </w:r>
          </w:p>
        </w:tc>
        <w:tc>
          <w:tcPr>
            <w:tcW w:type="dxa" w:w="6192"/>
            <w:vAlign w:val="center"/>
          </w:tcPr>
          <w:p>
            <w:r/>
            <w:r>
              <w:rPr>
                <w:rFonts w:ascii="Aptos" w:hAnsi="Aptos"/>
                <w:b w:val="0"/>
                <w:sz w:val="16"/>
              </w:rPr>
              <w:t>0.0053</w:t>
            </w:r>
          </w:p>
        </w:tc>
      </w:tr>
    </w:tbl>
    <w:p>
      <w:pPr>
        <w:spacing w:after="80" w:line="252" w:lineRule="auto"/>
      </w:pPr>
    </w:p>
    <w:p>
      <w:pPr>
        <w:spacing w:line="252" w:lineRule="auto" w:after="80"/>
      </w:pPr>
      <w:r>
        <w:t>The null hypothesis of equal airline mean arrival delays was rejected. However, eta-squared = 0.0053 is small, showing that airline identity explained only about 0.5% of the total arrival-delay variance in this unadjusted comparison. Thus, statistically detectable carrier differences should not be interpreted as the dominant driver of individual-flight delay.</w:t>
      </w:r>
    </w:p>
    <w:p>
      <w:pPr>
        <w:spacing w:line="252" w:lineRule="auto" w:after="80"/>
        <w:jc w:val="center"/>
      </w:pPr>
      <w:r>
        <w:drawing>
          <wp:inline xmlns:a="http://schemas.openxmlformats.org/drawingml/2006/main" xmlns:pic="http://schemas.openxmlformats.org/drawingml/2006/picture">
            <wp:extent cx="5669280" cy="3685032"/>
            <wp:docPr id="5" name="Picture 5"/>
            <wp:cNvGraphicFramePr>
              <a:graphicFrameLocks noChangeAspect="1"/>
            </wp:cNvGraphicFramePr>
            <a:graphic>
              <a:graphicData uri="http://schemas.openxmlformats.org/drawingml/2006/picture">
                <pic:pic>
                  <pic:nvPicPr>
                    <pic:cNvPr id="0" name="airline_delay_confidence_intervals.png"/>
                    <pic:cNvPicPr/>
                  </pic:nvPicPr>
                  <pic:blipFill>
                    <a:blip r:embed="rId15"/>
                    <a:stretch>
                      <a:fillRect/>
                    </a:stretch>
                  </pic:blipFill>
                  <pic:spPr>
                    <a:xfrm>
                      <a:off x="0" y="0"/>
                      <a:ext cx="5669280" cy="3685032"/>
                    </a:xfrm>
                    <a:prstGeom prst="rect"/>
                  </pic:spPr>
                </pic:pic>
              </a:graphicData>
            </a:graphic>
          </wp:inline>
        </w:drawing>
      </w:r>
    </w:p>
    <w:p>
      <w:pPr>
        <w:spacing w:after="80" w:line="252" w:lineRule="auto"/>
        <w:jc w:val="center"/>
      </w:pPr>
      <w:r>
        <w:rPr>
          <w:i/>
          <w:color w:val="5A5A5A"/>
          <w:sz w:val="17"/>
        </w:rPr>
        <w:t>Figure 5. Mean arrival delay by airline with 95% confidence intervals.</w:t>
      </w:r>
    </w:p>
    <w:p>
      <w:pPr>
        <w:pStyle w:val="Heading2"/>
        <w:spacing w:line="252" w:lineRule="auto"/>
      </w:pPr>
      <w:r>
        <w:t>6.3 Categorical associations</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3168"/>
            <w:vAlign w:val="center"/>
            <w:shd w:fill="1F4E79"/>
          </w:tcPr>
          <w:p>
            <w:pPr>
              <w:jc w:val="center"/>
            </w:pPr>
            <w:r/>
            <w:r>
              <w:rPr>
                <w:rFonts w:ascii="Aptos" w:hAnsi="Aptos"/>
                <w:b/>
                <w:color w:val="FFFFFF"/>
                <w:sz w:val="17"/>
              </w:rPr>
              <w:t>Test</w:t>
            </w:r>
          </w:p>
        </w:tc>
        <w:tc>
          <w:tcPr>
            <w:tcW w:type="dxa" w:w="1584"/>
            <w:vAlign w:val="center"/>
            <w:shd w:fill="1F4E79"/>
          </w:tcPr>
          <w:p>
            <w:pPr>
              <w:jc w:val="center"/>
            </w:pPr>
            <w:r/>
            <w:r>
              <w:rPr>
                <w:rFonts w:ascii="Aptos" w:hAnsi="Aptos"/>
                <w:b/>
                <w:color w:val="FFFFFF"/>
                <w:sz w:val="17"/>
              </w:rPr>
              <w:t>Chi-square</w:t>
            </w:r>
          </w:p>
        </w:tc>
        <w:tc>
          <w:tcPr>
            <w:tcW w:type="dxa" w:w="864"/>
            <w:vAlign w:val="center"/>
            <w:shd w:fill="1F4E79"/>
          </w:tcPr>
          <w:p>
            <w:pPr>
              <w:jc w:val="center"/>
            </w:pPr>
            <w:r/>
            <w:r>
              <w:rPr>
                <w:rFonts w:ascii="Aptos" w:hAnsi="Aptos"/>
                <w:b/>
                <w:color w:val="FFFFFF"/>
                <w:sz w:val="17"/>
              </w:rPr>
              <w:t>df</w:t>
            </w:r>
          </w:p>
        </w:tc>
        <w:tc>
          <w:tcPr>
            <w:tcW w:type="dxa" w:w="1296"/>
            <w:vAlign w:val="center"/>
            <w:shd w:fill="1F4E79"/>
          </w:tcPr>
          <w:p>
            <w:pPr>
              <w:jc w:val="center"/>
            </w:pPr>
            <w:r/>
            <w:r>
              <w:rPr>
                <w:rFonts w:ascii="Aptos" w:hAnsi="Aptos"/>
                <w:b/>
                <w:color w:val="FFFFFF"/>
                <w:sz w:val="17"/>
              </w:rPr>
              <w:t>p-value</w:t>
            </w:r>
          </w:p>
        </w:tc>
        <w:tc>
          <w:tcPr>
            <w:tcW w:type="dxa" w:w="1440"/>
            <w:vAlign w:val="center"/>
            <w:shd w:fill="1F4E79"/>
          </w:tcPr>
          <w:p>
            <w:pPr>
              <w:jc w:val="center"/>
            </w:pPr>
            <w:r/>
            <w:r>
              <w:rPr>
                <w:rFonts w:ascii="Aptos" w:hAnsi="Aptos"/>
                <w:b/>
                <w:color w:val="FFFFFF"/>
                <w:sz w:val="17"/>
              </w:rPr>
              <w:t>Cramer's V</w:t>
            </w:r>
          </w:p>
        </w:tc>
        <w:tc>
          <w:tcPr>
            <w:tcW w:type="dxa" w:w="3024"/>
            <w:vAlign w:val="center"/>
            <w:shd w:fill="1F4E79"/>
          </w:tcPr>
          <w:p>
            <w:pPr>
              <w:jc w:val="center"/>
            </w:pPr>
            <w:r/>
            <w:r>
              <w:rPr>
                <w:rFonts w:ascii="Aptos" w:hAnsi="Aptos"/>
                <w:b/>
                <w:color w:val="FFFFFF"/>
                <w:sz w:val="17"/>
              </w:rPr>
              <w:t>Interpretation</w:t>
            </w:r>
          </w:p>
        </w:tc>
      </w:tr>
      <w:tr>
        <w:tc>
          <w:tcPr>
            <w:tcW w:type="dxa" w:w="3168"/>
            <w:vAlign w:val="center"/>
          </w:tcPr>
          <w:p>
            <w:r/>
            <w:r>
              <w:rPr>
                <w:rFonts w:ascii="Aptos" w:hAnsi="Aptos"/>
                <w:b w:val="0"/>
                <w:sz w:val="16"/>
              </w:rPr>
              <w:t>Airline x cancellation</w:t>
            </w:r>
          </w:p>
        </w:tc>
        <w:tc>
          <w:tcPr>
            <w:tcW w:type="dxa" w:w="1584"/>
            <w:vAlign w:val="center"/>
          </w:tcPr>
          <w:p>
            <w:r/>
            <w:r>
              <w:rPr>
                <w:rFonts w:ascii="Aptos" w:hAnsi="Aptos"/>
                <w:b w:val="0"/>
                <w:sz w:val="16"/>
              </w:rPr>
              <w:t>3901.34</w:t>
            </w:r>
          </w:p>
        </w:tc>
        <w:tc>
          <w:tcPr>
            <w:tcW w:type="dxa" w:w="864"/>
            <w:vAlign w:val="center"/>
          </w:tcPr>
          <w:p>
            <w:r/>
            <w:r>
              <w:rPr>
                <w:rFonts w:ascii="Aptos" w:hAnsi="Aptos"/>
                <w:b w:val="0"/>
                <w:sz w:val="16"/>
              </w:rPr>
              <w:t>13</w:t>
            </w:r>
          </w:p>
        </w:tc>
        <w:tc>
          <w:tcPr>
            <w:tcW w:type="dxa" w:w="1296"/>
            <w:vAlign w:val="center"/>
          </w:tcPr>
          <w:p>
            <w:r/>
            <w:r>
              <w:rPr>
                <w:rFonts w:ascii="Aptos" w:hAnsi="Aptos"/>
                <w:b w:val="0"/>
                <w:sz w:val="16"/>
              </w:rPr>
              <w:t>&lt;0.001</w:t>
            </w:r>
          </w:p>
        </w:tc>
        <w:tc>
          <w:tcPr>
            <w:tcW w:type="dxa" w:w="1440"/>
            <w:vAlign w:val="center"/>
          </w:tcPr>
          <w:p>
            <w:r/>
            <w:r>
              <w:rPr>
                <w:rFonts w:ascii="Aptos" w:hAnsi="Aptos"/>
                <w:b w:val="0"/>
                <w:sz w:val="16"/>
              </w:rPr>
              <w:t>0.085</w:t>
            </w:r>
          </w:p>
        </w:tc>
        <w:tc>
          <w:tcPr>
            <w:tcW w:type="dxa" w:w="3024"/>
            <w:vAlign w:val="center"/>
          </w:tcPr>
          <w:p>
            <w:r/>
            <w:r>
              <w:rPr>
                <w:rFonts w:ascii="Aptos" w:hAnsi="Aptos"/>
                <w:b w:val="0"/>
                <w:sz w:val="16"/>
              </w:rPr>
              <w:t>Significant, modest association</w:t>
            </w:r>
          </w:p>
        </w:tc>
      </w:tr>
      <w:tr>
        <w:tc>
          <w:tcPr>
            <w:tcW w:type="dxa" w:w="3168"/>
            <w:vAlign w:val="center"/>
          </w:tcPr>
          <w:p>
            <w:r/>
            <w:r>
              <w:rPr>
                <w:rFonts w:ascii="Aptos" w:hAnsi="Aptos"/>
                <w:b w:val="0"/>
                <w:sz w:val="16"/>
              </w:rPr>
              <w:t>Departure period x 15-min arrival delay</w:t>
            </w:r>
          </w:p>
        </w:tc>
        <w:tc>
          <w:tcPr>
            <w:tcW w:type="dxa" w:w="1584"/>
            <w:vAlign w:val="center"/>
          </w:tcPr>
          <w:p>
            <w:r/>
            <w:r>
              <w:rPr>
                <w:rFonts w:ascii="Aptos" w:hAnsi="Aptos"/>
                <w:b w:val="0"/>
                <w:sz w:val="16"/>
              </w:rPr>
              <w:t>3552.44</w:t>
            </w:r>
          </w:p>
        </w:tc>
        <w:tc>
          <w:tcPr>
            <w:tcW w:type="dxa" w:w="864"/>
            <w:vAlign w:val="center"/>
          </w:tcPr>
          <w:p>
            <w:r/>
            <w:r>
              <w:rPr>
                <w:rFonts w:ascii="Aptos" w:hAnsi="Aptos"/>
                <w:b w:val="0"/>
                <w:sz w:val="16"/>
              </w:rPr>
              <w:t>4</w:t>
            </w:r>
          </w:p>
        </w:tc>
        <w:tc>
          <w:tcPr>
            <w:tcW w:type="dxa" w:w="1296"/>
            <w:vAlign w:val="center"/>
          </w:tcPr>
          <w:p>
            <w:r/>
            <w:r>
              <w:rPr>
                <w:rFonts w:ascii="Aptos" w:hAnsi="Aptos"/>
                <w:b w:val="0"/>
                <w:sz w:val="16"/>
              </w:rPr>
              <w:t>&lt;0.001</w:t>
            </w:r>
          </w:p>
        </w:tc>
        <w:tc>
          <w:tcPr>
            <w:tcW w:type="dxa" w:w="1440"/>
            <w:vAlign w:val="center"/>
          </w:tcPr>
          <w:p>
            <w:r/>
            <w:r>
              <w:rPr>
                <w:rFonts w:ascii="Aptos" w:hAnsi="Aptos"/>
                <w:b w:val="0"/>
                <w:sz w:val="16"/>
              </w:rPr>
              <w:t>0.082</w:t>
            </w:r>
          </w:p>
        </w:tc>
        <w:tc>
          <w:tcPr>
            <w:tcW w:type="dxa" w:w="3024"/>
            <w:vAlign w:val="center"/>
          </w:tcPr>
          <w:p>
            <w:r/>
            <w:r>
              <w:rPr>
                <w:rFonts w:ascii="Aptos" w:hAnsi="Aptos"/>
                <w:b w:val="0"/>
                <w:sz w:val="16"/>
              </w:rPr>
              <w:t>Significant, modest association</w:t>
            </w:r>
          </w:p>
        </w:tc>
      </w:tr>
    </w:tbl>
    <w:p>
      <w:pPr>
        <w:spacing w:after="80" w:line="252" w:lineRule="auto"/>
      </w:pPr>
    </w:p>
    <w:p>
      <w:pPr>
        <w:pStyle w:val="Heading1"/>
        <w:spacing w:line="252" w:lineRule="auto"/>
      </w:pPr>
      <w:r>
        <w:t>7. Explanatory Regression and Power BI Dashboard</w:t>
      </w:r>
    </w:p>
    <w:p>
      <w:pPr>
        <w:pStyle w:val="Heading2"/>
        <w:spacing w:line="252" w:lineRule="auto"/>
      </w:pPr>
      <w:r>
        <w:t>7.1 Multiple regression</w:t>
      </w:r>
    </w:p>
    <w:p>
      <w:pPr>
        <w:spacing w:line="252" w:lineRule="auto" w:after="80"/>
      </w:pPr>
      <w:r>
        <w:t>An ordinary least-squares model was fitted on a reproducible random sample of 120,000 completed flights. The response variable was arrival delay (minutes). Predictors were departure delay, distance, taxi-out time, taxi-in time, scheduled departure hour, day of week and airline.</w:t>
      </w:r>
    </w:p>
    <w:tbl>
      <w:tblPr>
        <w:tblStyle w:val="TableGrid"/>
        <w:tblW w:type="auto" w:w="0"/>
        <w:jc w:val="center"/>
        <w:tblLook w:firstColumn="1" w:firstRow="1" w:lastColumn="0" w:lastRow="0" w:noHBand="0" w:noVBand="1" w:val="04A0"/>
      </w:tblPr>
      <w:tblGrid>
        <w:gridCol w:w="3408"/>
        <w:gridCol w:w="3408"/>
        <w:gridCol w:w="3408"/>
      </w:tblGrid>
      <w:tr>
        <w:tc>
          <w:tcPr>
            <w:tcW w:type="dxa" w:w="3024"/>
            <w:vAlign w:val="center"/>
            <w:shd w:fill="1F4E79"/>
          </w:tcPr>
          <w:p>
            <w:pPr>
              <w:jc w:val="center"/>
            </w:pPr>
            <w:r/>
            <w:r>
              <w:rPr>
                <w:rFonts w:ascii="Aptos" w:hAnsi="Aptos"/>
                <w:b/>
                <w:color w:val="FFFFFF"/>
                <w:sz w:val="17"/>
              </w:rPr>
              <w:t>Predictor</w:t>
            </w:r>
          </w:p>
        </w:tc>
        <w:tc>
          <w:tcPr>
            <w:tcW w:type="dxa" w:w="1872"/>
            <w:vAlign w:val="center"/>
            <w:shd w:fill="1F4E79"/>
          </w:tcPr>
          <w:p>
            <w:pPr>
              <w:jc w:val="center"/>
            </w:pPr>
            <w:r/>
            <w:r>
              <w:rPr>
                <w:rFonts w:ascii="Aptos" w:hAnsi="Aptos"/>
                <w:b/>
                <w:color w:val="FFFFFF"/>
                <w:sz w:val="17"/>
              </w:rPr>
              <w:t>Coefficient</w:t>
            </w:r>
          </w:p>
        </w:tc>
        <w:tc>
          <w:tcPr>
            <w:tcW w:type="dxa" w:w="5904"/>
            <w:vAlign w:val="center"/>
            <w:shd w:fill="1F4E79"/>
          </w:tcPr>
          <w:p>
            <w:pPr>
              <w:jc w:val="center"/>
            </w:pPr>
            <w:r/>
            <w:r>
              <w:rPr>
                <w:rFonts w:ascii="Aptos" w:hAnsi="Aptos"/>
                <w:b/>
                <w:color w:val="FFFFFF"/>
                <w:sz w:val="17"/>
              </w:rPr>
              <w:t>Interpretation (holding other modeled variables constant)</w:t>
            </w:r>
          </w:p>
        </w:tc>
      </w:tr>
      <w:tr>
        <w:tc>
          <w:tcPr>
            <w:tcW w:type="dxa" w:w="3024"/>
            <w:vAlign w:val="center"/>
          </w:tcPr>
          <w:p>
            <w:r/>
            <w:r>
              <w:rPr>
                <w:rFonts w:ascii="Aptos" w:hAnsi="Aptos"/>
                <w:b w:val="0"/>
                <w:sz w:val="16"/>
              </w:rPr>
              <w:t>Departure delay</w:t>
            </w:r>
          </w:p>
        </w:tc>
        <w:tc>
          <w:tcPr>
            <w:tcW w:type="dxa" w:w="1872"/>
            <w:vAlign w:val="center"/>
          </w:tcPr>
          <w:p>
            <w:r/>
            <w:r>
              <w:rPr>
                <w:rFonts w:ascii="Aptos" w:hAnsi="Aptos"/>
                <w:b w:val="0"/>
                <w:sz w:val="16"/>
              </w:rPr>
              <w:t>+0.998</w:t>
            </w:r>
          </w:p>
        </w:tc>
        <w:tc>
          <w:tcPr>
            <w:tcW w:type="dxa" w:w="5904"/>
            <w:vAlign w:val="center"/>
          </w:tcPr>
          <w:p>
            <w:r/>
            <w:r>
              <w:rPr>
                <w:rFonts w:ascii="Aptos" w:hAnsi="Aptos"/>
                <w:b w:val="0"/>
                <w:sz w:val="16"/>
              </w:rPr>
              <w:t>One additional departure-delay minute was associated with almost one additional arrival-delay minute.</w:t>
            </w:r>
          </w:p>
        </w:tc>
      </w:tr>
      <w:tr>
        <w:tc>
          <w:tcPr>
            <w:tcW w:type="dxa" w:w="3024"/>
            <w:vAlign w:val="center"/>
          </w:tcPr>
          <w:p>
            <w:r/>
            <w:r>
              <w:rPr>
                <w:rFonts w:ascii="Aptos" w:hAnsi="Aptos"/>
                <w:b w:val="0"/>
                <w:sz w:val="16"/>
              </w:rPr>
              <w:t>Taxi-out time</w:t>
            </w:r>
          </w:p>
        </w:tc>
        <w:tc>
          <w:tcPr>
            <w:tcW w:type="dxa" w:w="1872"/>
            <w:vAlign w:val="center"/>
          </w:tcPr>
          <w:p>
            <w:r/>
            <w:r>
              <w:rPr>
                <w:rFonts w:ascii="Aptos" w:hAnsi="Aptos"/>
                <w:b w:val="0"/>
                <w:sz w:val="16"/>
              </w:rPr>
              <w:t>+0.911</w:t>
            </w:r>
          </w:p>
        </w:tc>
        <w:tc>
          <w:tcPr>
            <w:tcW w:type="dxa" w:w="5904"/>
            <w:vAlign w:val="center"/>
          </w:tcPr>
          <w:p>
            <w:r/>
            <w:r>
              <w:rPr>
                <w:rFonts w:ascii="Aptos" w:hAnsi="Aptos"/>
                <w:b w:val="0"/>
                <w:sz w:val="16"/>
              </w:rPr>
              <w:t>Longer taxi-out time was positively associated with arrival delay.</w:t>
            </w:r>
          </w:p>
        </w:tc>
      </w:tr>
      <w:tr>
        <w:tc>
          <w:tcPr>
            <w:tcW w:type="dxa" w:w="3024"/>
            <w:vAlign w:val="center"/>
          </w:tcPr>
          <w:p>
            <w:r/>
            <w:r>
              <w:rPr>
                <w:rFonts w:ascii="Aptos" w:hAnsi="Aptos"/>
                <w:b w:val="0"/>
                <w:sz w:val="16"/>
              </w:rPr>
              <w:t>Taxi-in time</w:t>
            </w:r>
          </w:p>
        </w:tc>
        <w:tc>
          <w:tcPr>
            <w:tcW w:type="dxa" w:w="1872"/>
            <w:vAlign w:val="center"/>
          </w:tcPr>
          <w:p>
            <w:r/>
            <w:r>
              <w:rPr>
                <w:rFonts w:ascii="Aptos" w:hAnsi="Aptos"/>
                <w:b w:val="0"/>
                <w:sz w:val="16"/>
              </w:rPr>
              <w:t>+0.853</w:t>
            </w:r>
          </w:p>
        </w:tc>
        <w:tc>
          <w:tcPr>
            <w:tcW w:type="dxa" w:w="5904"/>
            <w:vAlign w:val="center"/>
          </w:tcPr>
          <w:p>
            <w:r/>
            <w:r>
              <w:rPr>
                <w:rFonts w:ascii="Aptos" w:hAnsi="Aptos"/>
                <w:b w:val="0"/>
                <w:sz w:val="16"/>
              </w:rPr>
              <w:t>Longer taxi-in time was positively associated with arrival delay.</w:t>
            </w:r>
          </w:p>
        </w:tc>
      </w:tr>
      <w:tr>
        <w:tc>
          <w:tcPr>
            <w:tcW w:type="dxa" w:w="3024"/>
            <w:vAlign w:val="center"/>
          </w:tcPr>
          <w:p>
            <w:r/>
            <w:r>
              <w:rPr>
                <w:rFonts w:ascii="Aptos" w:hAnsi="Aptos"/>
                <w:b w:val="0"/>
                <w:sz w:val="16"/>
              </w:rPr>
              <w:t>Scheduled departure hour</w:t>
            </w:r>
          </w:p>
        </w:tc>
        <w:tc>
          <w:tcPr>
            <w:tcW w:type="dxa" w:w="1872"/>
            <w:vAlign w:val="center"/>
          </w:tcPr>
          <w:p>
            <w:r/>
            <w:r>
              <w:rPr>
                <w:rFonts w:ascii="Aptos" w:hAnsi="Aptos"/>
                <w:b w:val="0"/>
                <w:sz w:val="16"/>
              </w:rPr>
              <w:t>+0.128</w:t>
            </w:r>
          </w:p>
        </w:tc>
        <w:tc>
          <w:tcPr>
            <w:tcW w:type="dxa" w:w="5904"/>
            <w:vAlign w:val="center"/>
          </w:tcPr>
          <w:p>
            <w:r/>
            <w:r>
              <w:rPr>
                <w:rFonts w:ascii="Aptos" w:hAnsi="Aptos"/>
                <w:b w:val="0"/>
                <w:sz w:val="16"/>
              </w:rPr>
              <w:t>Later scheduled hours had a small positive conditional association.</w:t>
            </w:r>
          </w:p>
        </w:tc>
      </w:tr>
      <w:tr>
        <w:tc>
          <w:tcPr>
            <w:tcW w:type="dxa" w:w="3024"/>
            <w:vAlign w:val="center"/>
          </w:tcPr>
          <w:p>
            <w:r/>
            <w:r>
              <w:rPr>
                <w:rFonts w:ascii="Aptos" w:hAnsi="Aptos"/>
                <w:b w:val="0"/>
                <w:sz w:val="16"/>
              </w:rPr>
              <w:t>Distance</w:t>
            </w:r>
          </w:p>
        </w:tc>
        <w:tc>
          <w:tcPr>
            <w:tcW w:type="dxa" w:w="1872"/>
            <w:vAlign w:val="center"/>
          </w:tcPr>
          <w:p>
            <w:r/>
            <w:r>
              <w:rPr>
                <w:rFonts w:ascii="Aptos" w:hAnsi="Aptos"/>
                <w:b w:val="0"/>
                <w:sz w:val="16"/>
              </w:rPr>
              <w:t>-0.0041 per mile</w:t>
            </w:r>
          </w:p>
        </w:tc>
        <w:tc>
          <w:tcPr>
            <w:tcW w:type="dxa" w:w="5904"/>
            <w:vAlign w:val="center"/>
          </w:tcPr>
          <w:p>
            <w:r/>
            <w:r>
              <w:rPr>
                <w:rFonts w:ascii="Aptos" w:hAnsi="Aptos"/>
                <w:b w:val="0"/>
                <w:sz w:val="16"/>
              </w:rPr>
              <w:t>Small negative conditional coefficient after controlling for the other variables.</w:t>
            </w:r>
          </w:p>
        </w:tc>
      </w:tr>
    </w:tbl>
    <w:p>
      <w:pPr>
        <w:spacing w:after="80" w:line="252" w:lineRule="auto"/>
      </w:pPr>
    </w:p>
    <w:tbl>
      <w:tblPr>
        <w:tblStyle w:val="TableGrid"/>
        <w:tblW w:type="auto" w:w="0"/>
        <w:jc w:val="center"/>
        <w:tblLook w:firstColumn="1" w:firstRow="1" w:lastColumn="0" w:lastRow="0" w:noHBand="0" w:noVBand="1" w:val="04A0"/>
      </w:tblPr>
      <w:tblGrid>
        <w:gridCol w:w="5112"/>
        <w:gridCol w:w="5112"/>
      </w:tblGrid>
      <w:tr>
        <w:tc>
          <w:tcPr>
            <w:tcW w:type="dxa" w:w="4320"/>
            <w:vAlign w:val="center"/>
            <w:shd w:fill="1F4E79"/>
          </w:tcPr>
          <w:p>
            <w:pPr>
              <w:jc w:val="center"/>
            </w:pPr>
            <w:r/>
            <w:r>
              <w:rPr>
                <w:rFonts w:ascii="Aptos" w:hAnsi="Aptos"/>
                <w:b/>
                <w:color w:val="FFFFFF"/>
                <w:sz w:val="17"/>
              </w:rPr>
              <w:t>Model metric</w:t>
            </w:r>
          </w:p>
        </w:tc>
        <w:tc>
          <w:tcPr>
            <w:tcW w:type="dxa" w:w="6192"/>
            <w:vAlign w:val="center"/>
            <w:shd w:fill="1F4E79"/>
          </w:tcPr>
          <w:p>
            <w:pPr>
              <w:jc w:val="center"/>
            </w:pPr>
            <w:r/>
            <w:r>
              <w:rPr>
                <w:rFonts w:ascii="Aptos" w:hAnsi="Aptos"/>
                <w:b/>
                <w:color w:val="FFFFFF"/>
                <w:sz w:val="17"/>
              </w:rPr>
              <w:t>Value</w:t>
            </w:r>
          </w:p>
        </w:tc>
      </w:tr>
      <w:tr>
        <w:tc>
          <w:tcPr>
            <w:tcW w:type="dxa" w:w="4320"/>
            <w:vAlign w:val="center"/>
          </w:tcPr>
          <w:p>
            <w:r/>
            <w:r>
              <w:rPr>
                <w:rFonts w:ascii="Aptos" w:hAnsi="Aptos"/>
                <w:b w:val="0"/>
                <w:sz w:val="16"/>
              </w:rPr>
              <w:t>Observations</w:t>
            </w:r>
          </w:p>
        </w:tc>
        <w:tc>
          <w:tcPr>
            <w:tcW w:type="dxa" w:w="6192"/>
            <w:vAlign w:val="center"/>
          </w:tcPr>
          <w:p>
            <w:r/>
            <w:r>
              <w:rPr>
                <w:rFonts w:ascii="Aptos" w:hAnsi="Aptos"/>
                <w:b w:val="0"/>
                <w:sz w:val="16"/>
              </w:rPr>
              <w:t>120,000</w:t>
            </w:r>
          </w:p>
        </w:tc>
      </w:tr>
      <w:tr>
        <w:tc>
          <w:tcPr>
            <w:tcW w:type="dxa" w:w="4320"/>
            <w:vAlign w:val="center"/>
          </w:tcPr>
          <w:p>
            <w:r/>
            <w:r>
              <w:rPr>
                <w:rFonts w:ascii="Aptos" w:hAnsi="Aptos"/>
                <w:b w:val="0"/>
                <w:sz w:val="16"/>
              </w:rPr>
              <w:t>R-squared</w:t>
            </w:r>
          </w:p>
        </w:tc>
        <w:tc>
          <w:tcPr>
            <w:tcW w:type="dxa" w:w="6192"/>
            <w:vAlign w:val="center"/>
          </w:tcPr>
          <w:p>
            <w:r/>
            <w:r>
              <w:rPr>
                <w:rFonts w:ascii="Aptos" w:hAnsi="Aptos"/>
                <w:b w:val="0"/>
                <w:sz w:val="16"/>
              </w:rPr>
              <w:t>0.9693</w:t>
            </w:r>
          </w:p>
        </w:tc>
      </w:tr>
      <w:tr>
        <w:tc>
          <w:tcPr>
            <w:tcW w:type="dxa" w:w="4320"/>
            <w:vAlign w:val="center"/>
          </w:tcPr>
          <w:p>
            <w:r/>
            <w:r>
              <w:rPr>
                <w:rFonts w:ascii="Aptos" w:hAnsi="Aptos"/>
                <w:b w:val="0"/>
                <w:sz w:val="16"/>
              </w:rPr>
              <w:t>Adjusted R-squared</w:t>
            </w:r>
          </w:p>
        </w:tc>
        <w:tc>
          <w:tcPr>
            <w:tcW w:type="dxa" w:w="6192"/>
            <w:vAlign w:val="center"/>
          </w:tcPr>
          <w:p>
            <w:r/>
            <w:r>
              <w:rPr>
                <w:rFonts w:ascii="Aptos" w:hAnsi="Aptos"/>
                <w:b w:val="0"/>
                <w:sz w:val="16"/>
              </w:rPr>
              <w:t>0.9693</w:t>
            </w:r>
          </w:p>
        </w:tc>
      </w:tr>
    </w:tbl>
    <w:p>
      <w:pPr>
        <w:spacing w:after="80" w:line="252" w:lineRule="auto"/>
      </w:pPr>
    </w:p>
    <w:tbl>
      <w:tblPr>
        <w:tblStyle w:val="TableGrid"/>
        <w:tblW w:type="auto" w:w="0"/>
        <w:tblLook w:firstColumn="1" w:firstRow="1" w:lastColumn="0" w:lastRow="0" w:noHBand="0" w:noVBand="1" w:val="04A0"/>
      </w:tblPr>
      <w:tblGrid>
        <w:gridCol w:w="10224"/>
      </w:tblGrid>
      <w:tr>
        <w:tc>
          <w:tcPr>
            <w:tcW w:type="dxa" w:w="10224"/>
            <w:shd w:fill="EAF2F8"/>
            <w:vAlign w:val="center"/>
          </w:tcPr>
          <w:p>
            <w:r/>
            <w:r>
              <w:rPr>
                <w:rFonts w:ascii="Aptos" w:hAnsi="Aptos"/>
                <w:b w:val="0"/>
                <w:color w:val="1F4E79"/>
                <w:sz w:val="17"/>
              </w:rPr>
              <w:t>The very high R-squared is expected because departure delay is temporally adjacent to arrival delay and carries much of the same operational disruption. The regression is used to explain delay propagation, not presented as a pre-departure forecasting model.</w:t>
            </w:r>
          </w:p>
        </w:tc>
      </w:tr>
    </w:tbl>
    <w:p>
      <w:pPr>
        <w:spacing w:after="80" w:line="252" w:lineRule="auto"/>
      </w:pPr>
    </w:p>
    <w:p>
      <w:pPr>
        <w:pStyle w:val="Heading2"/>
        <w:spacing w:line="252" w:lineRule="auto"/>
      </w:pPr>
      <w:r>
        <w:t>7.2 Interactive Power BI dashboard</w:t>
      </w:r>
    </w:p>
    <w:p>
      <w:pPr>
        <w:spacing w:line="252" w:lineRule="auto" w:after="80"/>
      </w:pPr>
      <w:r>
        <w:t>The final dashboard consolidates the main operational KPIs and comparisons into one page. It includes total/completed/cancelled flight cards, arrival-delay rate by airline, delay rate by departure period, traffic-filtered origin-airport performance, delay-cause composition, and slicers for airline, origin airport and weekday.</w:t>
      </w:r>
    </w:p>
    <w:p>
      <w:pPr>
        <w:spacing w:line="252" w:lineRule="auto" w:after="80"/>
        <w:jc w:val="center"/>
      </w:pPr>
      <w:r>
        <w:drawing>
          <wp:inline xmlns:a="http://schemas.openxmlformats.org/drawingml/2006/main" xmlns:pic="http://schemas.openxmlformats.org/drawingml/2006/picture">
            <wp:extent cx="6400800" cy="3556000"/>
            <wp:docPr id="6" name="Picture 6"/>
            <wp:cNvGraphicFramePr>
              <a:graphicFrameLocks noChangeAspect="1"/>
            </wp:cNvGraphicFramePr>
            <a:graphic>
              <a:graphicData uri="http://schemas.openxmlformats.org/drawingml/2006/picture">
                <pic:pic>
                  <pic:nvPicPr>
                    <pic:cNvPr id="0" name="Screenshot 2026-08-23 055318.png"/>
                    <pic:cNvPicPr/>
                  </pic:nvPicPr>
                  <pic:blipFill>
                    <a:blip r:embed="rId16"/>
                    <a:stretch>
                      <a:fillRect/>
                    </a:stretch>
                  </pic:blipFill>
                  <pic:spPr>
                    <a:xfrm>
                      <a:off x="0" y="0"/>
                      <a:ext cx="6400800" cy="3556000"/>
                    </a:xfrm>
                    <a:prstGeom prst="rect"/>
                  </pic:spPr>
                </pic:pic>
              </a:graphicData>
            </a:graphic>
          </wp:inline>
        </w:drawing>
      </w:r>
    </w:p>
    <w:p>
      <w:pPr>
        <w:spacing w:after="80" w:line="252" w:lineRule="auto"/>
        <w:jc w:val="center"/>
      </w:pPr>
      <w:r>
        <w:rPr>
          <w:i/>
          <w:color w:val="5A5A5A"/>
          <w:sz w:val="17"/>
        </w:rPr>
        <w:t>Figure 6. Final Power BI dashboard for U.S. airline operational performance, January 2025.</w:t>
      </w:r>
    </w:p>
    <w:p>
      <w:pPr>
        <w:spacing w:line="252" w:lineRule="auto" w:after="80"/>
      </w:pPr>
      <w:r>
        <w:br w:type="page"/>
      </w:r>
    </w:p>
    <w:p>
      <w:pPr>
        <w:pStyle w:val="Heading1"/>
        <w:spacing w:line="252" w:lineRule="auto"/>
      </w:pPr>
      <w:r>
        <w:t>8. Operational Interpretation, Limitations and Conclusions</w:t>
      </w:r>
    </w:p>
    <w:p>
      <w:pPr>
        <w:pStyle w:val="Heading2"/>
        <w:spacing w:line="252" w:lineRule="auto"/>
      </w:pPr>
      <w:r>
        <w:t>8.1 Operational interpretation</w:t>
      </w:r>
    </w:p>
    <w:p>
      <w:pPr>
        <w:pStyle w:val="ListBullet"/>
        <w:spacing w:after="40" w:line="252" w:lineRule="auto"/>
        <w:ind w:left="259"/>
      </w:pPr>
      <w:r>
        <w:rPr>
          <w:sz w:val="18"/>
        </w:rPr>
        <w:t>Schedule timing matters: delay rates rise materially from early morning into afternoon/evening operations, consistent with disruption accumulation over the operating day.</w:t>
      </w:r>
    </w:p>
    <w:p>
      <w:pPr>
        <w:pStyle w:val="ListBullet"/>
        <w:spacing w:after="40" w:line="252" w:lineRule="auto"/>
        <w:ind w:left="259"/>
      </w:pPr>
      <w:r>
        <w:rPr>
          <w:sz w:val="18"/>
        </w:rPr>
        <w:t>Delay propagation is central: late-arriving aircraft account for more than one-third of recorded delay minutes, and departure delay has an almost one-for-one conditional relationship with arrival delay in the regression.</w:t>
      </w:r>
    </w:p>
    <w:p>
      <w:pPr>
        <w:pStyle w:val="ListBullet"/>
        <w:spacing w:after="40" w:line="252" w:lineRule="auto"/>
        <w:ind w:left="259"/>
      </w:pPr>
      <w:r>
        <w:rPr>
          <w:sz w:val="18"/>
        </w:rPr>
        <w:t>Carrier and airport comparisons are useful for performance monitoring, but raw rankings should be paired with traffic thresholds and effect sizes to avoid overstating differences.</w:t>
      </w:r>
    </w:p>
    <w:p>
      <w:pPr>
        <w:pStyle w:val="ListBullet"/>
        <w:spacing w:after="40" w:line="252" w:lineRule="auto"/>
        <w:ind w:left="259"/>
      </w:pPr>
      <w:r>
        <w:rPr>
          <w:sz w:val="18"/>
        </w:rPr>
        <w:t>The dashboard can support exploratory operational review by filtering results by airline, origin and weekday without requiring repeated SQL or Python execution.</w:t>
      </w:r>
    </w:p>
    <w:p>
      <w:pPr>
        <w:pStyle w:val="Heading2"/>
        <w:spacing w:line="252" w:lineRule="auto"/>
      </w:pPr>
      <w:r>
        <w:t>8.2 Limitations</w:t>
      </w:r>
    </w:p>
    <w:p>
      <w:pPr>
        <w:pStyle w:val="ListBullet"/>
        <w:spacing w:after="40" w:line="252" w:lineRule="auto"/>
        <w:ind w:left="259"/>
      </w:pPr>
      <w:r>
        <w:rPr>
          <w:sz w:val="18"/>
        </w:rPr>
        <w:t>The study covers January 2025 only. It captures winter-month operations but cannot represent full-year seasonality or long-term carrier/airport performance.</w:t>
      </w:r>
    </w:p>
    <w:p>
      <w:pPr>
        <w:pStyle w:val="ListBullet"/>
        <w:spacing w:after="40" w:line="252" w:lineRule="auto"/>
        <w:ind w:left="259"/>
      </w:pPr>
      <w:r>
        <w:rPr>
          <w:sz w:val="18"/>
        </w:rPr>
        <w:t>The analysis is observational. Statistical association does not establish that carrier, airport or departure period causes a specific delay outcome.</w:t>
      </w:r>
    </w:p>
    <w:p>
      <w:pPr>
        <w:pStyle w:val="ListBullet"/>
        <w:spacing w:after="40" w:line="252" w:lineRule="auto"/>
        <w:ind w:left="259"/>
      </w:pPr>
      <w:r>
        <w:rPr>
          <w:sz w:val="18"/>
        </w:rPr>
        <w:t>Delay-cause fields are reported according to BTS carrier reporting rules for qualifying delayed flights and should not be interpreted as a complete causal decomposition of every minute of operational variation.</w:t>
      </w:r>
    </w:p>
    <w:p>
      <w:pPr>
        <w:pStyle w:val="ListBullet"/>
        <w:spacing w:after="40" w:line="252" w:lineRule="auto"/>
        <w:ind w:left="259"/>
      </w:pPr>
      <w:r>
        <w:rPr>
          <w:sz w:val="18"/>
        </w:rPr>
        <w:t>Airport comparisons use origin-level aggregates; weather, runway configuration, traffic management and route mix were not separately modeled.</w:t>
      </w:r>
    </w:p>
    <w:p>
      <w:pPr>
        <w:pStyle w:val="ListBullet"/>
        <w:spacing w:after="40" w:line="252" w:lineRule="auto"/>
        <w:ind w:left="259"/>
      </w:pPr>
      <w:r>
        <w:rPr>
          <w:sz w:val="18"/>
        </w:rPr>
        <w:t>The OLS model contains departure delay, so it is intentionally explanatory and unsuitable as a true advance prediction model without redesigning the feature set.</w:t>
      </w:r>
    </w:p>
    <w:p>
      <w:pPr>
        <w:pStyle w:val="Heading2"/>
        <w:spacing w:line="252" w:lineRule="auto"/>
      </w:pPr>
      <w:r>
        <w:t>8.3 Conclusions</w:t>
      </w:r>
    </w:p>
    <w:p>
      <w:pPr>
        <w:spacing w:line="252" w:lineRule="auto" w:after="80"/>
      </w:pPr>
      <w:r>
        <w:t>The project demonstrates an end-to-end operational analytics workflow on more than half a million flight records. SQL was used for scalable KPI and ranking logic; Python supported cleaning, exploratory analysis and statistical inference; and Power BI translated the results into an interactive operational dashboard. The January 2025 data show clear within-day delay accumulation, substantial network-propagation effects, measurable but modest carrier/cancellation associations, and meaningful performance variation among high-volume airports. The combination of statistical significance, effect-size reporting and traffic-aware filtering provides a more defensible interpretation than rankings alone.</w:t>
      </w:r>
    </w:p>
    <w:p>
      <w:pPr>
        <w:pStyle w:val="Heading2"/>
        <w:spacing w:line="252" w:lineRule="auto"/>
      </w:pPr>
      <w:r>
        <w:t>References</w:t>
      </w:r>
    </w:p>
    <w:p>
      <w:pPr>
        <w:spacing w:after="80" w:line="252" w:lineRule="auto"/>
      </w:pPr>
      <w:r>
        <w:rPr>
          <w:sz w:val="17"/>
        </w:rPr>
        <w:t>[1] U.S. Bureau of Transportation Statistics, Reporting Carrier On-Time Performance (1987-present), TranStats database and field documentation.</w:t>
      </w:r>
    </w:p>
    <w:p>
      <w:pPr>
        <w:spacing w:after="80" w:line="252" w:lineRule="auto"/>
      </w:pPr>
      <w:r>
        <w:rPr>
          <w:sz w:val="17"/>
        </w:rPr>
        <w:t>[2] U.S. Bureau of Transportation Statistics, Technical Reporting Directive #39 - On-Time Performance, effective January 1, 2025.</w:t>
      </w:r>
    </w:p>
    <w:p>
      <w:pPr>
        <w:spacing w:after="80" w:line="252" w:lineRule="auto"/>
      </w:pPr>
      <w:r>
        <w:rPr>
          <w:sz w:val="17"/>
        </w:rPr>
        <w:t>[3] U.S. Bureau of Transportation Statistics, On-Time Reporting requirements under 14 CFR Part 234.</w:t>
      </w:r>
    </w:p>
    <w:p>
      <w:pPr>
        <w:spacing w:after="80" w:line="252" w:lineRule="auto"/>
      </w:pPr>
      <w:r>
        <w:rPr>
          <w:sz w:val="17"/>
        </w:rPr>
        <w:t>[4] Python data-analysis stack used in this project: pandas, NumPy, SciPy, statsmodels and Matplotlib.</w:t>
      </w:r>
    </w:p>
    <w:p>
      <w:pPr>
        <w:spacing w:after="80" w:line="252" w:lineRule="auto"/>
      </w:pPr>
      <w:r>
        <w:rPr>
          <w:sz w:val="17"/>
        </w:rPr>
        <w:t>[5] SQLite database engine and Microsoft Power BI Desktop used for query analysis and interactive reporting.</w:t>
      </w:r>
    </w:p>
    <w:p>
      <w:pPr>
        <w:pStyle w:val="Heading2"/>
        <w:spacing w:line="252" w:lineRule="auto"/>
      </w:pPr>
      <w:r>
        <w:t>Appendix A. Deliverables</w:t>
      </w:r>
    </w:p>
    <w:p>
      <w:pPr>
        <w:pStyle w:val="ListBullet"/>
        <w:spacing w:after="40" w:line="252" w:lineRule="auto"/>
        <w:ind w:left="259"/>
      </w:pPr>
      <w:r>
        <w:rPr>
          <w:sz w:val="18"/>
        </w:rPr>
        <w:t>Cleaned analysis dataset: BTS_Jan2025_clean.csv</w:t>
      </w:r>
    </w:p>
    <w:p>
      <w:pPr>
        <w:pStyle w:val="ListBullet"/>
        <w:spacing w:after="40" w:line="252" w:lineRule="auto"/>
        <w:ind w:left="259"/>
      </w:pPr>
      <w:r>
        <w:rPr>
          <w:sz w:val="18"/>
        </w:rPr>
        <w:t>SQLite database: airline_operations.db</w:t>
      </w:r>
    </w:p>
    <w:p>
      <w:pPr>
        <w:pStyle w:val="ListBullet"/>
        <w:spacing w:after="40" w:line="252" w:lineRule="auto"/>
        <w:ind w:left="259"/>
      </w:pPr>
      <w:r>
        <w:rPr>
          <w:sz w:val="18"/>
        </w:rPr>
        <w:t>SQL script: Airline_Operations_Analytics_SQL_Queries.sql</w:t>
      </w:r>
    </w:p>
    <w:p>
      <w:pPr>
        <w:pStyle w:val="ListBullet"/>
        <w:spacing w:after="40" w:line="252" w:lineRule="auto"/>
        <w:ind w:left="259"/>
      </w:pPr>
      <w:r>
        <w:rPr>
          <w:sz w:val="18"/>
        </w:rPr>
        <w:t>Statistical outputs: confidence intervals, regression coefficients and hypothesis-test summary CSV files</w:t>
      </w:r>
    </w:p>
    <w:p>
      <w:pPr>
        <w:pStyle w:val="ListBullet"/>
        <w:spacing w:after="40" w:line="252" w:lineRule="auto"/>
        <w:ind w:left="259"/>
      </w:pPr>
      <w:r>
        <w:rPr>
          <w:sz w:val="18"/>
        </w:rPr>
        <w:t>Power BI file: Airline_Operations_Analytics_Final_Clean.pbix (final dashboard version)</w:t>
      </w:r>
    </w:p>
    <w:p>
      <w:pPr>
        <w:pStyle w:val="ListBullet"/>
        <w:spacing w:after="40" w:line="252" w:lineRule="auto"/>
        <w:ind w:left="259"/>
      </w:pPr>
      <w:r>
        <w:rPr>
          <w:sz w:val="18"/>
        </w:rPr>
        <w:t>Technical report: this document</w:t>
      </w:r>
    </w:p>
    <w:sectPr w:rsidR="00FC693F" w:rsidRPr="0006063C" w:rsidSect="00034616">
      <w:headerReference w:type="default" r:id="rId9"/>
      <w:footerReference w:type="default" r:id="rId10"/>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BTS January 2025 | SQL + Python + Statistics + Power BI</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E6E6E"/>
        <w:sz w:val="16"/>
      </w:rPr>
      <w:t>Airline Operational Performance Analytics | Technical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49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4E79"/>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Airline Operational Performance Analytics - Technical Report</dc:title>
  <dc:subject>BTS January 2025 airline operations analytics using SQL, Python, Statistics and Power BI</dc:subject>
  <dc:creator>python-docx</dc:creator>
  <cp:keywords>BTS, airline, delay, SQL, Python, statistics, Power BI</cp:keywords>
  <dc:description>generated by python-docx</dc:description>
  <cp:lastModifiedBy/>
  <cp:revision>1</cp:revision>
  <dcterms:created xsi:type="dcterms:W3CDTF">2013-12-23T23:15:00Z</dcterms:created>
  <dcterms:modified xsi:type="dcterms:W3CDTF">2013-12-23T23:15:00Z</dcterms:modified>
  <cp:category/>
</cp:coreProperties>
</file>