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TECHNICAL PROJECT REPORT</w:t>
      </w:r>
    </w:p>
    <w:p>
      <w:pPr>
        <w:jc w:val="center"/>
      </w:pPr>
      <w:r>
        <w:rPr>
          <w:b/>
          <w:sz w:val="44"/>
        </w:rPr>
        <w:t>Urban Stormwater Drainage Network Modelling</w:t>
        <w:br/>
        <w:t>and Sensitivity Analysis using EPA SWMM</w:t>
      </w:r>
    </w:p>
    <w:p>
      <w:pPr>
        <w:jc w:val="center"/>
      </w:pPr>
      <w:r>
        <w:rPr>
          <w:i/>
          <w:sz w:val="24"/>
        </w:rPr>
        <w:t>Rainfall intensity • Urbanization • Conduit capacity</w:t>
      </w:r>
    </w:p>
    <w:p/>
    <w:tbl>
      <w:tblPr>
        <w:tblStyle w:val="TableGrid"/>
        <w:tblW w:type="auto" w:w="0"/>
        <w:jc w:val="center"/>
        <w:tblLook w:firstColumn="1" w:firstRow="1" w:lastColumn="0" w:lastRow="0" w:noHBand="0" w:noVBand="1" w:val="04A0"/>
      </w:tblPr>
      <w:tblGrid>
        <w:gridCol w:w="5040"/>
        <w:gridCol w:w="5040"/>
      </w:tblGrid>
      <w:tr>
        <w:tc>
          <w:tcPr>
            <w:tcW w:type="dxa" w:w="2880"/>
            <w:shd w:fill="E9EEF5"/>
            <w:vAlign w:val="center"/>
          </w:tcPr>
          <w:p>
            <w:r>
              <w:rPr>
                <w:rFonts w:ascii="Aptos" w:hAnsi="Aptos"/>
                <w:b/>
                <w:sz w:val="18"/>
              </w:rPr>
              <w:t>Software</w:t>
            </w:r>
          </w:p>
        </w:tc>
        <w:tc>
          <w:tcPr>
            <w:tcW w:type="dxa" w:w="6768"/>
            <w:vAlign w:val="center"/>
          </w:tcPr>
          <w:p>
            <w:r>
              <w:rPr>
                <w:rFonts w:ascii="Aptos" w:hAnsi="Aptos"/>
                <w:sz w:val="18"/>
              </w:rPr>
              <w:t>EPA SWMM 5.2</w:t>
            </w:r>
          </w:p>
        </w:tc>
      </w:tr>
      <w:tr>
        <w:tc>
          <w:tcPr>
            <w:tcW w:type="dxa" w:w="2880"/>
            <w:shd w:fill="E9EEF5"/>
            <w:vAlign w:val="center"/>
          </w:tcPr>
          <w:p>
            <w:r>
              <w:rPr>
                <w:rFonts w:ascii="Aptos" w:hAnsi="Aptos"/>
                <w:b/>
                <w:sz w:val="18"/>
              </w:rPr>
              <w:t>Model scale</w:t>
            </w:r>
          </w:p>
        </w:tc>
        <w:tc>
          <w:tcPr>
            <w:tcW w:type="dxa" w:w="6768"/>
            <w:vAlign w:val="center"/>
          </w:tcPr>
          <w:p>
            <w:r>
              <w:rPr>
                <w:rFonts w:ascii="Aptos" w:hAnsi="Aptos"/>
                <w:sz w:val="18"/>
              </w:rPr>
              <w:t>Conceptual 12-ha urban drainage network</w:t>
            </w:r>
          </w:p>
        </w:tc>
      </w:tr>
      <w:tr>
        <w:tc>
          <w:tcPr>
            <w:tcW w:type="dxa" w:w="2880"/>
            <w:shd w:fill="E9EEF5"/>
            <w:vAlign w:val="center"/>
          </w:tcPr>
          <w:p>
            <w:r>
              <w:rPr>
                <w:rFonts w:ascii="Aptos" w:hAnsi="Aptos"/>
                <w:b/>
                <w:sz w:val="18"/>
              </w:rPr>
              <w:t>Routing</w:t>
            </w:r>
          </w:p>
        </w:tc>
        <w:tc>
          <w:tcPr>
            <w:tcW w:type="dxa" w:w="6768"/>
            <w:vAlign w:val="center"/>
          </w:tcPr>
          <w:p>
            <w:r>
              <w:rPr>
                <w:rFonts w:ascii="Aptos" w:hAnsi="Aptos"/>
                <w:sz w:val="18"/>
              </w:rPr>
              <w:t>Dynamic Wave</w:t>
            </w:r>
          </w:p>
        </w:tc>
      </w:tr>
      <w:tr>
        <w:tc>
          <w:tcPr>
            <w:tcW w:type="dxa" w:w="2880"/>
            <w:shd w:fill="E9EEF5"/>
            <w:vAlign w:val="center"/>
          </w:tcPr>
          <w:p>
            <w:r>
              <w:rPr>
                <w:rFonts w:ascii="Aptos" w:hAnsi="Aptos"/>
                <w:b/>
                <w:sz w:val="18"/>
              </w:rPr>
              <w:t>Infiltration</w:t>
            </w:r>
          </w:p>
        </w:tc>
        <w:tc>
          <w:tcPr>
            <w:tcW w:type="dxa" w:w="6768"/>
            <w:vAlign w:val="center"/>
          </w:tcPr>
          <w:p>
            <w:r>
              <w:rPr>
                <w:rFonts w:ascii="Aptos" w:hAnsi="Aptos"/>
                <w:sz w:val="18"/>
              </w:rPr>
              <w:t>Horton method</w:t>
            </w:r>
          </w:p>
        </w:tc>
      </w:tr>
    </w:tbl>
    <w:p/>
    <w:p>
      <w:pPr>
        <w:jc w:val="center"/>
      </w:pPr>
      <w:r>
        <w:rPr>
          <w:b/>
          <w:sz w:val="24"/>
        </w:rPr>
        <w:t>Study objective</w:t>
      </w:r>
    </w:p>
    <w:p>
      <w:pPr>
        <w:jc w:val="center"/>
      </w:pPr>
      <w:r>
        <w:t>To evaluate how rainfall intensity, imperviousness and drainage capacity affect runoff, flooding and hydraulic performance in an urban stormwater network, and to identify a critical conveyance bottleneck and effective capacity-upgrade scenario.</w:t>
      </w:r>
    </w:p>
    <w:p>
      <w:pPr>
        <w:jc w:val="center"/>
      </w:pPr>
      <w:r>
        <w:rPr>
          <w:b/>
        </w:rPr>
        <w:t xml:space="preserve">Important scope note: </w:t>
      </w:r>
      <w:r>
        <w:t>This is a conceptual sensitivity-analysis model driven by a synthetic design storm. It is not a calibrated or site-validated drainage model, and results are interpreted comparatively rather than as predictions for a specific real catchment.</w:t>
      </w:r>
    </w:p>
    <w:p>
      <w:r>
        <w:br w:type="page"/>
      </w:r>
    </w:p>
    <w:p>
      <w:pPr>
        <w:pStyle w:val="Heading1"/>
      </w:pPr>
      <w:r>
        <w:t>1. Executive Summary</w:t>
      </w:r>
    </w:p>
    <w:p>
      <w:r>
        <w:t>A 12-ha urban stormwater drainage model was developed in EPA SWMM to study how rainfall forcing, surface imperviousness and pipe capacity influence flooding. The network contains six subcatchments, seven junctions, eight circular conduits and one free outfall. Horton infiltration and Dynamic Wave routing were used so that surface runoff generation and surcharge/backwater effects could be represented within a single model.</w:t>
      </w:r>
    </w:p>
    <w:p>
      <w:r>
        <w:t>Three sensitivity groups were evaluated: (i) rainfall intensity from 0.6P to 1.4P, (ii) imperviousness increases of +15 and +30 percentage points, and (iii) enlargement of the critical outlet conduit C5 from 0.75 m to 0.90 m and 1.05 m. The model showed a strong nonlinear increase in flooding as rainfall intensified, a large rise in flooding as imperviousness increased, and a major reduction in flooding after increasing the diameter of C5.</w:t>
      </w:r>
    </w:p>
    <w:p>
      <w:pPr>
        <w:pStyle w:val="ListBullet"/>
      </w:pPr>
      <w:r>
        <w:rPr>
          <w:b/>
        </w:rPr>
        <w:t xml:space="preserve">Rainfall sensitivity: </w:t>
      </w:r>
      <w:r>
        <w:t>total flooding increased from 202 m³ at 66 mm rainfall to 7,230 m³ at 154 mm, while peak outfall discharge approached a plateau near 1.31 m³/s.</w:t>
      </w:r>
    </w:p>
    <w:p>
      <w:pPr>
        <w:pStyle w:val="ListBullet"/>
      </w:pPr>
      <w:r>
        <w:rPr>
          <w:b/>
        </w:rPr>
        <w:t xml:space="preserve">Urbanization sensitivity: </w:t>
      </w:r>
      <w:r>
        <w:t>a +30 percentage-point imperviousness increase raised flooding from 202 to 1,255 m³ under the same rainfall input.</w:t>
      </w:r>
    </w:p>
    <w:p>
      <w:pPr>
        <w:pStyle w:val="ListBullet"/>
      </w:pPr>
      <w:r>
        <w:rPr>
          <w:b/>
        </w:rPr>
        <w:t xml:space="preserve">Capacity sensitivity: </w:t>
      </w:r>
      <w:r>
        <w:t>increasing C5 from 0.75 m to 0.90 m reduced flooding from 202 to 17 m³ (91.6% reduction); increasing it further to 1.05 m reduced flooding to 5 m³.</w:t>
      </w:r>
    </w:p>
    <w:p>
      <w:pPr>
        <w:pStyle w:val="Heading1"/>
      </w:pPr>
      <w:r>
        <w:t>2. Model Configuration</w:t>
      </w:r>
    </w:p>
    <w:p>
      <w:r>
        <w:t>The model represents a compact urban drainage system with two connected branches that merge at junction J5 before discharging through conduit C5 to the outfall. The configuration was selected to permit simultaneous study of runoff production, hydraulic bottlenecks, surcharge and flooding.</w:t>
      </w:r>
    </w:p>
    <w:p>
      <w:pPr>
        <w:jc w:val="center"/>
      </w:pPr>
      <w:r>
        <w:drawing>
          <wp:inline xmlns:a="http://schemas.openxmlformats.org/drawingml/2006/main" xmlns:pic="http://schemas.openxmlformats.org/drawingml/2006/picture">
            <wp:extent cx="6309360" cy="2735892"/>
            <wp:docPr id="1" name="Picture 1"/>
            <wp:cNvGraphicFramePr>
              <a:graphicFrameLocks noChangeAspect="1"/>
            </wp:cNvGraphicFramePr>
            <a:graphic>
              <a:graphicData uri="http://schemas.openxmlformats.org/drawingml/2006/picture">
                <pic:pic>
                  <pic:nvPicPr>
                    <pic:cNvPr id="0" name="network_schematic_swmm.png"/>
                    <pic:cNvPicPr/>
                  </pic:nvPicPr>
                  <pic:blipFill>
                    <a:blip r:embed="rId11"/>
                    <a:stretch>
                      <a:fillRect/>
                    </a:stretch>
                  </pic:blipFill>
                  <pic:spPr>
                    <a:xfrm>
                      <a:off x="0" y="0"/>
                      <a:ext cx="6309360" cy="2735892"/>
                    </a:xfrm>
                    <a:prstGeom prst="rect"/>
                  </pic:spPr>
                </pic:pic>
              </a:graphicData>
            </a:graphic>
          </wp:inline>
        </w:drawing>
      </w:r>
    </w:p>
    <w:p>
      <w:pPr>
        <w:jc w:val="center"/>
      </w:pPr>
      <w:r>
        <w:rPr>
          <w:i/>
          <w:sz w:val="18"/>
        </w:rPr>
        <w:t>Figure 1. Conceptual drainage-network schematic. Node positions are illustrative rather than geographic.</w:t>
      </w:r>
    </w:p>
    <w:p>
      <w:pPr>
        <w:pStyle w:val="Heading2"/>
      </w:pPr>
      <w:r>
        <w:t>2.1 Subcatchments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D9EAF7"/>
            <w:vAlign w:val="center"/>
          </w:tcPr>
          <w:p>
            <w:r>
              <w:rPr>
                <w:rFonts w:ascii="Aptos" w:hAnsi="Aptos"/>
                <w:b/>
                <w:sz w:val="18"/>
              </w:rPr>
              <w:t>Subcatchment</w:t>
            </w:r>
          </w:p>
        </w:tc>
        <w:tc>
          <w:tcPr>
            <w:tcW w:type="dxa" w:w="1680"/>
            <w:shd w:fill="D9EAF7"/>
            <w:vAlign w:val="center"/>
          </w:tcPr>
          <w:p>
            <w:r>
              <w:rPr>
                <w:rFonts w:ascii="Aptos" w:hAnsi="Aptos"/>
                <w:b/>
                <w:sz w:val="18"/>
              </w:rPr>
              <w:t>Area (ha)</w:t>
            </w:r>
          </w:p>
        </w:tc>
        <w:tc>
          <w:tcPr>
            <w:tcW w:type="dxa" w:w="1680"/>
            <w:shd w:fill="D9EAF7"/>
            <w:vAlign w:val="center"/>
          </w:tcPr>
          <w:p>
            <w:r>
              <w:rPr>
                <w:rFonts w:ascii="Aptos" w:hAnsi="Aptos"/>
                <w:b/>
                <w:sz w:val="18"/>
              </w:rPr>
              <w:t>Width (m)</w:t>
            </w:r>
          </w:p>
        </w:tc>
        <w:tc>
          <w:tcPr>
            <w:tcW w:type="dxa" w:w="1680"/>
            <w:shd w:fill="D9EAF7"/>
            <w:vAlign w:val="center"/>
          </w:tcPr>
          <w:p>
            <w:r>
              <w:rPr>
                <w:rFonts w:ascii="Aptos" w:hAnsi="Aptos"/>
                <w:b/>
                <w:sz w:val="18"/>
              </w:rPr>
              <w:t>Slope (%)</w:t>
            </w:r>
          </w:p>
        </w:tc>
        <w:tc>
          <w:tcPr>
            <w:tcW w:type="dxa" w:w="1680"/>
            <w:shd w:fill="D9EAF7"/>
            <w:vAlign w:val="center"/>
          </w:tcPr>
          <w:p>
            <w:r>
              <w:rPr>
                <w:rFonts w:ascii="Aptos" w:hAnsi="Aptos"/>
                <w:b/>
                <w:sz w:val="18"/>
              </w:rPr>
              <w:t>Imperv. (%)</w:t>
            </w:r>
          </w:p>
        </w:tc>
        <w:tc>
          <w:tcPr>
            <w:tcW w:type="dxa" w:w="1680"/>
            <w:shd w:fill="D9EAF7"/>
            <w:vAlign w:val="center"/>
          </w:tcPr>
          <w:p>
            <w:r>
              <w:rPr>
                <w:rFonts w:ascii="Aptos" w:hAnsi="Aptos"/>
                <w:b/>
                <w:sz w:val="18"/>
              </w:rPr>
              <w:t>Outlet</w:t>
            </w:r>
          </w:p>
        </w:tc>
      </w:tr>
      <w:tr>
        <w:tc>
          <w:tcPr>
            <w:tcW w:type="dxa" w:w="1680"/>
            <w:vAlign w:val="center"/>
          </w:tcPr>
          <w:p>
            <w:r>
              <w:rPr>
                <w:rFonts w:ascii="Aptos" w:hAnsi="Aptos"/>
                <w:sz w:val="18"/>
              </w:rPr>
              <w:t>S1</w:t>
            </w:r>
          </w:p>
        </w:tc>
        <w:tc>
          <w:tcPr>
            <w:tcW w:type="dxa" w:w="1680"/>
            <w:vAlign w:val="center"/>
          </w:tcPr>
          <w:p>
            <w:r>
              <w:rPr>
                <w:rFonts w:ascii="Aptos" w:hAnsi="Aptos"/>
                <w:sz w:val="18"/>
              </w:rPr>
              <w:t>1.5</w:t>
            </w:r>
          </w:p>
        </w:tc>
        <w:tc>
          <w:tcPr>
            <w:tcW w:type="dxa" w:w="1680"/>
            <w:vAlign w:val="center"/>
          </w:tcPr>
          <w:p>
            <w:r>
              <w:rPr>
                <w:rFonts w:ascii="Aptos" w:hAnsi="Aptos"/>
                <w:sz w:val="18"/>
              </w:rPr>
              <w:t>120</w:t>
            </w:r>
          </w:p>
        </w:tc>
        <w:tc>
          <w:tcPr>
            <w:tcW w:type="dxa" w:w="1680"/>
            <w:vAlign w:val="center"/>
          </w:tcPr>
          <w:p>
            <w:r>
              <w:rPr>
                <w:rFonts w:ascii="Aptos" w:hAnsi="Aptos"/>
                <w:sz w:val="18"/>
              </w:rPr>
              <w:t>1.0</w:t>
            </w:r>
          </w:p>
        </w:tc>
        <w:tc>
          <w:tcPr>
            <w:tcW w:type="dxa" w:w="1680"/>
            <w:vAlign w:val="center"/>
          </w:tcPr>
          <w:p>
            <w:r>
              <w:rPr>
                <w:rFonts w:ascii="Aptos" w:hAnsi="Aptos"/>
                <w:sz w:val="18"/>
              </w:rPr>
              <w:t>55</w:t>
            </w:r>
          </w:p>
        </w:tc>
        <w:tc>
          <w:tcPr>
            <w:tcW w:type="dxa" w:w="1680"/>
            <w:vAlign w:val="center"/>
          </w:tcPr>
          <w:p>
            <w:r>
              <w:rPr>
                <w:rFonts w:ascii="Aptos" w:hAnsi="Aptos"/>
                <w:sz w:val="18"/>
              </w:rPr>
              <w:t>J1</w:t>
            </w:r>
          </w:p>
        </w:tc>
      </w:tr>
      <w:tr>
        <w:tc>
          <w:tcPr>
            <w:tcW w:type="dxa" w:w="1680"/>
            <w:vAlign w:val="center"/>
          </w:tcPr>
          <w:p>
            <w:r>
              <w:rPr>
                <w:rFonts w:ascii="Aptos" w:hAnsi="Aptos"/>
                <w:sz w:val="18"/>
              </w:rPr>
              <w:t>S2</w:t>
            </w:r>
          </w:p>
        </w:tc>
        <w:tc>
          <w:tcPr>
            <w:tcW w:type="dxa" w:w="1680"/>
            <w:vAlign w:val="center"/>
          </w:tcPr>
          <w:p>
            <w:r>
              <w:rPr>
                <w:rFonts w:ascii="Aptos" w:hAnsi="Aptos"/>
                <w:sz w:val="18"/>
              </w:rPr>
              <w:t>2.0</w:t>
            </w:r>
          </w:p>
        </w:tc>
        <w:tc>
          <w:tcPr>
            <w:tcW w:type="dxa" w:w="1680"/>
            <w:vAlign w:val="center"/>
          </w:tcPr>
          <w:p>
            <w:r>
              <w:rPr>
                <w:rFonts w:ascii="Aptos" w:hAnsi="Aptos"/>
                <w:sz w:val="18"/>
              </w:rPr>
              <w:t>140</w:t>
            </w:r>
          </w:p>
        </w:tc>
        <w:tc>
          <w:tcPr>
            <w:tcW w:type="dxa" w:w="1680"/>
            <w:vAlign w:val="center"/>
          </w:tcPr>
          <w:p>
            <w:r>
              <w:rPr>
                <w:rFonts w:ascii="Aptos" w:hAnsi="Aptos"/>
                <w:sz w:val="18"/>
              </w:rPr>
              <w:t>1.2</w:t>
            </w:r>
          </w:p>
        </w:tc>
        <w:tc>
          <w:tcPr>
            <w:tcW w:type="dxa" w:w="1680"/>
            <w:vAlign w:val="center"/>
          </w:tcPr>
          <w:p>
            <w:r>
              <w:rPr>
                <w:rFonts w:ascii="Aptos" w:hAnsi="Aptos"/>
                <w:sz w:val="18"/>
              </w:rPr>
              <w:t>60</w:t>
            </w:r>
          </w:p>
        </w:tc>
        <w:tc>
          <w:tcPr>
            <w:tcW w:type="dxa" w:w="1680"/>
            <w:vAlign w:val="center"/>
          </w:tcPr>
          <w:p>
            <w:r>
              <w:rPr>
                <w:rFonts w:ascii="Aptos" w:hAnsi="Aptos"/>
                <w:sz w:val="18"/>
              </w:rPr>
              <w:t>J2</w:t>
            </w:r>
          </w:p>
        </w:tc>
      </w:tr>
      <w:tr>
        <w:tc>
          <w:tcPr>
            <w:tcW w:type="dxa" w:w="1680"/>
            <w:vAlign w:val="center"/>
          </w:tcPr>
          <w:p>
            <w:r>
              <w:rPr>
                <w:rFonts w:ascii="Aptos" w:hAnsi="Aptos"/>
                <w:sz w:val="18"/>
              </w:rPr>
              <w:t>S3</w:t>
            </w:r>
          </w:p>
        </w:tc>
        <w:tc>
          <w:tcPr>
            <w:tcW w:type="dxa" w:w="1680"/>
            <w:vAlign w:val="center"/>
          </w:tcPr>
          <w:p>
            <w:r>
              <w:rPr>
                <w:rFonts w:ascii="Aptos" w:hAnsi="Aptos"/>
                <w:sz w:val="18"/>
              </w:rPr>
              <w:t>1.8</w:t>
            </w:r>
          </w:p>
        </w:tc>
        <w:tc>
          <w:tcPr>
            <w:tcW w:type="dxa" w:w="1680"/>
            <w:vAlign w:val="center"/>
          </w:tcPr>
          <w:p>
            <w:r>
              <w:rPr>
                <w:rFonts w:ascii="Aptos" w:hAnsi="Aptos"/>
                <w:sz w:val="18"/>
              </w:rPr>
              <w:t>130</w:t>
            </w:r>
          </w:p>
        </w:tc>
        <w:tc>
          <w:tcPr>
            <w:tcW w:type="dxa" w:w="1680"/>
            <w:vAlign w:val="center"/>
          </w:tcPr>
          <w:p>
            <w:r>
              <w:rPr>
                <w:rFonts w:ascii="Aptos" w:hAnsi="Aptos"/>
                <w:sz w:val="18"/>
              </w:rPr>
              <w:t>0.9</w:t>
            </w:r>
          </w:p>
        </w:tc>
        <w:tc>
          <w:tcPr>
            <w:tcW w:type="dxa" w:w="1680"/>
            <w:vAlign w:val="center"/>
          </w:tcPr>
          <w:p>
            <w:r>
              <w:rPr>
                <w:rFonts w:ascii="Aptos" w:hAnsi="Aptos"/>
                <w:sz w:val="18"/>
              </w:rPr>
              <w:t>50</w:t>
            </w:r>
          </w:p>
        </w:tc>
        <w:tc>
          <w:tcPr>
            <w:tcW w:type="dxa" w:w="1680"/>
            <w:vAlign w:val="center"/>
          </w:tcPr>
          <w:p>
            <w:r>
              <w:rPr>
                <w:rFonts w:ascii="Aptos" w:hAnsi="Aptos"/>
                <w:sz w:val="18"/>
              </w:rPr>
              <w:t>J4</w:t>
            </w:r>
          </w:p>
        </w:tc>
      </w:tr>
      <w:tr>
        <w:tc>
          <w:tcPr>
            <w:tcW w:type="dxa" w:w="1680"/>
            <w:vAlign w:val="center"/>
          </w:tcPr>
          <w:p>
            <w:r>
              <w:rPr>
                <w:rFonts w:ascii="Aptos" w:hAnsi="Aptos"/>
                <w:sz w:val="18"/>
              </w:rPr>
              <w:t>S4</w:t>
            </w:r>
          </w:p>
        </w:tc>
        <w:tc>
          <w:tcPr>
            <w:tcW w:type="dxa" w:w="1680"/>
            <w:vAlign w:val="center"/>
          </w:tcPr>
          <w:p>
            <w:r>
              <w:rPr>
                <w:rFonts w:ascii="Aptos" w:hAnsi="Aptos"/>
                <w:sz w:val="18"/>
              </w:rPr>
              <w:t>2.2</w:t>
            </w:r>
          </w:p>
        </w:tc>
        <w:tc>
          <w:tcPr>
            <w:tcW w:type="dxa" w:w="1680"/>
            <w:vAlign w:val="center"/>
          </w:tcPr>
          <w:p>
            <w:r>
              <w:rPr>
                <w:rFonts w:ascii="Aptos" w:hAnsi="Aptos"/>
                <w:sz w:val="18"/>
              </w:rPr>
              <w:t>150</w:t>
            </w:r>
          </w:p>
        </w:tc>
        <w:tc>
          <w:tcPr>
            <w:tcW w:type="dxa" w:w="1680"/>
            <w:vAlign w:val="center"/>
          </w:tcPr>
          <w:p>
            <w:r>
              <w:rPr>
                <w:rFonts w:ascii="Aptos" w:hAnsi="Aptos"/>
                <w:sz w:val="18"/>
              </w:rPr>
              <w:t>1.1</w:t>
            </w:r>
          </w:p>
        </w:tc>
        <w:tc>
          <w:tcPr>
            <w:tcW w:type="dxa" w:w="1680"/>
            <w:vAlign w:val="center"/>
          </w:tcPr>
          <w:p>
            <w:r>
              <w:rPr>
                <w:rFonts w:ascii="Aptos" w:hAnsi="Aptos"/>
                <w:sz w:val="18"/>
              </w:rPr>
              <w:t>65</w:t>
            </w:r>
          </w:p>
        </w:tc>
        <w:tc>
          <w:tcPr>
            <w:tcW w:type="dxa" w:w="1680"/>
            <w:vAlign w:val="center"/>
          </w:tcPr>
          <w:p>
            <w:r>
              <w:rPr>
                <w:rFonts w:ascii="Aptos" w:hAnsi="Aptos"/>
                <w:sz w:val="18"/>
              </w:rPr>
              <w:t>J6</w:t>
            </w:r>
          </w:p>
        </w:tc>
      </w:tr>
      <w:tr>
        <w:tc>
          <w:tcPr>
            <w:tcW w:type="dxa" w:w="1680"/>
            <w:vAlign w:val="center"/>
          </w:tcPr>
          <w:p>
            <w:r>
              <w:rPr>
                <w:rFonts w:ascii="Aptos" w:hAnsi="Aptos"/>
                <w:sz w:val="18"/>
              </w:rPr>
              <w:t>S5</w:t>
            </w:r>
          </w:p>
        </w:tc>
        <w:tc>
          <w:tcPr>
            <w:tcW w:type="dxa" w:w="1680"/>
            <w:vAlign w:val="center"/>
          </w:tcPr>
          <w:p>
            <w:r>
              <w:rPr>
                <w:rFonts w:ascii="Aptos" w:hAnsi="Aptos"/>
                <w:sz w:val="18"/>
              </w:rPr>
              <w:t>2.0</w:t>
            </w:r>
          </w:p>
        </w:tc>
        <w:tc>
          <w:tcPr>
            <w:tcW w:type="dxa" w:w="1680"/>
            <w:vAlign w:val="center"/>
          </w:tcPr>
          <w:p>
            <w:r>
              <w:rPr>
                <w:rFonts w:ascii="Aptos" w:hAnsi="Aptos"/>
                <w:sz w:val="18"/>
              </w:rPr>
              <w:t>140</w:t>
            </w:r>
          </w:p>
        </w:tc>
        <w:tc>
          <w:tcPr>
            <w:tcW w:type="dxa" w:w="1680"/>
            <w:vAlign w:val="center"/>
          </w:tcPr>
          <w:p>
            <w:r>
              <w:rPr>
                <w:rFonts w:ascii="Aptos" w:hAnsi="Aptos"/>
                <w:sz w:val="18"/>
              </w:rPr>
              <w:t>0.8</w:t>
            </w:r>
          </w:p>
        </w:tc>
        <w:tc>
          <w:tcPr>
            <w:tcW w:type="dxa" w:w="1680"/>
            <w:vAlign w:val="center"/>
          </w:tcPr>
          <w:p>
            <w:r>
              <w:rPr>
                <w:rFonts w:ascii="Aptos" w:hAnsi="Aptos"/>
                <w:sz w:val="18"/>
              </w:rPr>
              <w:t>55</w:t>
            </w:r>
          </w:p>
        </w:tc>
        <w:tc>
          <w:tcPr>
            <w:tcW w:type="dxa" w:w="1680"/>
            <w:vAlign w:val="center"/>
          </w:tcPr>
          <w:p>
            <w:r>
              <w:rPr>
                <w:rFonts w:ascii="Aptos" w:hAnsi="Aptos"/>
                <w:sz w:val="18"/>
              </w:rPr>
              <w:t>J5</w:t>
            </w:r>
          </w:p>
        </w:tc>
      </w:tr>
      <w:tr>
        <w:tc>
          <w:tcPr>
            <w:tcW w:type="dxa" w:w="1680"/>
            <w:vAlign w:val="center"/>
          </w:tcPr>
          <w:p>
            <w:r>
              <w:rPr>
                <w:rFonts w:ascii="Aptos" w:hAnsi="Aptos"/>
                <w:sz w:val="18"/>
              </w:rPr>
              <w:t>S6</w:t>
            </w:r>
          </w:p>
        </w:tc>
        <w:tc>
          <w:tcPr>
            <w:tcW w:type="dxa" w:w="1680"/>
            <w:vAlign w:val="center"/>
          </w:tcPr>
          <w:p>
            <w:r>
              <w:rPr>
                <w:rFonts w:ascii="Aptos" w:hAnsi="Aptos"/>
                <w:sz w:val="18"/>
              </w:rPr>
              <w:t>2.5</w:t>
            </w:r>
          </w:p>
        </w:tc>
        <w:tc>
          <w:tcPr>
            <w:tcW w:type="dxa" w:w="1680"/>
            <w:vAlign w:val="center"/>
          </w:tcPr>
          <w:p>
            <w:r>
              <w:rPr>
                <w:rFonts w:ascii="Aptos" w:hAnsi="Aptos"/>
                <w:sz w:val="18"/>
              </w:rPr>
              <w:t>160</w:t>
            </w:r>
          </w:p>
        </w:tc>
        <w:tc>
          <w:tcPr>
            <w:tcW w:type="dxa" w:w="1680"/>
            <w:vAlign w:val="center"/>
          </w:tcPr>
          <w:p>
            <w:r>
              <w:rPr>
                <w:rFonts w:ascii="Aptos" w:hAnsi="Aptos"/>
                <w:sz w:val="18"/>
              </w:rPr>
              <w:t>1.0</w:t>
            </w:r>
          </w:p>
        </w:tc>
        <w:tc>
          <w:tcPr>
            <w:tcW w:type="dxa" w:w="1680"/>
            <w:vAlign w:val="center"/>
          </w:tcPr>
          <w:p>
            <w:r>
              <w:rPr>
                <w:rFonts w:ascii="Aptos" w:hAnsi="Aptos"/>
                <w:sz w:val="18"/>
              </w:rPr>
              <w:t>70</w:t>
            </w:r>
          </w:p>
        </w:tc>
        <w:tc>
          <w:tcPr>
            <w:tcW w:type="dxa" w:w="1680"/>
            <w:vAlign w:val="center"/>
          </w:tcPr>
          <w:p>
            <w:r>
              <w:rPr>
                <w:rFonts w:ascii="Aptos" w:hAnsi="Aptos"/>
                <w:sz w:val="18"/>
              </w:rPr>
              <w:t>J7</w:t>
            </w:r>
          </w:p>
        </w:tc>
      </w:tr>
    </w:tbl>
    <w:p>
      <w:r>
        <w:t>All subcatchments used Horton infiltration with maximum infiltration rate 75 mm/h, minimum rate 10 mm/h, decay coefficient 2 h⁻¹ and drying time 7 days. Surface roughness values were n = 0.013 for impervious area and n = 0.24 for pervious area; depression storage depths were 1.5 mm and 5 mm, respectively.</w:t>
      </w:r>
    </w:p>
    <w:p>
      <w:pPr>
        <w:pStyle w:val="Heading2"/>
      </w:pPr>
      <w:r>
        <w:t>2.2 Drainage network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rFonts w:ascii="Aptos" w:hAnsi="Aptos"/>
                <w:b/>
                <w:sz w:val="18"/>
              </w:rPr>
              <w:t>Conduit</w:t>
            </w:r>
          </w:p>
        </w:tc>
        <w:tc>
          <w:tcPr>
            <w:tcW w:type="dxa" w:w="2520"/>
            <w:shd w:fill="D9EAF7"/>
            <w:vAlign w:val="center"/>
          </w:tcPr>
          <w:p>
            <w:r>
              <w:rPr>
                <w:rFonts w:ascii="Aptos" w:hAnsi="Aptos"/>
                <w:b/>
                <w:sz w:val="18"/>
              </w:rPr>
              <w:t>Connection</w:t>
            </w:r>
          </w:p>
        </w:tc>
        <w:tc>
          <w:tcPr>
            <w:tcW w:type="dxa" w:w="2520"/>
            <w:shd w:fill="D9EAF7"/>
            <w:vAlign w:val="center"/>
          </w:tcPr>
          <w:p>
            <w:r>
              <w:rPr>
                <w:rFonts w:ascii="Aptos" w:hAnsi="Aptos"/>
                <w:b/>
                <w:sz w:val="18"/>
              </w:rPr>
              <w:t>Length (m)</w:t>
            </w:r>
          </w:p>
        </w:tc>
        <w:tc>
          <w:tcPr>
            <w:tcW w:type="dxa" w:w="2520"/>
            <w:shd w:fill="D9EAF7"/>
            <w:vAlign w:val="center"/>
          </w:tcPr>
          <w:p>
            <w:r>
              <w:rPr>
                <w:rFonts w:ascii="Aptos" w:hAnsi="Aptos"/>
                <w:b/>
                <w:sz w:val="18"/>
              </w:rPr>
              <w:t>Diameter (m)</w:t>
            </w:r>
          </w:p>
        </w:tc>
      </w:tr>
      <w:tr>
        <w:tc>
          <w:tcPr>
            <w:tcW w:type="dxa" w:w="2520"/>
            <w:vAlign w:val="center"/>
          </w:tcPr>
          <w:p>
            <w:r>
              <w:rPr>
                <w:rFonts w:ascii="Aptos" w:hAnsi="Aptos"/>
                <w:sz w:val="18"/>
              </w:rPr>
              <w:t>C1</w:t>
            </w:r>
          </w:p>
        </w:tc>
        <w:tc>
          <w:tcPr>
            <w:tcW w:type="dxa" w:w="2520"/>
            <w:vAlign w:val="center"/>
          </w:tcPr>
          <w:p>
            <w:r>
              <w:rPr>
                <w:rFonts w:ascii="Aptos" w:hAnsi="Aptos"/>
                <w:sz w:val="18"/>
              </w:rPr>
              <w:t>J1 → J2</w:t>
            </w:r>
          </w:p>
        </w:tc>
        <w:tc>
          <w:tcPr>
            <w:tcW w:type="dxa" w:w="2520"/>
            <w:vAlign w:val="center"/>
          </w:tcPr>
          <w:p>
            <w:r>
              <w:rPr>
                <w:rFonts w:ascii="Aptos" w:hAnsi="Aptos"/>
                <w:sz w:val="18"/>
              </w:rPr>
              <w:t>150</w:t>
            </w:r>
          </w:p>
        </w:tc>
        <w:tc>
          <w:tcPr>
            <w:tcW w:type="dxa" w:w="2520"/>
            <w:vAlign w:val="center"/>
          </w:tcPr>
          <w:p>
            <w:r>
              <w:rPr>
                <w:rFonts w:ascii="Aptos" w:hAnsi="Aptos"/>
                <w:sz w:val="18"/>
              </w:rPr>
              <w:t>0.45</w:t>
            </w:r>
          </w:p>
        </w:tc>
      </w:tr>
      <w:tr>
        <w:tc>
          <w:tcPr>
            <w:tcW w:type="dxa" w:w="2520"/>
            <w:vAlign w:val="center"/>
          </w:tcPr>
          <w:p>
            <w:r>
              <w:rPr>
                <w:rFonts w:ascii="Aptos" w:hAnsi="Aptos"/>
                <w:sz w:val="18"/>
              </w:rPr>
              <w:t>C2</w:t>
            </w:r>
          </w:p>
        </w:tc>
        <w:tc>
          <w:tcPr>
            <w:tcW w:type="dxa" w:w="2520"/>
            <w:vAlign w:val="center"/>
          </w:tcPr>
          <w:p>
            <w:r>
              <w:rPr>
                <w:rFonts w:ascii="Aptos" w:hAnsi="Aptos"/>
                <w:sz w:val="18"/>
              </w:rPr>
              <w:t>J2 → J3</w:t>
            </w:r>
          </w:p>
        </w:tc>
        <w:tc>
          <w:tcPr>
            <w:tcW w:type="dxa" w:w="2520"/>
            <w:vAlign w:val="center"/>
          </w:tcPr>
          <w:p>
            <w:r>
              <w:rPr>
                <w:rFonts w:ascii="Aptos" w:hAnsi="Aptos"/>
                <w:sz w:val="18"/>
              </w:rPr>
              <w:t>180</w:t>
            </w:r>
          </w:p>
        </w:tc>
        <w:tc>
          <w:tcPr>
            <w:tcW w:type="dxa" w:w="2520"/>
            <w:vAlign w:val="center"/>
          </w:tcPr>
          <w:p>
            <w:r>
              <w:rPr>
                <w:rFonts w:ascii="Aptos" w:hAnsi="Aptos"/>
                <w:sz w:val="18"/>
              </w:rPr>
              <w:t>0.50</w:t>
            </w:r>
          </w:p>
        </w:tc>
      </w:tr>
      <w:tr>
        <w:tc>
          <w:tcPr>
            <w:tcW w:type="dxa" w:w="2520"/>
            <w:vAlign w:val="center"/>
          </w:tcPr>
          <w:p>
            <w:r>
              <w:rPr>
                <w:rFonts w:ascii="Aptos" w:hAnsi="Aptos"/>
                <w:sz w:val="18"/>
              </w:rPr>
              <w:t>C3</w:t>
            </w:r>
          </w:p>
        </w:tc>
        <w:tc>
          <w:tcPr>
            <w:tcW w:type="dxa" w:w="2520"/>
            <w:vAlign w:val="center"/>
          </w:tcPr>
          <w:p>
            <w:r>
              <w:rPr>
                <w:rFonts w:ascii="Aptos" w:hAnsi="Aptos"/>
                <w:sz w:val="18"/>
              </w:rPr>
              <w:t>J3 → J4</w:t>
            </w:r>
          </w:p>
        </w:tc>
        <w:tc>
          <w:tcPr>
            <w:tcW w:type="dxa" w:w="2520"/>
            <w:vAlign w:val="center"/>
          </w:tcPr>
          <w:p>
            <w:r>
              <w:rPr>
                <w:rFonts w:ascii="Aptos" w:hAnsi="Aptos"/>
                <w:sz w:val="18"/>
              </w:rPr>
              <w:t>200</w:t>
            </w:r>
          </w:p>
        </w:tc>
        <w:tc>
          <w:tcPr>
            <w:tcW w:type="dxa" w:w="2520"/>
            <w:vAlign w:val="center"/>
          </w:tcPr>
          <w:p>
            <w:r>
              <w:rPr>
                <w:rFonts w:ascii="Aptos" w:hAnsi="Aptos"/>
                <w:sz w:val="18"/>
              </w:rPr>
              <w:t>0.60</w:t>
            </w:r>
          </w:p>
        </w:tc>
      </w:tr>
      <w:tr>
        <w:tc>
          <w:tcPr>
            <w:tcW w:type="dxa" w:w="2520"/>
            <w:vAlign w:val="center"/>
          </w:tcPr>
          <w:p>
            <w:r>
              <w:rPr>
                <w:rFonts w:ascii="Aptos" w:hAnsi="Aptos"/>
                <w:sz w:val="18"/>
              </w:rPr>
              <w:t>C4</w:t>
            </w:r>
          </w:p>
        </w:tc>
        <w:tc>
          <w:tcPr>
            <w:tcW w:type="dxa" w:w="2520"/>
            <w:vAlign w:val="center"/>
          </w:tcPr>
          <w:p>
            <w:r>
              <w:rPr>
                <w:rFonts w:ascii="Aptos" w:hAnsi="Aptos"/>
                <w:sz w:val="18"/>
              </w:rPr>
              <w:t>J4 → J5</w:t>
            </w:r>
          </w:p>
        </w:tc>
        <w:tc>
          <w:tcPr>
            <w:tcW w:type="dxa" w:w="2520"/>
            <w:vAlign w:val="center"/>
          </w:tcPr>
          <w:p>
            <w:r>
              <w:rPr>
                <w:rFonts w:ascii="Aptos" w:hAnsi="Aptos"/>
                <w:sz w:val="18"/>
              </w:rPr>
              <w:t>180</w:t>
            </w:r>
          </w:p>
        </w:tc>
        <w:tc>
          <w:tcPr>
            <w:tcW w:type="dxa" w:w="2520"/>
            <w:vAlign w:val="center"/>
          </w:tcPr>
          <w:p>
            <w:r>
              <w:rPr>
                <w:rFonts w:ascii="Aptos" w:hAnsi="Aptos"/>
                <w:sz w:val="18"/>
              </w:rPr>
              <w:t>0.60</w:t>
            </w:r>
          </w:p>
        </w:tc>
      </w:tr>
      <w:tr>
        <w:tc>
          <w:tcPr>
            <w:tcW w:type="dxa" w:w="2520"/>
            <w:vAlign w:val="center"/>
          </w:tcPr>
          <w:p>
            <w:r>
              <w:rPr>
                <w:rFonts w:ascii="Aptos" w:hAnsi="Aptos"/>
                <w:sz w:val="18"/>
              </w:rPr>
              <w:t>C5</w:t>
            </w:r>
          </w:p>
        </w:tc>
        <w:tc>
          <w:tcPr>
            <w:tcW w:type="dxa" w:w="2520"/>
            <w:vAlign w:val="center"/>
          </w:tcPr>
          <w:p>
            <w:r>
              <w:rPr>
                <w:rFonts w:ascii="Aptos" w:hAnsi="Aptos"/>
                <w:sz w:val="18"/>
              </w:rPr>
              <w:t>J5 → Out1</w:t>
            </w:r>
          </w:p>
        </w:tc>
        <w:tc>
          <w:tcPr>
            <w:tcW w:type="dxa" w:w="2520"/>
            <w:vAlign w:val="center"/>
          </w:tcPr>
          <w:p>
            <w:r>
              <w:rPr>
                <w:rFonts w:ascii="Aptos" w:hAnsi="Aptos"/>
                <w:sz w:val="18"/>
              </w:rPr>
              <w:t>250</w:t>
            </w:r>
          </w:p>
        </w:tc>
        <w:tc>
          <w:tcPr>
            <w:tcW w:type="dxa" w:w="2520"/>
            <w:vAlign w:val="center"/>
          </w:tcPr>
          <w:p>
            <w:r>
              <w:rPr>
                <w:rFonts w:ascii="Aptos" w:hAnsi="Aptos"/>
                <w:sz w:val="18"/>
              </w:rPr>
              <w:t>0.75</w:t>
            </w:r>
          </w:p>
        </w:tc>
      </w:tr>
      <w:tr>
        <w:tc>
          <w:tcPr>
            <w:tcW w:type="dxa" w:w="2520"/>
            <w:vAlign w:val="center"/>
          </w:tcPr>
          <w:p>
            <w:r>
              <w:rPr>
                <w:rFonts w:ascii="Aptos" w:hAnsi="Aptos"/>
                <w:sz w:val="18"/>
              </w:rPr>
              <w:t>C6</w:t>
            </w:r>
          </w:p>
        </w:tc>
        <w:tc>
          <w:tcPr>
            <w:tcW w:type="dxa" w:w="2520"/>
            <w:vAlign w:val="center"/>
          </w:tcPr>
          <w:p>
            <w:r>
              <w:rPr>
                <w:rFonts w:ascii="Aptos" w:hAnsi="Aptos"/>
                <w:sz w:val="18"/>
              </w:rPr>
              <w:t>J2 → J6</w:t>
            </w:r>
          </w:p>
        </w:tc>
        <w:tc>
          <w:tcPr>
            <w:tcW w:type="dxa" w:w="2520"/>
            <w:vAlign w:val="center"/>
          </w:tcPr>
          <w:p>
            <w:r>
              <w:rPr>
                <w:rFonts w:ascii="Aptos" w:hAnsi="Aptos"/>
                <w:sz w:val="18"/>
              </w:rPr>
              <w:t>120</w:t>
            </w:r>
          </w:p>
        </w:tc>
        <w:tc>
          <w:tcPr>
            <w:tcW w:type="dxa" w:w="2520"/>
            <w:vAlign w:val="center"/>
          </w:tcPr>
          <w:p>
            <w:r>
              <w:rPr>
                <w:rFonts w:ascii="Aptos" w:hAnsi="Aptos"/>
                <w:sz w:val="18"/>
              </w:rPr>
              <w:t>0.40</w:t>
            </w:r>
          </w:p>
        </w:tc>
      </w:tr>
      <w:tr>
        <w:tc>
          <w:tcPr>
            <w:tcW w:type="dxa" w:w="2520"/>
            <w:vAlign w:val="center"/>
          </w:tcPr>
          <w:p>
            <w:r>
              <w:rPr>
                <w:rFonts w:ascii="Aptos" w:hAnsi="Aptos"/>
                <w:sz w:val="18"/>
              </w:rPr>
              <w:t>C7</w:t>
            </w:r>
          </w:p>
        </w:tc>
        <w:tc>
          <w:tcPr>
            <w:tcW w:type="dxa" w:w="2520"/>
            <w:vAlign w:val="center"/>
          </w:tcPr>
          <w:p>
            <w:r>
              <w:rPr>
                <w:rFonts w:ascii="Aptos" w:hAnsi="Aptos"/>
                <w:sz w:val="18"/>
              </w:rPr>
              <w:t>J6 → J7</w:t>
            </w:r>
          </w:p>
        </w:tc>
        <w:tc>
          <w:tcPr>
            <w:tcW w:type="dxa" w:w="2520"/>
            <w:vAlign w:val="center"/>
          </w:tcPr>
          <w:p>
            <w:r>
              <w:rPr>
                <w:rFonts w:ascii="Aptos" w:hAnsi="Aptos"/>
                <w:sz w:val="18"/>
              </w:rPr>
              <w:t>140</w:t>
            </w:r>
          </w:p>
        </w:tc>
        <w:tc>
          <w:tcPr>
            <w:tcW w:type="dxa" w:w="2520"/>
            <w:vAlign w:val="center"/>
          </w:tcPr>
          <w:p>
            <w:r>
              <w:rPr>
                <w:rFonts w:ascii="Aptos" w:hAnsi="Aptos"/>
                <w:sz w:val="18"/>
              </w:rPr>
              <w:t>0.45</w:t>
            </w:r>
          </w:p>
        </w:tc>
      </w:tr>
      <w:tr>
        <w:tc>
          <w:tcPr>
            <w:tcW w:type="dxa" w:w="2520"/>
            <w:vAlign w:val="center"/>
          </w:tcPr>
          <w:p>
            <w:r>
              <w:rPr>
                <w:rFonts w:ascii="Aptos" w:hAnsi="Aptos"/>
                <w:sz w:val="18"/>
              </w:rPr>
              <w:t>C8</w:t>
            </w:r>
          </w:p>
        </w:tc>
        <w:tc>
          <w:tcPr>
            <w:tcW w:type="dxa" w:w="2520"/>
            <w:vAlign w:val="center"/>
          </w:tcPr>
          <w:p>
            <w:r>
              <w:rPr>
                <w:rFonts w:ascii="Aptos" w:hAnsi="Aptos"/>
                <w:sz w:val="18"/>
              </w:rPr>
              <w:t>J7 → J5</w:t>
            </w:r>
          </w:p>
        </w:tc>
        <w:tc>
          <w:tcPr>
            <w:tcW w:type="dxa" w:w="2520"/>
            <w:vAlign w:val="center"/>
          </w:tcPr>
          <w:p>
            <w:r>
              <w:rPr>
                <w:rFonts w:ascii="Aptos" w:hAnsi="Aptos"/>
                <w:sz w:val="18"/>
              </w:rPr>
              <w:t>160</w:t>
            </w:r>
          </w:p>
        </w:tc>
        <w:tc>
          <w:tcPr>
            <w:tcW w:type="dxa" w:w="2520"/>
            <w:vAlign w:val="center"/>
          </w:tcPr>
          <w:p>
            <w:r>
              <w:rPr>
                <w:rFonts w:ascii="Aptos" w:hAnsi="Aptos"/>
                <w:sz w:val="18"/>
              </w:rPr>
              <w:t>0.50</w:t>
            </w:r>
          </w:p>
        </w:tc>
      </w:tr>
    </w:tbl>
    <w:p>
      <w:r>
        <w:t>All conduits were circular with Manning roughness n = 0.013. Junction maximum depth was 3 m. Out1 was assigned a FREE outfall condition. Dynamic Wave routing was used with a 30-s routing step and 1-min reporting interval.</w:t>
      </w:r>
    </w:p>
    <w:p>
      <w:r>
        <w:br w:type="page"/>
      </w:r>
    </w:p>
    <w:p>
      <w:pPr>
        <w:pStyle w:val="Heading1"/>
      </w:pPr>
      <w:r>
        <w:t>3. Forcing and Scenario Design</w:t>
      </w:r>
    </w:p>
    <w:p>
      <w:r>
        <w:t>The baseline event was defined as 0.6P, where P is a synthetic 10-min-block storm pattern with intensities of 10, 20, 35, 60, 90, 120, 100, 80, 60, 40, 25, 15 and 5 mm/h. The 0.6P baseline produces 66 mm total rainfall. The storm is synthetic and is not assigned a return period.</w:t>
      </w:r>
    </w:p>
    <w:p>
      <w:pPr>
        <w:pStyle w:val="Heading2"/>
      </w:pPr>
      <w:r>
        <w:t>3.1 Rainfall-intensity scenarios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rFonts w:ascii="Aptos" w:hAnsi="Aptos"/>
                <w:b/>
                <w:sz w:val="18"/>
              </w:rPr>
              <w:t>Scenario</w:t>
            </w:r>
          </w:p>
        </w:tc>
        <w:tc>
          <w:tcPr>
            <w:tcW w:type="dxa" w:w="5040"/>
            <w:shd w:fill="D9EAF7"/>
            <w:vAlign w:val="center"/>
          </w:tcPr>
          <w:p>
            <w:r>
              <w:rPr>
                <w:rFonts w:ascii="Aptos" w:hAnsi="Aptos"/>
                <w:b/>
                <w:sz w:val="18"/>
              </w:rPr>
              <w:t>Total rainfall (mm)</w:t>
            </w:r>
          </w:p>
        </w:tc>
      </w:tr>
      <w:tr>
        <w:tc>
          <w:tcPr>
            <w:tcW w:type="dxa" w:w="5040"/>
            <w:vAlign w:val="center"/>
          </w:tcPr>
          <w:p>
            <w:r>
              <w:rPr>
                <w:rFonts w:ascii="Aptos" w:hAnsi="Aptos"/>
                <w:sz w:val="18"/>
              </w:rPr>
              <w:t>0.6P</w:t>
            </w:r>
          </w:p>
        </w:tc>
        <w:tc>
          <w:tcPr>
            <w:tcW w:type="dxa" w:w="5040"/>
            <w:vAlign w:val="center"/>
          </w:tcPr>
          <w:p>
            <w:r>
              <w:rPr>
                <w:rFonts w:ascii="Aptos" w:hAnsi="Aptos"/>
                <w:sz w:val="18"/>
              </w:rPr>
              <w:t>66</w:t>
            </w:r>
          </w:p>
        </w:tc>
      </w:tr>
      <w:tr>
        <w:tc>
          <w:tcPr>
            <w:tcW w:type="dxa" w:w="5040"/>
            <w:vAlign w:val="center"/>
          </w:tcPr>
          <w:p>
            <w:r>
              <w:rPr>
                <w:rFonts w:ascii="Aptos" w:hAnsi="Aptos"/>
                <w:sz w:val="18"/>
              </w:rPr>
              <w:t>0.8P</w:t>
            </w:r>
          </w:p>
        </w:tc>
        <w:tc>
          <w:tcPr>
            <w:tcW w:type="dxa" w:w="5040"/>
            <w:vAlign w:val="center"/>
          </w:tcPr>
          <w:p>
            <w:r>
              <w:rPr>
                <w:rFonts w:ascii="Aptos" w:hAnsi="Aptos"/>
                <w:sz w:val="18"/>
              </w:rPr>
              <w:t>88</w:t>
            </w:r>
          </w:p>
        </w:tc>
      </w:tr>
      <w:tr>
        <w:tc>
          <w:tcPr>
            <w:tcW w:type="dxa" w:w="5040"/>
            <w:vAlign w:val="center"/>
          </w:tcPr>
          <w:p>
            <w:r>
              <w:rPr>
                <w:rFonts w:ascii="Aptos" w:hAnsi="Aptos"/>
                <w:sz w:val="18"/>
              </w:rPr>
              <w:t>1.0P</w:t>
            </w:r>
          </w:p>
        </w:tc>
        <w:tc>
          <w:tcPr>
            <w:tcW w:type="dxa" w:w="5040"/>
            <w:vAlign w:val="center"/>
          </w:tcPr>
          <w:p>
            <w:r>
              <w:rPr>
                <w:rFonts w:ascii="Aptos" w:hAnsi="Aptos"/>
                <w:sz w:val="18"/>
              </w:rPr>
              <w:t>110</w:t>
            </w:r>
          </w:p>
        </w:tc>
      </w:tr>
      <w:tr>
        <w:tc>
          <w:tcPr>
            <w:tcW w:type="dxa" w:w="5040"/>
            <w:vAlign w:val="center"/>
          </w:tcPr>
          <w:p>
            <w:r>
              <w:rPr>
                <w:rFonts w:ascii="Aptos" w:hAnsi="Aptos"/>
                <w:sz w:val="18"/>
              </w:rPr>
              <w:t>1.2P</w:t>
            </w:r>
          </w:p>
        </w:tc>
        <w:tc>
          <w:tcPr>
            <w:tcW w:type="dxa" w:w="5040"/>
            <w:vAlign w:val="center"/>
          </w:tcPr>
          <w:p>
            <w:r>
              <w:rPr>
                <w:rFonts w:ascii="Aptos" w:hAnsi="Aptos"/>
                <w:sz w:val="18"/>
              </w:rPr>
              <w:t>132</w:t>
            </w:r>
          </w:p>
        </w:tc>
      </w:tr>
      <w:tr>
        <w:tc>
          <w:tcPr>
            <w:tcW w:type="dxa" w:w="5040"/>
            <w:vAlign w:val="center"/>
          </w:tcPr>
          <w:p>
            <w:r>
              <w:rPr>
                <w:rFonts w:ascii="Aptos" w:hAnsi="Aptos"/>
                <w:sz w:val="18"/>
              </w:rPr>
              <w:t>1.4P</w:t>
            </w:r>
          </w:p>
        </w:tc>
        <w:tc>
          <w:tcPr>
            <w:tcW w:type="dxa" w:w="5040"/>
            <w:vAlign w:val="center"/>
          </w:tcPr>
          <w:p>
            <w:r>
              <w:rPr>
                <w:rFonts w:ascii="Aptos" w:hAnsi="Aptos"/>
                <w:sz w:val="18"/>
              </w:rPr>
              <w:t>154</w:t>
            </w:r>
          </w:p>
        </w:tc>
      </w:tr>
    </w:tbl>
    <w:p>
      <w:pPr>
        <w:pStyle w:val="Heading2"/>
      </w:pPr>
      <w:r>
        <w:t>3.2 Urbanization scenarios</w:t>
      </w:r>
    </w:p>
    <w:p>
      <w:r>
        <w:t>The baseline imperviousness values were increased uniformly by +15 and +30 percentage points. This isolates the hydrologic effect of increasing impervious cover while keeping the rainfall event and drainage geometry unchanged.</w:t>
      </w:r>
    </w:p>
    <w:p>
      <w:pPr>
        <w:pStyle w:val="Heading2"/>
      </w:pPr>
      <w:r>
        <w:t>3.3 Capacity scenarios</w:t>
      </w:r>
    </w:p>
    <w:p>
      <w:r>
        <w:t>Conduit C5, the final conveyance link from J5 to the outfall, was tested at diameters of 0.75 m (baseline), 0.90 m and 1.05 m. All other parameters were unchanged. This isolates the effect of enlarging the critical downstream conveyance element.</w:t>
      </w:r>
    </w:p>
    <w:p>
      <w:pPr>
        <w:pStyle w:val="Heading1"/>
      </w:pPr>
      <w:r>
        <w:t>4. Results</w:t>
      </w:r>
    </w:p>
    <w:p>
      <w:pPr>
        <w:pStyle w:val="Heading2"/>
      </w:pPr>
      <w:r>
        <w:t>4.1 Rainfall sensitivity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vAlign w:val="center"/>
          </w:tcPr>
          <w:p>
            <w:r>
              <w:rPr>
                <w:rFonts w:ascii="Aptos" w:hAnsi="Aptos"/>
                <w:b/>
                <w:sz w:val="18"/>
              </w:rPr>
              <w:t>Case</w:t>
            </w:r>
          </w:p>
        </w:tc>
        <w:tc>
          <w:tcPr>
            <w:tcW w:type="dxa" w:w="1440"/>
            <w:shd w:fill="D9EAF7"/>
            <w:vAlign w:val="center"/>
          </w:tcPr>
          <w:p>
            <w:r>
              <w:rPr>
                <w:rFonts w:ascii="Aptos" w:hAnsi="Aptos"/>
                <w:b/>
                <w:sz w:val="18"/>
              </w:rPr>
              <w:t>Rainfall</w:t>
              <w:br/>
              <w:t>(mm)</w:t>
            </w:r>
          </w:p>
        </w:tc>
        <w:tc>
          <w:tcPr>
            <w:tcW w:type="dxa" w:w="1440"/>
            <w:shd w:fill="D9EAF7"/>
            <w:vAlign w:val="center"/>
          </w:tcPr>
          <w:p>
            <w:r>
              <w:rPr>
                <w:rFonts w:ascii="Aptos" w:hAnsi="Aptos"/>
                <w:b/>
                <w:sz w:val="18"/>
              </w:rPr>
              <w:t>Runoff depth</w:t>
              <w:br/>
              <w:t>(mm)</w:t>
            </w:r>
          </w:p>
        </w:tc>
        <w:tc>
          <w:tcPr>
            <w:tcW w:type="dxa" w:w="1440"/>
            <w:shd w:fill="D9EAF7"/>
            <w:vAlign w:val="center"/>
          </w:tcPr>
          <w:p>
            <w:r>
              <w:rPr>
                <w:rFonts w:ascii="Aptos" w:hAnsi="Aptos"/>
                <w:b/>
                <w:sz w:val="18"/>
              </w:rPr>
              <w:t>Peak outfall</w:t>
              <w:br/>
              <w:t>(m³/s)</w:t>
            </w:r>
          </w:p>
        </w:tc>
        <w:tc>
          <w:tcPr>
            <w:tcW w:type="dxa" w:w="1440"/>
            <w:shd w:fill="D9EAF7"/>
            <w:vAlign w:val="center"/>
          </w:tcPr>
          <w:p>
            <w:r>
              <w:rPr>
                <w:rFonts w:ascii="Aptos" w:hAnsi="Aptos"/>
                <w:b/>
                <w:sz w:val="18"/>
              </w:rPr>
              <w:t>Flooding</w:t>
              <w:br/>
              <w:t>(m³)</w:t>
            </w:r>
          </w:p>
        </w:tc>
        <w:tc>
          <w:tcPr>
            <w:tcW w:type="dxa" w:w="1440"/>
            <w:shd w:fill="D9EAF7"/>
            <w:vAlign w:val="center"/>
          </w:tcPr>
          <w:p>
            <w:r>
              <w:rPr>
                <w:rFonts w:ascii="Aptos" w:hAnsi="Aptos"/>
                <w:b/>
                <w:sz w:val="18"/>
              </w:rPr>
              <w:t>J7 flooding</w:t>
              <w:br/>
              <w:t>(m³)</w:t>
            </w:r>
          </w:p>
        </w:tc>
        <w:tc>
          <w:tcPr>
            <w:tcW w:type="dxa" w:w="1440"/>
            <w:shd w:fill="D9EAF7"/>
            <w:vAlign w:val="center"/>
          </w:tcPr>
          <w:p>
            <w:r>
              <w:rPr>
                <w:rFonts w:ascii="Aptos" w:hAnsi="Aptos"/>
                <w:b/>
                <w:sz w:val="18"/>
              </w:rPr>
              <w:t>C5 Max/Full</w:t>
            </w:r>
          </w:p>
        </w:tc>
      </w:tr>
      <w:tr>
        <w:tc>
          <w:tcPr>
            <w:tcW w:type="dxa" w:w="1440"/>
            <w:vAlign w:val="center"/>
          </w:tcPr>
          <w:p>
            <w:r>
              <w:rPr>
                <w:rFonts w:ascii="Aptos" w:hAnsi="Aptos"/>
                <w:sz w:val="18"/>
              </w:rPr>
              <w:t>0.6P</w:t>
            </w:r>
          </w:p>
        </w:tc>
        <w:tc>
          <w:tcPr>
            <w:tcW w:type="dxa" w:w="1440"/>
            <w:vAlign w:val="center"/>
          </w:tcPr>
          <w:p>
            <w:r>
              <w:rPr>
                <w:rFonts w:ascii="Aptos" w:hAnsi="Aptos"/>
                <w:sz w:val="18"/>
              </w:rPr>
              <w:t>66</w:t>
            </w:r>
          </w:p>
        </w:tc>
        <w:tc>
          <w:tcPr>
            <w:tcW w:type="dxa" w:w="1440"/>
            <w:vAlign w:val="center"/>
          </w:tcPr>
          <w:p>
            <w:r>
              <w:rPr>
                <w:rFonts w:ascii="Aptos" w:hAnsi="Aptos"/>
                <w:sz w:val="18"/>
              </w:rPr>
              <w:t>42.574</w:t>
            </w:r>
          </w:p>
        </w:tc>
        <w:tc>
          <w:tcPr>
            <w:tcW w:type="dxa" w:w="1440"/>
            <w:vAlign w:val="center"/>
          </w:tcPr>
          <w:p>
            <w:r>
              <w:rPr>
                <w:rFonts w:ascii="Aptos" w:hAnsi="Aptos"/>
                <w:sz w:val="18"/>
              </w:rPr>
              <w:t>1.174</w:t>
            </w:r>
          </w:p>
        </w:tc>
        <w:tc>
          <w:tcPr>
            <w:tcW w:type="dxa" w:w="1440"/>
            <w:vAlign w:val="center"/>
          </w:tcPr>
          <w:p>
            <w:r>
              <w:rPr>
                <w:rFonts w:ascii="Aptos" w:hAnsi="Aptos"/>
                <w:sz w:val="18"/>
              </w:rPr>
              <w:t>202</w:t>
            </w:r>
          </w:p>
        </w:tc>
        <w:tc>
          <w:tcPr>
            <w:tcW w:type="dxa" w:w="1440"/>
            <w:vAlign w:val="center"/>
          </w:tcPr>
          <w:p>
            <w:r>
              <w:rPr>
                <w:rFonts w:ascii="Aptos" w:hAnsi="Aptos"/>
                <w:sz w:val="18"/>
              </w:rPr>
              <w:t>137</w:t>
            </w:r>
          </w:p>
        </w:tc>
        <w:tc>
          <w:tcPr>
            <w:tcW w:type="dxa" w:w="1440"/>
            <w:vAlign w:val="center"/>
          </w:tcPr>
          <w:p>
            <w:r>
              <w:rPr>
                <w:rFonts w:ascii="Aptos" w:hAnsi="Aptos"/>
                <w:sz w:val="18"/>
              </w:rPr>
              <w:t>1.67</w:t>
            </w:r>
          </w:p>
        </w:tc>
      </w:tr>
      <w:tr>
        <w:tc>
          <w:tcPr>
            <w:tcW w:type="dxa" w:w="1440"/>
            <w:vAlign w:val="center"/>
          </w:tcPr>
          <w:p>
            <w:r>
              <w:rPr>
                <w:rFonts w:ascii="Aptos" w:hAnsi="Aptos"/>
                <w:sz w:val="18"/>
              </w:rPr>
              <w:t>0.8P</w:t>
            </w:r>
          </w:p>
        </w:tc>
        <w:tc>
          <w:tcPr>
            <w:tcW w:type="dxa" w:w="1440"/>
            <w:vAlign w:val="center"/>
          </w:tcPr>
          <w:p>
            <w:r>
              <w:rPr>
                <w:rFonts w:ascii="Aptos" w:hAnsi="Aptos"/>
                <w:sz w:val="18"/>
              </w:rPr>
              <w:t>88</w:t>
            </w:r>
          </w:p>
        </w:tc>
        <w:tc>
          <w:tcPr>
            <w:tcW w:type="dxa" w:w="1440"/>
            <w:vAlign w:val="center"/>
          </w:tcPr>
          <w:p>
            <w:r>
              <w:rPr>
                <w:rFonts w:ascii="Aptos" w:hAnsi="Aptos"/>
                <w:sz w:val="18"/>
              </w:rPr>
              <w:t>63.151</w:t>
            </w:r>
          </w:p>
        </w:tc>
        <w:tc>
          <w:tcPr>
            <w:tcW w:type="dxa" w:w="1440"/>
            <w:vAlign w:val="center"/>
          </w:tcPr>
          <w:p>
            <w:r>
              <w:rPr>
                <w:rFonts w:ascii="Aptos" w:hAnsi="Aptos"/>
                <w:sz w:val="18"/>
              </w:rPr>
              <w:t>1.245</w:t>
            </w:r>
          </w:p>
        </w:tc>
        <w:tc>
          <w:tcPr>
            <w:tcW w:type="dxa" w:w="1440"/>
            <w:vAlign w:val="center"/>
          </w:tcPr>
          <w:p>
            <w:r>
              <w:rPr>
                <w:rFonts w:ascii="Aptos" w:hAnsi="Aptos"/>
                <w:sz w:val="18"/>
              </w:rPr>
              <w:t>1,367</w:t>
            </w:r>
          </w:p>
        </w:tc>
        <w:tc>
          <w:tcPr>
            <w:tcW w:type="dxa" w:w="1440"/>
            <w:vAlign w:val="center"/>
          </w:tcPr>
          <w:p>
            <w:r>
              <w:rPr>
                <w:rFonts w:ascii="Aptos" w:hAnsi="Aptos"/>
                <w:sz w:val="18"/>
              </w:rPr>
              <w:t>617</w:t>
            </w:r>
          </w:p>
        </w:tc>
        <w:tc>
          <w:tcPr>
            <w:tcW w:type="dxa" w:w="1440"/>
            <w:vAlign w:val="center"/>
          </w:tcPr>
          <w:p>
            <w:r>
              <w:rPr>
                <w:rFonts w:ascii="Aptos" w:hAnsi="Aptos"/>
                <w:sz w:val="18"/>
              </w:rPr>
              <w:t>1.77</w:t>
            </w:r>
          </w:p>
        </w:tc>
      </w:tr>
      <w:tr>
        <w:tc>
          <w:tcPr>
            <w:tcW w:type="dxa" w:w="1440"/>
            <w:vAlign w:val="center"/>
          </w:tcPr>
          <w:p>
            <w:r>
              <w:rPr>
                <w:rFonts w:ascii="Aptos" w:hAnsi="Aptos"/>
                <w:sz w:val="18"/>
              </w:rPr>
              <w:t>1.0P</w:t>
            </w:r>
          </w:p>
        </w:tc>
        <w:tc>
          <w:tcPr>
            <w:tcW w:type="dxa" w:w="1440"/>
            <w:vAlign w:val="center"/>
          </w:tcPr>
          <w:p>
            <w:r>
              <w:rPr>
                <w:rFonts w:ascii="Aptos" w:hAnsi="Aptos"/>
                <w:sz w:val="18"/>
              </w:rPr>
              <w:t>110</w:t>
            </w:r>
          </w:p>
        </w:tc>
        <w:tc>
          <w:tcPr>
            <w:tcW w:type="dxa" w:w="1440"/>
            <w:vAlign w:val="center"/>
          </w:tcPr>
          <w:p>
            <w:r>
              <w:rPr>
                <w:rFonts w:ascii="Aptos" w:hAnsi="Aptos"/>
                <w:sz w:val="18"/>
              </w:rPr>
              <w:t>84.414</w:t>
            </w:r>
          </w:p>
        </w:tc>
        <w:tc>
          <w:tcPr>
            <w:tcW w:type="dxa" w:w="1440"/>
            <w:vAlign w:val="center"/>
          </w:tcPr>
          <w:p>
            <w:r>
              <w:rPr>
                <w:rFonts w:ascii="Aptos" w:hAnsi="Aptos"/>
                <w:sz w:val="18"/>
              </w:rPr>
              <w:t>1.288</w:t>
            </w:r>
          </w:p>
        </w:tc>
        <w:tc>
          <w:tcPr>
            <w:tcW w:type="dxa" w:w="1440"/>
            <w:vAlign w:val="center"/>
          </w:tcPr>
          <w:p>
            <w:r>
              <w:rPr>
                <w:rFonts w:ascii="Aptos" w:hAnsi="Aptos"/>
                <w:sz w:val="18"/>
              </w:rPr>
              <w:t>3,096</w:t>
            </w:r>
          </w:p>
        </w:tc>
        <w:tc>
          <w:tcPr>
            <w:tcW w:type="dxa" w:w="1440"/>
            <w:vAlign w:val="center"/>
          </w:tcPr>
          <w:p>
            <w:r>
              <w:rPr>
                <w:rFonts w:ascii="Aptos" w:hAnsi="Aptos"/>
                <w:sz w:val="18"/>
              </w:rPr>
              <w:t>1,147</w:t>
            </w:r>
          </w:p>
        </w:tc>
        <w:tc>
          <w:tcPr>
            <w:tcW w:type="dxa" w:w="1440"/>
            <w:vAlign w:val="center"/>
          </w:tcPr>
          <w:p>
            <w:r>
              <w:rPr>
                <w:rFonts w:ascii="Aptos" w:hAnsi="Aptos"/>
                <w:sz w:val="18"/>
              </w:rPr>
              <w:t>1.83</w:t>
            </w:r>
          </w:p>
        </w:tc>
      </w:tr>
      <w:tr>
        <w:tc>
          <w:tcPr>
            <w:tcW w:type="dxa" w:w="1440"/>
            <w:vAlign w:val="center"/>
          </w:tcPr>
          <w:p>
            <w:r>
              <w:rPr>
                <w:rFonts w:ascii="Aptos" w:hAnsi="Aptos"/>
                <w:sz w:val="18"/>
              </w:rPr>
              <w:t>1.2P</w:t>
            </w:r>
          </w:p>
        </w:tc>
        <w:tc>
          <w:tcPr>
            <w:tcW w:type="dxa" w:w="1440"/>
            <w:vAlign w:val="center"/>
          </w:tcPr>
          <w:p>
            <w:r>
              <w:rPr>
                <w:rFonts w:ascii="Aptos" w:hAnsi="Aptos"/>
                <w:sz w:val="18"/>
              </w:rPr>
              <w:t>132</w:t>
            </w:r>
          </w:p>
        </w:tc>
        <w:tc>
          <w:tcPr>
            <w:tcW w:type="dxa" w:w="1440"/>
            <w:vAlign w:val="center"/>
          </w:tcPr>
          <w:p>
            <w:r>
              <w:rPr>
                <w:rFonts w:ascii="Aptos" w:hAnsi="Aptos"/>
                <w:sz w:val="18"/>
              </w:rPr>
              <w:t>105.928</w:t>
            </w:r>
          </w:p>
        </w:tc>
        <w:tc>
          <w:tcPr>
            <w:tcW w:type="dxa" w:w="1440"/>
            <w:vAlign w:val="center"/>
          </w:tcPr>
          <w:p>
            <w:r>
              <w:rPr>
                <w:rFonts w:ascii="Aptos" w:hAnsi="Aptos"/>
                <w:sz w:val="18"/>
              </w:rPr>
              <w:t>1.308</w:t>
            </w:r>
          </w:p>
        </w:tc>
        <w:tc>
          <w:tcPr>
            <w:tcW w:type="dxa" w:w="1440"/>
            <w:vAlign w:val="center"/>
          </w:tcPr>
          <w:p>
            <w:r>
              <w:rPr>
                <w:rFonts w:ascii="Aptos" w:hAnsi="Aptos"/>
                <w:sz w:val="18"/>
              </w:rPr>
              <w:t>5,064</w:t>
            </w:r>
          </w:p>
        </w:tc>
        <w:tc>
          <w:tcPr>
            <w:tcW w:type="dxa" w:w="1440"/>
            <w:vAlign w:val="center"/>
          </w:tcPr>
          <w:p>
            <w:r>
              <w:rPr>
                <w:rFonts w:ascii="Aptos" w:hAnsi="Aptos"/>
                <w:sz w:val="18"/>
              </w:rPr>
              <w:t>1,695</w:t>
            </w:r>
          </w:p>
        </w:tc>
        <w:tc>
          <w:tcPr>
            <w:tcW w:type="dxa" w:w="1440"/>
            <w:vAlign w:val="center"/>
          </w:tcPr>
          <w:p>
            <w:r>
              <w:rPr>
                <w:rFonts w:ascii="Aptos" w:hAnsi="Aptos"/>
                <w:sz w:val="18"/>
              </w:rPr>
              <w:t>1.86</w:t>
            </w:r>
          </w:p>
        </w:tc>
      </w:tr>
      <w:tr>
        <w:tc>
          <w:tcPr>
            <w:tcW w:type="dxa" w:w="1440"/>
            <w:vAlign w:val="center"/>
          </w:tcPr>
          <w:p>
            <w:r>
              <w:rPr>
                <w:rFonts w:ascii="Aptos" w:hAnsi="Aptos"/>
                <w:sz w:val="18"/>
              </w:rPr>
              <w:t>1.4P</w:t>
            </w:r>
          </w:p>
        </w:tc>
        <w:tc>
          <w:tcPr>
            <w:tcW w:type="dxa" w:w="1440"/>
            <w:vAlign w:val="center"/>
          </w:tcPr>
          <w:p>
            <w:r>
              <w:rPr>
                <w:rFonts w:ascii="Aptos" w:hAnsi="Aptos"/>
                <w:sz w:val="18"/>
              </w:rPr>
              <w:t>154</w:t>
            </w:r>
          </w:p>
        </w:tc>
        <w:tc>
          <w:tcPr>
            <w:tcW w:type="dxa" w:w="1440"/>
            <w:vAlign w:val="center"/>
          </w:tcPr>
          <w:p>
            <w:r>
              <w:rPr>
                <w:rFonts w:ascii="Aptos" w:hAnsi="Aptos"/>
                <w:sz w:val="18"/>
              </w:rPr>
              <w:t>127.516</w:t>
            </w:r>
          </w:p>
        </w:tc>
        <w:tc>
          <w:tcPr>
            <w:tcW w:type="dxa" w:w="1440"/>
            <w:vAlign w:val="center"/>
          </w:tcPr>
          <w:p>
            <w:r>
              <w:rPr>
                <w:rFonts w:ascii="Aptos" w:hAnsi="Aptos"/>
                <w:sz w:val="18"/>
              </w:rPr>
              <w:t>1.308</w:t>
            </w:r>
          </w:p>
        </w:tc>
        <w:tc>
          <w:tcPr>
            <w:tcW w:type="dxa" w:w="1440"/>
            <w:vAlign w:val="center"/>
          </w:tcPr>
          <w:p>
            <w:r>
              <w:rPr>
                <w:rFonts w:ascii="Aptos" w:hAnsi="Aptos"/>
                <w:sz w:val="18"/>
              </w:rPr>
              <w:t>7,230</w:t>
            </w:r>
          </w:p>
        </w:tc>
        <w:tc>
          <w:tcPr>
            <w:tcW w:type="dxa" w:w="1440"/>
            <w:vAlign w:val="center"/>
          </w:tcPr>
          <w:p>
            <w:r>
              <w:rPr>
                <w:rFonts w:ascii="Aptos" w:hAnsi="Aptos"/>
                <w:sz w:val="18"/>
              </w:rPr>
              <w:t>2,238</w:t>
            </w:r>
          </w:p>
        </w:tc>
        <w:tc>
          <w:tcPr>
            <w:tcW w:type="dxa" w:w="1440"/>
            <w:vAlign w:val="center"/>
          </w:tcPr>
          <w:p>
            <w:r>
              <w:rPr>
                <w:rFonts w:ascii="Aptos" w:hAnsi="Aptos"/>
                <w:sz w:val="18"/>
              </w:rPr>
              <w:t>1.86</w:t>
            </w:r>
          </w:p>
        </w:tc>
      </w:tr>
    </w:tbl>
    <w:p>
      <w:r>
        <w:t>Flooding increased from 202 m³ to 7,230 m³ as rainfall increased from 66 to 154 mm, an increase of about 35.8 times. In contrast, peak outfall discharge rose only from 1.174 to about 1.308 m³/s and then effectively plateaued. This divergence indicates that the drainage system reaches a conveyance-limited regime: additional runoff can no longer be passed through the outlet at the same rate and is instead stored or lost as flooding at nodes.</w:t>
      </w:r>
    </w:p>
    <w:p>
      <w:pPr>
        <w:jc w:val="center"/>
      </w:pPr>
      <w:r>
        <w:drawing>
          <wp:inline xmlns:a="http://schemas.openxmlformats.org/drawingml/2006/main" xmlns:pic="http://schemas.openxmlformats.org/drawingml/2006/picture">
            <wp:extent cx="6035040" cy="4099162"/>
            <wp:docPr id="2" name="Picture 2"/>
            <wp:cNvGraphicFramePr>
              <a:graphicFrameLocks noChangeAspect="1"/>
            </wp:cNvGraphicFramePr>
            <a:graphic>
              <a:graphicData uri="http://schemas.openxmlformats.org/drawingml/2006/picture">
                <pic:pic>
                  <pic:nvPicPr>
                    <pic:cNvPr id="0" name="01_rainfall_vs_flooding.png"/>
                    <pic:cNvPicPr/>
                  </pic:nvPicPr>
                  <pic:blipFill>
                    <a:blip r:embed="rId12"/>
                    <a:stretch>
                      <a:fillRect/>
                    </a:stretch>
                  </pic:blipFill>
                  <pic:spPr>
                    <a:xfrm>
                      <a:off x="0" y="0"/>
                      <a:ext cx="6035040" cy="4099162"/>
                    </a:xfrm>
                    <a:prstGeom prst="rect"/>
                  </pic:spPr>
                </pic:pic>
              </a:graphicData>
            </a:graphic>
          </wp:inline>
        </w:drawing>
      </w:r>
    </w:p>
    <w:p>
      <w:pPr>
        <w:jc w:val="center"/>
      </w:pPr>
      <w:r>
        <w:rPr>
          <w:i/>
          <w:sz w:val="18"/>
        </w:rPr>
        <w:t>Figure 2. Flooding volume versus rainfall forcing.</w:t>
      </w:r>
    </w:p>
    <w:p>
      <w:pPr>
        <w:jc w:val="center"/>
      </w:pPr>
      <w:r>
        <w:drawing>
          <wp:inline xmlns:a="http://schemas.openxmlformats.org/drawingml/2006/main" xmlns:pic="http://schemas.openxmlformats.org/drawingml/2006/picture">
            <wp:extent cx="6035040" cy="4101144"/>
            <wp:docPr id="3" name="Picture 3"/>
            <wp:cNvGraphicFramePr>
              <a:graphicFrameLocks noChangeAspect="1"/>
            </wp:cNvGraphicFramePr>
            <a:graphic>
              <a:graphicData uri="http://schemas.openxmlformats.org/drawingml/2006/picture">
                <pic:pic>
                  <pic:nvPicPr>
                    <pic:cNvPr id="0" name="02_rainfall_vs_peak_outfall.png"/>
                    <pic:cNvPicPr/>
                  </pic:nvPicPr>
                  <pic:blipFill>
                    <a:blip r:embed="rId13"/>
                    <a:stretch>
                      <a:fillRect/>
                    </a:stretch>
                  </pic:blipFill>
                  <pic:spPr>
                    <a:xfrm>
                      <a:off x="0" y="0"/>
                      <a:ext cx="6035040" cy="4101144"/>
                    </a:xfrm>
                    <a:prstGeom prst="rect"/>
                  </pic:spPr>
                </pic:pic>
              </a:graphicData>
            </a:graphic>
          </wp:inline>
        </w:drawing>
      </w:r>
    </w:p>
    <w:p>
      <w:pPr>
        <w:jc w:val="center"/>
      </w:pPr>
      <w:r>
        <w:rPr>
          <w:i/>
          <w:sz w:val="18"/>
        </w:rPr>
        <w:t>Figure 3. Peak outfall discharge versus rainfall forcing, showing approach to a capacity plateau.</w:t>
      </w:r>
    </w:p>
    <w:p>
      <w:pPr>
        <w:pStyle w:val="Heading2"/>
      </w:pPr>
      <w:r>
        <w:t>4.2 Urbanization sensitivity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vAlign w:val="center"/>
          </w:tcPr>
          <w:p>
            <w:r>
              <w:rPr>
                <w:rFonts w:ascii="Aptos" w:hAnsi="Aptos"/>
                <w:b/>
                <w:sz w:val="18"/>
              </w:rPr>
              <w:t>Case</w:t>
            </w:r>
          </w:p>
        </w:tc>
        <w:tc>
          <w:tcPr>
            <w:tcW w:type="dxa" w:w="1440"/>
            <w:shd w:fill="D9EAF7"/>
            <w:vAlign w:val="center"/>
          </w:tcPr>
          <w:p>
            <w:r>
              <w:rPr>
                <w:rFonts w:ascii="Aptos" w:hAnsi="Aptos"/>
                <w:b/>
                <w:sz w:val="18"/>
              </w:rPr>
              <w:t>Imperviousness shift</w:t>
              <w:br/>
              <w:t>(pp)</w:t>
            </w:r>
          </w:p>
        </w:tc>
        <w:tc>
          <w:tcPr>
            <w:tcW w:type="dxa" w:w="1440"/>
            <w:shd w:fill="D9EAF7"/>
            <w:vAlign w:val="center"/>
          </w:tcPr>
          <w:p>
            <w:r>
              <w:rPr>
                <w:rFonts w:ascii="Aptos" w:hAnsi="Aptos"/>
                <w:b/>
                <w:sz w:val="18"/>
              </w:rPr>
              <w:t>Runoff depth</w:t>
              <w:br/>
              <w:t>(mm)</w:t>
            </w:r>
          </w:p>
        </w:tc>
        <w:tc>
          <w:tcPr>
            <w:tcW w:type="dxa" w:w="1440"/>
            <w:shd w:fill="D9EAF7"/>
            <w:vAlign w:val="center"/>
          </w:tcPr>
          <w:p>
            <w:r>
              <w:rPr>
                <w:rFonts w:ascii="Aptos" w:hAnsi="Aptos"/>
                <w:b/>
                <w:sz w:val="18"/>
              </w:rPr>
              <w:t>Peak outfall</w:t>
              <w:br/>
              <w:t>(m³/s)</w:t>
            </w:r>
          </w:p>
        </w:tc>
        <w:tc>
          <w:tcPr>
            <w:tcW w:type="dxa" w:w="1440"/>
            <w:shd w:fill="D9EAF7"/>
            <w:vAlign w:val="center"/>
          </w:tcPr>
          <w:p>
            <w:r>
              <w:rPr>
                <w:rFonts w:ascii="Aptos" w:hAnsi="Aptos"/>
                <w:b/>
                <w:sz w:val="18"/>
              </w:rPr>
              <w:t>Flooding</w:t>
              <w:br/>
              <w:t>(m³)</w:t>
            </w:r>
          </w:p>
        </w:tc>
        <w:tc>
          <w:tcPr>
            <w:tcW w:type="dxa" w:w="1440"/>
            <w:shd w:fill="D9EAF7"/>
            <w:vAlign w:val="center"/>
          </w:tcPr>
          <w:p>
            <w:r>
              <w:rPr>
                <w:rFonts w:ascii="Aptos" w:hAnsi="Aptos"/>
                <w:b/>
                <w:sz w:val="18"/>
              </w:rPr>
              <w:t>J7 flooding</w:t>
              <w:br/>
              <w:t>(m³)</w:t>
            </w:r>
          </w:p>
        </w:tc>
        <w:tc>
          <w:tcPr>
            <w:tcW w:type="dxa" w:w="1440"/>
            <w:shd w:fill="D9EAF7"/>
            <w:vAlign w:val="center"/>
          </w:tcPr>
          <w:p>
            <w:r>
              <w:rPr>
                <w:rFonts w:ascii="Aptos" w:hAnsi="Aptos"/>
                <w:b/>
                <w:sz w:val="18"/>
              </w:rPr>
              <w:t>C5 Max/Full</w:t>
            </w:r>
          </w:p>
        </w:tc>
      </w:tr>
      <w:tr>
        <w:tc>
          <w:tcPr>
            <w:tcW w:type="dxa" w:w="1440"/>
            <w:vAlign w:val="center"/>
          </w:tcPr>
          <w:p>
            <w:r>
              <w:rPr>
                <w:rFonts w:ascii="Aptos" w:hAnsi="Aptos"/>
                <w:sz w:val="18"/>
              </w:rPr>
              <w:t>Baseline</w:t>
            </w:r>
          </w:p>
        </w:tc>
        <w:tc>
          <w:tcPr>
            <w:tcW w:type="dxa" w:w="1440"/>
            <w:vAlign w:val="center"/>
          </w:tcPr>
          <w:p>
            <w:r>
              <w:rPr>
                <w:rFonts w:ascii="Aptos" w:hAnsi="Aptos"/>
                <w:sz w:val="18"/>
              </w:rPr>
              <w:t>0</w:t>
            </w:r>
          </w:p>
        </w:tc>
        <w:tc>
          <w:tcPr>
            <w:tcW w:type="dxa" w:w="1440"/>
            <w:vAlign w:val="center"/>
          </w:tcPr>
          <w:p>
            <w:r>
              <w:rPr>
                <w:rFonts w:ascii="Aptos" w:hAnsi="Aptos"/>
                <w:sz w:val="18"/>
              </w:rPr>
              <w:t>42.574</w:t>
            </w:r>
          </w:p>
        </w:tc>
        <w:tc>
          <w:tcPr>
            <w:tcW w:type="dxa" w:w="1440"/>
            <w:vAlign w:val="center"/>
          </w:tcPr>
          <w:p>
            <w:r>
              <w:rPr>
                <w:rFonts w:ascii="Aptos" w:hAnsi="Aptos"/>
                <w:sz w:val="18"/>
              </w:rPr>
              <w:t>1.174</w:t>
            </w:r>
          </w:p>
        </w:tc>
        <w:tc>
          <w:tcPr>
            <w:tcW w:type="dxa" w:w="1440"/>
            <w:vAlign w:val="center"/>
          </w:tcPr>
          <w:p>
            <w:r>
              <w:rPr>
                <w:rFonts w:ascii="Aptos" w:hAnsi="Aptos"/>
                <w:sz w:val="18"/>
              </w:rPr>
              <w:t>202</w:t>
            </w:r>
          </w:p>
        </w:tc>
        <w:tc>
          <w:tcPr>
            <w:tcW w:type="dxa" w:w="1440"/>
            <w:vAlign w:val="center"/>
          </w:tcPr>
          <w:p>
            <w:r>
              <w:rPr>
                <w:rFonts w:ascii="Aptos" w:hAnsi="Aptos"/>
                <w:sz w:val="18"/>
              </w:rPr>
              <w:t>137</w:t>
            </w:r>
          </w:p>
        </w:tc>
        <w:tc>
          <w:tcPr>
            <w:tcW w:type="dxa" w:w="1440"/>
            <w:vAlign w:val="center"/>
          </w:tcPr>
          <w:p>
            <w:r>
              <w:rPr>
                <w:rFonts w:ascii="Aptos" w:hAnsi="Aptos"/>
                <w:sz w:val="18"/>
              </w:rPr>
              <w:t>1.67</w:t>
            </w:r>
          </w:p>
        </w:tc>
      </w:tr>
      <w:tr>
        <w:tc>
          <w:tcPr>
            <w:tcW w:type="dxa" w:w="1440"/>
            <w:vAlign w:val="center"/>
          </w:tcPr>
          <w:p>
            <w:r>
              <w:rPr>
                <w:rFonts w:ascii="Aptos" w:hAnsi="Aptos"/>
                <w:sz w:val="18"/>
              </w:rPr>
              <w:t>U2</w:t>
            </w:r>
          </w:p>
        </w:tc>
        <w:tc>
          <w:tcPr>
            <w:tcW w:type="dxa" w:w="1440"/>
            <w:vAlign w:val="center"/>
          </w:tcPr>
          <w:p>
            <w:r>
              <w:rPr>
                <w:rFonts w:ascii="Aptos" w:hAnsi="Aptos"/>
                <w:sz w:val="18"/>
              </w:rPr>
              <w:t>+15</w:t>
            </w:r>
          </w:p>
        </w:tc>
        <w:tc>
          <w:tcPr>
            <w:tcW w:type="dxa" w:w="1440"/>
            <w:vAlign w:val="center"/>
          </w:tcPr>
          <w:p>
            <w:r>
              <w:rPr>
                <w:rFonts w:ascii="Aptos" w:hAnsi="Aptos"/>
                <w:sz w:val="18"/>
              </w:rPr>
              <w:t>51.274</w:t>
            </w:r>
          </w:p>
        </w:tc>
        <w:tc>
          <w:tcPr>
            <w:tcW w:type="dxa" w:w="1440"/>
            <w:vAlign w:val="center"/>
          </w:tcPr>
          <w:p>
            <w:r>
              <w:rPr>
                <w:rFonts w:ascii="Aptos" w:hAnsi="Aptos"/>
                <w:sz w:val="18"/>
              </w:rPr>
              <w:t>1.229</w:t>
            </w:r>
          </w:p>
        </w:tc>
        <w:tc>
          <w:tcPr>
            <w:tcW w:type="dxa" w:w="1440"/>
            <w:vAlign w:val="center"/>
          </w:tcPr>
          <w:p>
            <w:r>
              <w:rPr>
                <w:rFonts w:ascii="Aptos" w:hAnsi="Aptos"/>
                <w:sz w:val="18"/>
              </w:rPr>
              <w:t>675</w:t>
            </w:r>
          </w:p>
        </w:tc>
        <w:tc>
          <w:tcPr>
            <w:tcW w:type="dxa" w:w="1440"/>
            <w:vAlign w:val="center"/>
          </w:tcPr>
          <w:p>
            <w:r>
              <w:rPr>
                <w:rFonts w:ascii="Aptos" w:hAnsi="Aptos"/>
                <w:sz w:val="18"/>
              </w:rPr>
              <w:t>352</w:t>
            </w:r>
          </w:p>
        </w:tc>
        <w:tc>
          <w:tcPr>
            <w:tcW w:type="dxa" w:w="1440"/>
            <w:vAlign w:val="center"/>
          </w:tcPr>
          <w:p>
            <w:r>
              <w:rPr>
                <w:rFonts w:ascii="Aptos" w:hAnsi="Aptos"/>
                <w:sz w:val="18"/>
              </w:rPr>
              <w:t>1.75</w:t>
            </w:r>
          </w:p>
        </w:tc>
      </w:tr>
      <w:tr>
        <w:tc>
          <w:tcPr>
            <w:tcW w:type="dxa" w:w="1440"/>
            <w:vAlign w:val="center"/>
          </w:tcPr>
          <w:p>
            <w:r>
              <w:rPr>
                <w:rFonts w:ascii="Aptos" w:hAnsi="Aptos"/>
                <w:sz w:val="18"/>
              </w:rPr>
              <w:t>U3</w:t>
            </w:r>
          </w:p>
        </w:tc>
        <w:tc>
          <w:tcPr>
            <w:tcW w:type="dxa" w:w="1440"/>
            <w:vAlign w:val="center"/>
          </w:tcPr>
          <w:p>
            <w:r>
              <w:rPr>
                <w:rFonts w:ascii="Aptos" w:hAnsi="Aptos"/>
                <w:sz w:val="18"/>
              </w:rPr>
              <w:t>+30</w:t>
            </w:r>
          </w:p>
        </w:tc>
        <w:tc>
          <w:tcPr>
            <w:tcW w:type="dxa" w:w="1440"/>
            <w:vAlign w:val="center"/>
          </w:tcPr>
          <w:p>
            <w:r>
              <w:rPr>
                <w:rFonts w:ascii="Aptos" w:hAnsi="Aptos"/>
                <w:sz w:val="18"/>
              </w:rPr>
              <w:t>59.565</w:t>
            </w:r>
          </w:p>
        </w:tc>
        <w:tc>
          <w:tcPr>
            <w:tcW w:type="dxa" w:w="1440"/>
            <w:vAlign w:val="center"/>
          </w:tcPr>
          <w:p>
            <w:r>
              <w:rPr>
                <w:rFonts w:ascii="Aptos" w:hAnsi="Aptos"/>
                <w:sz w:val="18"/>
              </w:rPr>
              <w:t>1.251</w:t>
            </w:r>
          </w:p>
        </w:tc>
        <w:tc>
          <w:tcPr>
            <w:tcW w:type="dxa" w:w="1440"/>
            <w:vAlign w:val="center"/>
          </w:tcPr>
          <w:p>
            <w:r>
              <w:rPr>
                <w:rFonts w:ascii="Aptos" w:hAnsi="Aptos"/>
                <w:sz w:val="18"/>
              </w:rPr>
              <w:t>1,255</w:t>
            </w:r>
          </w:p>
        </w:tc>
        <w:tc>
          <w:tcPr>
            <w:tcW w:type="dxa" w:w="1440"/>
            <w:vAlign w:val="center"/>
          </w:tcPr>
          <w:p>
            <w:r>
              <w:rPr>
                <w:rFonts w:ascii="Aptos" w:hAnsi="Aptos"/>
                <w:sz w:val="18"/>
              </w:rPr>
              <w:t>550</w:t>
            </w:r>
          </w:p>
        </w:tc>
        <w:tc>
          <w:tcPr>
            <w:tcW w:type="dxa" w:w="1440"/>
            <w:vAlign w:val="center"/>
          </w:tcPr>
          <w:p>
            <w:r>
              <w:rPr>
                <w:rFonts w:ascii="Aptos" w:hAnsi="Aptos"/>
                <w:sz w:val="18"/>
              </w:rPr>
              <w:t>1.78</w:t>
            </w:r>
          </w:p>
        </w:tc>
      </w:tr>
    </w:tbl>
    <w:p>
      <w:r>
        <w:t>A +30 percentage-point increase in imperviousness increased runoff depth from 42.574 to 59.565 mm (about 40%) but increased flooding from 202 to 1,255 m³ (about 6.2 times). The much larger percentage change in flooding than in runoff demonstrates the nonlinear response of a drainage network operating near hydraulic capacity.</w:t>
      </w:r>
    </w:p>
    <w:p>
      <w:pPr>
        <w:jc w:val="center"/>
      </w:pPr>
      <w:r>
        <w:drawing>
          <wp:inline xmlns:a="http://schemas.openxmlformats.org/drawingml/2006/main" xmlns:pic="http://schemas.openxmlformats.org/drawingml/2006/picture">
            <wp:extent cx="6035040" cy="4099162"/>
            <wp:docPr id="4" name="Picture 4"/>
            <wp:cNvGraphicFramePr>
              <a:graphicFrameLocks noChangeAspect="1"/>
            </wp:cNvGraphicFramePr>
            <a:graphic>
              <a:graphicData uri="http://schemas.openxmlformats.org/drawingml/2006/picture">
                <pic:pic>
                  <pic:nvPicPr>
                    <pic:cNvPr id="0" name="03_urbanization_vs_flooding.png"/>
                    <pic:cNvPicPr/>
                  </pic:nvPicPr>
                  <pic:blipFill>
                    <a:blip r:embed="rId14"/>
                    <a:stretch>
                      <a:fillRect/>
                    </a:stretch>
                  </pic:blipFill>
                  <pic:spPr>
                    <a:xfrm>
                      <a:off x="0" y="0"/>
                      <a:ext cx="6035040" cy="4099162"/>
                    </a:xfrm>
                    <a:prstGeom prst="rect"/>
                  </pic:spPr>
                </pic:pic>
              </a:graphicData>
            </a:graphic>
          </wp:inline>
        </w:drawing>
      </w:r>
    </w:p>
    <w:p>
      <w:pPr>
        <w:jc w:val="center"/>
      </w:pPr>
      <w:r>
        <w:rPr>
          <w:i/>
          <w:sz w:val="18"/>
        </w:rPr>
        <w:t>Figure 4. Flooding response to increased imperviousness.</w:t>
      </w:r>
    </w:p>
    <w:p>
      <w:pPr>
        <w:pStyle w:val="Heading2"/>
      </w:pPr>
      <w:r>
        <w:t>4.3 Critical-conduit capacity sensitivity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rPr>
                <w:rFonts w:ascii="Aptos" w:hAnsi="Aptos"/>
                <w:b/>
                <w:sz w:val="18"/>
              </w:rPr>
              <w:t>Case</w:t>
            </w:r>
          </w:p>
        </w:tc>
        <w:tc>
          <w:tcPr>
            <w:tcW w:type="dxa" w:w="2016"/>
            <w:shd w:fill="D9EAF7"/>
            <w:vAlign w:val="center"/>
          </w:tcPr>
          <w:p>
            <w:r>
              <w:rPr>
                <w:rFonts w:ascii="Aptos" w:hAnsi="Aptos"/>
                <w:b/>
                <w:sz w:val="18"/>
              </w:rPr>
              <w:t>C5 diameter (m)</w:t>
            </w:r>
          </w:p>
        </w:tc>
        <w:tc>
          <w:tcPr>
            <w:tcW w:type="dxa" w:w="2016"/>
            <w:shd w:fill="D9EAF7"/>
            <w:vAlign w:val="center"/>
          </w:tcPr>
          <w:p>
            <w:r>
              <w:rPr>
                <w:rFonts w:ascii="Aptos" w:hAnsi="Aptos"/>
                <w:b/>
                <w:sz w:val="18"/>
              </w:rPr>
              <w:t>Peak outfall (m³/s)</w:t>
            </w:r>
          </w:p>
        </w:tc>
        <w:tc>
          <w:tcPr>
            <w:tcW w:type="dxa" w:w="2016"/>
            <w:shd w:fill="D9EAF7"/>
            <w:vAlign w:val="center"/>
          </w:tcPr>
          <w:p>
            <w:r>
              <w:rPr>
                <w:rFonts w:ascii="Aptos" w:hAnsi="Aptos"/>
                <w:b/>
                <w:sz w:val="18"/>
              </w:rPr>
              <w:t>Flooding (m³)</w:t>
            </w:r>
          </w:p>
        </w:tc>
        <w:tc>
          <w:tcPr>
            <w:tcW w:type="dxa" w:w="2016"/>
            <w:shd w:fill="D9EAF7"/>
            <w:vAlign w:val="center"/>
          </w:tcPr>
          <w:p>
            <w:r>
              <w:rPr>
                <w:rFonts w:ascii="Aptos" w:hAnsi="Aptos"/>
                <w:b/>
                <w:sz w:val="18"/>
              </w:rPr>
              <w:t>C5 Max/Full</w:t>
            </w:r>
          </w:p>
        </w:tc>
      </w:tr>
      <w:tr>
        <w:tc>
          <w:tcPr>
            <w:tcW w:type="dxa" w:w="2016"/>
            <w:vAlign w:val="center"/>
          </w:tcPr>
          <w:p>
            <w:r>
              <w:rPr>
                <w:rFonts w:ascii="Aptos" w:hAnsi="Aptos"/>
                <w:sz w:val="18"/>
              </w:rPr>
              <w:t>Baseline</w:t>
            </w:r>
          </w:p>
        </w:tc>
        <w:tc>
          <w:tcPr>
            <w:tcW w:type="dxa" w:w="2016"/>
            <w:vAlign w:val="center"/>
          </w:tcPr>
          <w:p>
            <w:r>
              <w:rPr>
                <w:rFonts w:ascii="Aptos" w:hAnsi="Aptos"/>
                <w:sz w:val="18"/>
              </w:rPr>
              <w:t>0.75</w:t>
            </w:r>
          </w:p>
        </w:tc>
        <w:tc>
          <w:tcPr>
            <w:tcW w:type="dxa" w:w="2016"/>
            <w:vAlign w:val="center"/>
          </w:tcPr>
          <w:p>
            <w:r>
              <w:rPr>
                <w:rFonts w:ascii="Aptos" w:hAnsi="Aptos"/>
                <w:sz w:val="18"/>
              </w:rPr>
              <w:t>1.174</w:t>
            </w:r>
          </w:p>
        </w:tc>
        <w:tc>
          <w:tcPr>
            <w:tcW w:type="dxa" w:w="2016"/>
            <w:vAlign w:val="center"/>
          </w:tcPr>
          <w:p>
            <w:r>
              <w:rPr>
                <w:rFonts w:ascii="Aptos" w:hAnsi="Aptos"/>
                <w:sz w:val="18"/>
              </w:rPr>
              <w:t>202</w:t>
            </w:r>
          </w:p>
        </w:tc>
        <w:tc>
          <w:tcPr>
            <w:tcW w:type="dxa" w:w="2016"/>
            <w:vAlign w:val="center"/>
          </w:tcPr>
          <w:p>
            <w:r>
              <w:rPr>
                <w:rFonts w:ascii="Aptos" w:hAnsi="Aptos"/>
                <w:sz w:val="18"/>
              </w:rPr>
              <w:t>1.67</w:t>
            </w:r>
          </w:p>
        </w:tc>
      </w:tr>
      <w:tr>
        <w:tc>
          <w:tcPr>
            <w:tcW w:type="dxa" w:w="2016"/>
            <w:vAlign w:val="center"/>
          </w:tcPr>
          <w:p>
            <w:r>
              <w:rPr>
                <w:rFonts w:ascii="Aptos" w:hAnsi="Aptos"/>
                <w:sz w:val="18"/>
              </w:rPr>
              <w:t>P2</w:t>
            </w:r>
          </w:p>
        </w:tc>
        <w:tc>
          <w:tcPr>
            <w:tcW w:type="dxa" w:w="2016"/>
            <w:vAlign w:val="center"/>
          </w:tcPr>
          <w:p>
            <w:r>
              <w:rPr>
                <w:rFonts w:ascii="Aptos" w:hAnsi="Aptos"/>
                <w:sz w:val="18"/>
              </w:rPr>
              <w:t>0.90</w:t>
            </w:r>
          </w:p>
        </w:tc>
        <w:tc>
          <w:tcPr>
            <w:tcW w:type="dxa" w:w="2016"/>
            <w:vAlign w:val="center"/>
          </w:tcPr>
          <w:p>
            <w:r>
              <w:rPr>
                <w:rFonts w:ascii="Aptos" w:hAnsi="Aptos"/>
                <w:sz w:val="18"/>
              </w:rPr>
              <w:t>1.348</w:t>
            </w:r>
          </w:p>
        </w:tc>
        <w:tc>
          <w:tcPr>
            <w:tcW w:type="dxa" w:w="2016"/>
            <w:vAlign w:val="center"/>
          </w:tcPr>
          <w:p>
            <w:r>
              <w:rPr>
                <w:rFonts w:ascii="Aptos" w:hAnsi="Aptos"/>
                <w:sz w:val="18"/>
              </w:rPr>
              <w:t>17</w:t>
            </w:r>
          </w:p>
        </w:tc>
        <w:tc>
          <w:tcPr>
            <w:tcW w:type="dxa" w:w="2016"/>
            <w:vAlign w:val="center"/>
          </w:tcPr>
          <w:p>
            <w:r>
              <w:rPr>
                <w:rFonts w:ascii="Aptos" w:hAnsi="Aptos"/>
                <w:sz w:val="18"/>
              </w:rPr>
              <w:t>1.18</w:t>
            </w:r>
          </w:p>
        </w:tc>
      </w:tr>
      <w:tr>
        <w:tc>
          <w:tcPr>
            <w:tcW w:type="dxa" w:w="2016"/>
            <w:vAlign w:val="center"/>
          </w:tcPr>
          <w:p>
            <w:r>
              <w:rPr>
                <w:rFonts w:ascii="Aptos" w:hAnsi="Aptos"/>
                <w:sz w:val="18"/>
              </w:rPr>
              <w:t>P3</w:t>
            </w:r>
          </w:p>
        </w:tc>
        <w:tc>
          <w:tcPr>
            <w:tcW w:type="dxa" w:w="2016"/>
            <w:vAlign w:val="center"/>
          </w:tcPr>
          <w:p>
            <w:r>
              <w:rPr>
                <w:rFonts w:ascii="Aptos" w:hAnsi="Aptos"/>
                <w:sz w:val="18"/>
              </w:rPr>
              <w:t>1.05</w:t>
            </w:r>
          </w:p>
        </w:tc>
        <w:tc>
          <w:tcPr>
            <w:tcW w:type="dxa" w:w="2016"/>
            <w:vAlign w:val="center"/>
          </w:tcPr>
          <w:p>
            <w:r>
              <w:rPr>
                <w:rFonts w:ascii="Aptos" w:hAnsi="Aptos"/>
                <w:sz w:val="18"/>
              </w:rPr>
              <w:t>1.394</w:t>
            </w:r>
          </w:p>
        </w:tc>
        <w:tc>
          <w:tcPr>
            <w:tcW w:type="dxa" w:w="2016"/>
            <w:vAlign w:val="center"/>
          </w:tcPr>
          <w:p>
            <w:r>
              <w:rPr>
                <w:rFonts w:ascii="Aptos" w:hAnsi="Aptos"/>
                <w:sz w:val="18"/>
              </w:rPr>
              <w:t>5</w:t>
            </w:r>
          </w:p>
        </w:tc>
        <w:tc>
          <w:tcPr>
            <w:tcW w:type="dxa" w:w="2016"/>
            <w:vAlign w:val="center"/>
          </w:tcPr>
          <w:p>
            <w:r>
              <w:rPr>
                <w:rFonts w:ascii="Aptos" w:hAnsi="Aptos"/>
                <w:sz w:val="18"/>
              </w:rPr>
              <w:t>0.81</w:t>
            </w:r>
          </w:p>
        </w:tc>
      </w:tr>
    </w:tbl>
    <w:p>
      <w:r>
        <w:t>Increasing C5 from 0.75 m to 0.90 m reduced total flooding from 202 to 17 m³, corresponding to a 91.6% reduction. Increasing C5 further to 1.05 m reduced flooding to 5 m³ (97.5% reduction relative to baseline), but the incremental benefit beyond 0.90 m was much smaller. Because no economic analysis was performed, 0.90 m should be described as an effective hydraulic upgrade rather than a formally optimized diameter.</w:t>
      </w:r>
    </w:p>
    <w:p>
      <w:pPr>
        <w:jc w:val="center"/>
      </w:pPr>
      <w:r>
        <w:drawing>
          <wp:inline xmlns:a="http://schemas.openxmlformats.org/drawingml/2006/main" xmlns:pic="http://schemas.openxmlformats.org/drawingml/2006/picture">
            <wp:extent cx="6035040" cy="4099162"/>
            <wp:docPr id="5" name="Picture 5"/>
            <wp:cNvGraphicFramePr>
              <a:graphicFrameLocks noChangeAspect="1"/>
            </wp:cNvGraphicFramePr>
            <a:graphic>
              <a:graphicData uri="http://schemas.openxmlformats.org/drawingml/2006/picture">
                <pic:pic>
                  <pic:nvPicPr>
                    <pic:cNvPr id="0" name="04_c5_diameter_vs_flooding.png"/>
                    <pic:cNvPicPr/>
                  </pic:nvPicPr>
                  <pic:blipFill>
                    <a:blip r:embed="rId15"/>
                    <a:stretch>
                      <a:fillRect/>
                    </a:stretch>
                  </pic:blipFill>
                  <pic:spPr>
                    <a:xfrm>
                      <a:off x="0" y="0"/>
                      <a:ext cx="6035040" cy="4099162"/>
                    </a:xfrm>
                    <a:prstGeom prst="rect"/>
                  </pic:spPr>
                </pic:pic>
              </a:graphicData>
            </a:graphic>
          </wp:inline>
        </w:drawing>
      </w:r>
    </w:p>
    <w:p>
      <w:pPr>
        <w:jc w:val="center"/>
      </w:pPr>
      <w:r>
        <w:rPr>
          <w:i/>
          <w:sz w:val="18"/>
        </w:rPr>
        <w:t>Figure 5. Flooding reduction as C5 diameter increases.</w:t>
      </w:r>
    </w:p>
    <w:p>
      <w:pPr>
        <w:jc w:val="center"/>
      </w:pPr>
      <w:r>
        <w:drawing>
          <wp:inline xmlns:a="http://schemas.openxmlformats.org/drawingml/2006/main" xmlns:pic="http://schemas.openxmlformats.org/drawingml/2006/picture">
            <wp:extent cx="6035040" cy="4099162"/>
            <wp:docPr id="6" name="Picture 6"/>
            <wp:cNvGraphicFramePr>
              <a:graphicFrameLocks noChangeAspect="1"/>
            </wp:cNvGraphicFramePr>
            <a:graphic>
              <a:graphicData uri="http://schemas.openxmlformats.org/drawingml/2006/picture">
                <pic:pic>
                  <pic:nvPicPr>
                    <pic:cNvPr id="0" name="05_c5_diameter_vs_max_full.png"/>
                    <pic:cNvPicPr/>
                  </pic:nvPicPr>
                  <pic:blipFill>
                    <a:blip r:embed="rId16"/>
                    <a:stretch>
                      <a:fillRect/>
                    </a:stretch>
                  </pic:blipFill>
                  <pic:spPr>
                    <a:xfrm>
                      <a:off x="0" y="0"/>
                      <a:ext cx="6035040" cy="4099162"/>
                    </a:xfrm>
                    <a:prstGeom prst="rect"/>
                  </pic:spPr>
                </pic:pic>
              </a:graphicData>
            </a:graphic>
          </wp:inline>
        </w:drawing>
      </w:r>
    </w:p>
    <w:p>
      <w:pPr>
        <w:jc w:val="center"/>
      </w:pPr>
      <w:r>
        <w:rPr>
          <w:i/>
          <w:sz w:val="18"/>
        </w:rPr>
        <w:t>Figure 6. C5 maximum/full-flow indicator for the capacity scenarios.</w:t>
      </w:r>
    </w:p>
    <w:p>
      <w:pPr>
        <w:pStyle w:val="Heading1"/>
      </w:pPr>
      <w:r>
        <w:t>5. Numerical Checks and Interpretation</w:t>
      </w:r>
    </w:p>
    <w:p>
      <w:pPr>
        <w:pStyle w:val="Heading2"/>
      </w:pPr>
      <w:r>
        <w:t>5.1 Continuity and scenario consistency</w:t>
      </w:r>
    </w:p>
    <w:p>
      <w:r>
        <w:t>Across the scenario set, reported runoff continuity errors were approximately −0.007% to −0.009%, while routing continuity errors were approximately −0.10% to −0.25%. These small continuity errors support internal mass-balance consistency. The scenario responses were also physically consistent: rainfall and imperviousness increases raised runoff and flooding, whereas greater downstream conveyance capacity reduced flooding and increased outfall discharge.</w:t>
      </w:r>
    </w:p>
    <w:p>
      <w:r>
        <w:t>Some reports contained a non-negligible fraction of routing steps that did not fully converge. Therefore, the results are best treated as comparative sensitivity results rather than high-precision calibration outputs. The low continuity errors and smooth scenario trends nevertheless indicate that the model is suitable for the intended conceptual study.</w:t>
      </w:r>
    </w:p>
    <w:p>
      <w:pPr>
        <w:pStyle w:val="Heading2"/>
      </w:pPr>
      <w:r>
        <w:t>5.2 Consistency with SWMM theory and published applications</w:t>
      </w:r>
    </w:p>
    <w:p>
      <w:r>
        <w:t>EPA describes SWMM as a dynamic rainfall-runoff model for planning, analysis and design of urban drainage systems, with hydrologic runoff generation coupled to routing through pipes, channels and storage elements. The present use of Horton infiltration and Dynamic Wave routing is consistent with that intended application. Published SWMM studies also commonly report increased runoff and flood volumes with increasing imperviousness and rainfall forcing, and use conduit-capacity modification as a drainage-adaptation measure. The direction of the trends obtained here is therefore consistent with established SWMM applications, although this conceptual model has not been calibrated against field observations.</w:t>
      </w:r>
    </w:p>
    <w:p>
      <w:pPr>
        <w:pStyle w:val="Heading1"/>
      </w:pPr>
      <w:r>
        <w:t>6. Practical Engineering Applications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rFonts w:ascii="Aptos" w:hAnsi="Aptos"/>
                <w:b/>
                <w:sz w:val="18"/>
              </w:rPr>
              <w:t>Application</w:t>
            </w:r>
          </w:p>
        </w:tc>
        <w:tc>
          <w:tcPr>
            <w:tcW w:type="dxa" w:w="5040"/>
            <w:shd w:fill="D9EAF7"/>
            <w:vAlign w:val="center"/>
          </w:tcPr>
          <w:p>
            <w:r>
              <w:rPr>
                <w:rFonts w:ascii="Aptos" w:hAnsi="Aptos"/>
                <w:b/>
                <w:sz w:val="18"/>
              </w:rPr>
              <w:t>How this model supports it</w:t>
            </w:r>
          </w:p>
        </w:tc>
      </w:tr>
      <w:tr>
        <w:tc>
          <w:tcPr>
            <w:tcW w:type="dxa" w:w="5040"/>
            <w:vAlign w:val="center"/>
          </w:tcPr>
          <w:p>
            <w:r>
              <w:rPr>
                <w:rFonts w:ascii="Aptos" w:hAnsi="Aptos"/>
                <w:sz w:val="18"/>
              </w:rPr>
              <w:t>Drainage-capacity screening</w:t>
            </w:r>
          </w:p>
        </w:tc>
        <w:tc>
          <w:tcPr>
            <w:tcW w:type="dxa" w:w="5040"/>
            <w:vAlign w:val="center"/>
          </w:tcPr>
          <w:p>
            <w:r>
              <w:rPr>
                <w:rFonts w:ascii="Aptos" w:hAnsi="Aptos"/>
                <w:sz w:val="18"/>
              </w:rPr>
              <w:t>Identify conduits that become hydraulically limiting as rainfall intensity increases.</w:t>
            </w:r>
          </w:p>
        </w:tc>
      </w:tr>
      <w:tr>
        <w:tc>
          <w:tcPr>
            <w:tcW w:type="dxa" w:w="5040"/>
            <w:vAlign w:val="center"/>
          </w:tcPr>
          <w:p>
            <w:r>
              <w:rPr>
                <w:rFonts w:ascii="Aptos" w:hAnsi="Aptos"/>
                <w:sz w:val="18"/>
              </w:rPr>
              <w:t>Urbanization assessment</w:t>
            </w:r>
          </w:p>
        </w:tc>
        <w:tc>
          <w:tcPr>
            <w:tcW w:type="dxa" w:w="5040"/>
            <w:vAlign w:val="center"/>
          </w:tcPr>
          <w:p>
            <w:r>
              <w:rPr>
                <w:rFonts w:ascii="Aptos" w:hAnsi="Aptos"/>
                <w:sz w:val="18"/>
              </w:rPr>
              <w:t>Estimate how increasing impervious cover can shift a network from acceptable operation to surcharge and flooding.</w:t>
            </w:r>
          </w:p>
        </w:tc>
      </w:tr>
      <w:tr>
        <w:tc>
          <w:tcPr>
            <w:tcW w:type="dxa" w:w="5040"/>
            <w:vAlign w:val="center"/>
          </w:tcPr>
          <w:p>
            <w:r>
              <w:rPr>
                <w:rFonts w:ascii="Aptos" w:hAnsi="Aptos"/>
                <w:sz w:val="18"/>
              </w:rPr>
              <w:t>Climate/storm sensitivity</w:t>
            </w:r>
          </w:p>
        </w:tc>
        <w:tc>
          <w:tcPr>
            <w:tcW w:type="dxa" w:w="5040"/>
            <w:vAlign w:val="center"/>
          </w:tcPr>
          <w:p>
            <w:r>
              <w:rPr>
                <w:rFonts w:ascii="Aptos" w:hAnsi="Aptos"/>
                <w:sz w:val="18"/>
              </w:rPr>
              <w:t>Test how stronger design storms affect flood volume and critical nodes, without changing the physical network.</w:t>
            </w:r>
          </w:p>
        </w:tc>
      </w:tr>
      <w:tr>
        <w:tc>
          <w:tcPr>
            <w:tcW w:type="dxa" w:w="5040"/>
            <w:vAlign w:val="center"/>
          </w:tcPr>
          <w:p>
            <w:r>
              <w:rPr>
                <w:rFonts w:ascii="Aptos" w:hAnsi="Aptos"/>
                <w:sz w:val="18"/>
              </w:rPr>
              <w:t>Upgrade prioritization</w:t>
            </w:r>
          </w:p>
        </w:tc>
        <w:tc>
          <w:tcPr>
            <w:tcW w:type="dxa" w:w="5040"/>
            <w:vAlign w:val="center"/>
          </w:tcPr>
          <w:p>
            <w:r>
              <w:rPr>
                <w:rFonts w:ascii="Aptos" w:hAnsi="Aptos"/>
                <w:sz w:val="18"/>
              </w:rPr>
              <w:t>Compare targeted pipe enlargements and quantify the hydraulic benefit before considering detailed cost optimization.</w:t>
            </w:r>
          </w:p>
        </w:tc>
      </w:tr>
      <w:tr>
        <w:tc>
          <w:tcPr>
            <w:tcW w:type="dxa" w:w="5040"/>
            <w:vAlign w:val="center"/>
          </w:tcPr>
          <w:p>
            <w:r>
              <w:rPr>
                <w:rFonts w:ascii="Aptos" w:hAnsi="Aptos"/>
                <w:sz w:val="18"/>
              </w:rPr>
              <w:t>Green-gray planning</w:t>
            </w:r>
          </w:p>
        </w:tc>
        <w:tc>
          <w:tcPr>
            <w:tcW w:type="dxa" w:w="5040"/>
            <w:vAlign w:val="center"/>
          </w:tcPr>
          <w:p>
            <w:r>
              <w:rPr>
                <w:rFonts w:ascii="Aptos" w:hAnsi="Aptos"/>
                <w:sz w:val="18"/>
              </w:rPr>
              <w:t>The same model structure can be extended with SWMM LID controls to compare source-control measures with pipe-capacity upgrades.</w:t>
            </w:r>
          </w:p>
        </w:tc>
      </w:tr>
    </w:tbl>
    <w:p>
      <w:pPr>
        <w:pStyle w:val="Heading1"/>
      </w:pPr>
      <w:r>
        <w:t>7. Limitations and Recommended Extensions</w:t>
      </w:r>
    </w:p>
    <w:p>
      <w:pPr>
        <w:pStyle w:val="ListBullet"/>
      </w:pPr>
      <w:r>
        <w:t>The network geometry and rainfall pattern are conceptual; no real catchment GIS, survey, rainfall-gauge or flow-monitoring data were used.</w:t>
      </w:r>
    </w:p>
    <w:p>
      <w:pPr>
        <w:pStyle w:val="ListBullet"/>
      </w:pPr>
      <w:r>
        <w:t>The synthetic storm has no assigned return period, so the scenarios should not be described as 10-year, 50-year or 100-year events.</w:t>
      </w:r>
    </w:p>
    <w:p>
      <w:pPr>
        <w:pStyle w:val="ListBullet"/>
      </w:pPr>
      <w:r>
        <w:t>The model was not calibrated or independently validated against observed hydrographs, node depths or flood extents.</w:t>
      </w:r>
    </w:p>
    <w:p>
      <w:pPr>
        <w:pStyle w:val="ListBullet"/>
      </w:pPr>
      <w:r>
        <w:t>Pipe-upgrade scenarios were assessed hydraulically only; capital cost, constructability and downstream impacts were not optimized.</w:t>
      </w:r>
    </w:p>
    <w:p>
      <w:pPr>
        <w:pStyle w:val="ListBullet"/>
      </w:pPr>
      <w:r>
        <w:t>A future extension could add observed rainfall, calibrated subcatchment parameters, LID controls, spatially distributed land-use change, and cost-based multi-objective optimization.</w:t>
      </w:r>
    </w:p>
    <w:p>
      <w:pPr>
        <w:pStyle w:val="Heading1"/>
      </w:pPr>
      <w:r>
        <w:t>8. Conclusions</w:t>
      </w:r>
    </w:p>
    <w:p>
      <w:pPr>
        <w:pStyle w:val="ListNumber"/>
      </w:pPr>
      <w:r>
        <w:t>The modeled network exhibits a clear transition toward conveyance-limited behavior as rainfall increases: flood volume grows sharply while peak outfall discharge approaches ~1.31 m³/s.</w:t>
      </w:r>
    </w:p>
    <w:p>
      <w:pPr>
        <w:pStyle w:val="ListNumber"/>
      </w:pPr>
      <w:r>
        <w:t>Increasing imperviousness strongly increases flood risk. A +30 percentage-point imperviousness change increased modeled flooding from 202 to 1,255 m³ under the same storm.</w:t>
      </w:r>
    </w:p>
    <w:p>
      <w:pPr>
        <w:pStyle w:val="ListNumber"/>
      </w:pPr>
      <w:r>
        <w:t>Conduit C5 is the principal downstream hydraulic bottleneck in the baseline configuration. Increasing its diameter from 0.75 to 0.90 m reduced modeled flooding by 91.6%.</w:t>
      </w:r>
    </w:p>
    <w:p>
      <w:pPr>
        <w:pStyle w:val="ListNumber"/>
      </w:pPr>
      <w:r>
        <w:t>Further increasing C5 to 1.05 m produced additional hydraulic benefit but with diminishing flood-reduction gains relative to the 0.90 m upgrade.</w:t>
      </w:r>
    </w:p>
    <w:p>
      <w:pPr>
        <w:pStyle w:val="ListNumber"/>
      </w:pPr>
      <w:r>
        <w:t>The study demonstrates how SWMM can be used for structured sensitivity analysis of rainfall, urbanization and infrastructure capacity, while also highlighting the need for calibration before site-specific design decisions.</w:t>
      </w:r>
    </w:p>
    <w:p>
      <w:pPr>
        <w:pStyle w:val="Heading1"/>
      </w:pPr>
      <w:r>
        <w:t>9. References</w:t>
      </w:r>
    </w:p>
    <w:p>
      <w:r>
        <w:t>1. Rossman, L. A., and Simon, M. (2022). Storm Water Management Model User’s Manual Version 5.2. EPA-600/R-22/030, U.S. Environmental Protection Agency.</w:t>
      </w:r>
    </w:p>
    <w:p>
      <w:r>
        <w:t>2. Rossman, L. A., and Huber, W. C. (2016). Storm Water Management Model Reference Manual Volume I - Hydrology (Revised). EPA/600/R-15/162A, U.S. Environmental Protection Agency.</w:t>
      </w:r>
    </w:p>
    <w:p>
      <w:r>
        <w:t>3. Rossman, L. A. (2017). Storm Water Management Model Reference Manual Volume II - Hydraulics. EPA/600/R-17/111, U.S. Environmental Protection Agency.</w:t>
      </w:r>
    </w:p>
    <w:p>
      <w:r>
        <w:t>4. U.S. Environmental Protection Agency. Storm Water Management Model (SWMM): software, documentation and applications.</w:t>
      </w:r>
    </w:p>
    <w:p>
      <w:r>
        <w:t>5. Zhou, Q., Leng, G., Huang, M. (2019). Impacts of urbanization and climate change on urban flood volumes: importance of urban planning and drainage adaptation. Science of the Total Environment, 658, 24-33.</w:t>
      </w:r>
    </w:p>
    <w:p>
      <w:r>
        <w:t>6. Recent SWMM-based studies in rapidly urbanizing cities have similarly evaluated the effects of imperviousness, drainage capacity and green/gray infrastructure on runoff and flood mitigation; these are used here only for qualitative trend comparison, not direct validation.</w:t>
      </w:r>
    </w:p>
    <w:p>
      <w:pPr>
        <w:pStyle w:val="Heading1"/>
      </w:pPr>
      <w:r>
        <w:t>Appendix A. Scenario Continuity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rFonts w:ascii="Aptos" w:hAnsi="Aptos"/>
                <w:b/>
                <w:sz w:val="18"/>
              </w:rPr>
              <w:t>Scenario</w:t>
            </w:r>
          </w:p>
        </w:tc>
        <w:tc>
          <w:tcPr>
            <w:tcW w:type="dxa" w:w="3360"/>
            <w:shd w:fill="D9EAF7"/>
            <w:vAlign w:val="center"/>
          </w:tcPr>
          <w:p>
            <w:r>
              <w:rPr>
                <w:rFonts w:ascii="Aptos" w:hAnsi="Aptos"/>
                <w:b/>
                <w:sz w:val="18"/>
              </w:rPr>
              <w:t>Runoff continuity error (%)</w:t>
            </w:r>
          </w:p>
        </w:tc>
        <w:tc>
          <w:tcPr>
            <w:tcW w:type="dxa" w:w="3360"/>
            <w:shd w:fill="D9EAF7"/>
            <w:vAlign w:val="center"/>
          </w:tcPr>
          <w:p>
            <w:r>
              <w:rPr>
                <w:rFonts w:ascii="Aptos" w:hAnsi="Aptos"/>
                <w:b/>
                <w:sz w:val="18"/>
              </w:rPr>
              <w:t>Routing continuity error (%)</w:t>
            </w:r>
          </w:p>
        </w:tc>
      </w:tr>
      <w:tr>
        <w:tc>
          <w:tcPr>
            <w:tcW w:type="dxa" w:w="3360"/>
            <w:vAlign w:val="center"/>
          </w:tcPr>
          <w:p>
            <w:r>
              <w:rPr>
                <w:rFonts w:ascii="Aptos" w:hAnsi="Aptos"/>
                <w:sz w:val="18"/>
              </w:rPr>
              <w:t>0.6P baseline</w:t>
            </w:r>
          </w:p>
        </w:tc>
        <w:tc>
          <w:tcPr>
            <w:tcW w:type="dxa" w:w="3360"/>
            <w:vAlign w:val="center"/>
          </w:tcPr>
          <w:p>
            <w:r>
              <w:rPr>
                <w:rFonts w:ascii="Aptos" w:hAnsi="Aptos"/>
                <w:sz w:val="18"/>
              </w:rPr>
              <w:t>−0.007</w:t>
            </w:r>
          </w:p>
        </w:tc>
        <w:tc>
          <w:tcPr>
            <w:tcW w:type="dxa" w:w="3360"/>
            <w:vAlign w:val="center"/>
          </w:tcPr>
          <w:p>
            <w:r>
              <w:rPr>
                <w:rFonts w:ascii="Aptos" w:hAnsi="Aptos"/>
                <w:sz w:val="18"/>
              </w:rPr>
              <w:t>−0.208</w:t>
            </w:r>
          </w:p>
        </w:tc>
      </w:tr>
      <w:tr>
        <w:tc>
          <w:tcPr>
            <w:tcW w:type="dxa" w:w="3360"/>
            <w:vAlign w:val="center"/>
          </w:tcPr>
          <w:p>
            <w:r>
              <w:rPr>
                <w:rFonts w:ascii="Aptos" w:hAnsi="Aptos"/>
                <w:sz w:val="18"/>
              </w:rPr>
              <w:t>0.8P</w:t>
            </w:r>
          </w:p>
        </w:tc>
        <w:tc>
          <w:tcPr>
            <w:tcW w:type="dxa" w:w="3360"/>
            <w:vAlign w:val="center"/>
          </w:tcPr>
          <w:p>
            <w:r>
              <w:rPr>
                <w:rFonts w:ascii="Aptos" w:hAnsi="Aptos"/>
                <w:sz w:val="18"/>
              </w:rPr>
              <w:t>−0.008</w:t>
            </w:r>
          </w:p>
        </w:tc>
        <w:tc>
          <w:tcPr>
            <w:tcW w:type="dxa" w:w="3360"/>
            <w:vAlign w:val="center"/>
          </w:tcPr>
          <w:p>
            <w:r>
              <w:rPr>
                <w:rFonts w:ascii="Aptos" w:hAnsi="Aptos"/>
                <w:sz w:val="18"/>
              </w:rPr>
              <w:t>−0.230</w:t>
            </w:r>
          </w:p>
        </w:tc>
      </w:tr>
      <w:tr>
        <w:tc>
          <w:tcPr>
            <w:tcW w:type="dxa" w:w="3360"/>
            <w:vAlign w:val="center"/>
          </w:tcPr>
          <w:p>
            <w:r>
              <w:rPr>
                <w:rFonts w:ascii="Aptos" w:hAnsi="Aptos"/>
                <w:sz w:val="18"/>
              </w:rPr>
              <w:t>1.0P</w:t>
            </w:r>
          </w:p>
        </w:tc>
        <w:tc>
          <w:tcPr>
            <w:tcW w:type="dxa" w:w="3360"/>
            <w:vAlign w:val="center"/>
          </w:tcPr>
          <w:p>
            <w:r>
              <w:rPr>
                <w:rFonts w:ascii="Aptos" w:hAnsi="Aptos"/>
                <w:sz w:val="18"/>
              </w:rPr>
              <w:t>−0.008</w:t>
            </w:r>
          </w:p>
        </w:tc>
        <w:tc>
          <w:tcPr>
            <w:tcW w:type="dxa" w:w="3360"/>
            <w:vAlign w:val="center"/>
          </w:tcPr>
          <w:p>
            <w:r>
              <w:rPr>
                <w:rFonts w:ascii="Aptos" w:hAnsi="Aptos"/>
                <w:sz w:val="18"/>
              </w:rPr>
              <w:t>−0.192</w:t>
            </w:r>
          </w:p>
        </w:tc>
      </w:tr>
      <w:tr>
        <w:tc>
          <w:tcPr>
            <w:tcW w:type="dxa" w:w="3360"/>
            <w:vAlign w:val="center"/>
          </w:tcPr>
          <w:p>
            <w:r>
              <w:rPr>
                <w:rFonts w:ascii="Aptos" w:hAnsi="Aptos"/>
                <w:sz w:val="18"/>
              </w:rPr>
              <w:t>1.2P</w:t>
            </w:r>
          </w:p>
        </w:tc>
        <w:tc>
          <w:tcPr>
            <w:tcW w:type="dxa" w:w="3360"/>
            <w:vAlign w:val="center"/>
          </w:tcPr>
          <w:p>
            <w:r>
              <w:rPr>
                <w:rFonts w:ascii="Aptos" w:hAnsi="Aptos"/>
                <w:sz w:val="18"/>
              </w:rPr>
              <w:t>−0.009</w:t>
            </w:r>
          </w:p>
        </w:tc>
        <w:tc>
          <w:tcPr>
            <w:tcW w:type="dxa" w:w="3360"/>
            <w:vAlign w:val="center"/>
          </w:tcPr>
          <w:p>
            <w:r>
              <w:rPr>
                <w:rFonts w:ascii="Aptos" w:hAnsi="Aptos"/>
                <w:sz w:val="18"/>
              </w:rPr>
              <w:t>−0.116</w:t>
            </w:r>
          </w:p>
        </w:tc>
      </w:tr>
      <w:tr>
        <w:tc>
          <w:tcPr>
            <w:tcW w:type="dxa" w:w="3360"/>
            <w:vAlign w:val="center"/>
          </w:tcPr>
          <w:p>
            <w:r>
              <w:rPr>
                <w:rFonts w:ascii="Aptos" w:hAnsi="Aptos"/>
                <w:sz w:val="18"/>
              </w:rPr>
              <w:t>1.4P</w:t>
            </w:r>
          </w:p>
        </w:tc>
        <w:tc>
          <w:tcPr>
            <w:tcW w:type="dxa" w:w="3360"/>
            <w:vAlign w:val="center"/>
          </w:tcPr>
          <w:p>
            <w:r>
              <w:rPr>
                <w:rFonts w:ascii="Aptos" w:hAnsi="Aptos"/>
                <w:sz w:val="18"/>
              </w:rPr>
              <w:t>−0.009</w:t>
            </w:r>
          </w:p>
        </w:tc>
        <w:tc>
          <w:tcPr>
            <w:tcW w:type="dxa" w:w="3360"/>
            <w:vAlign w:val="center"/>
          </w:tcPr>
          <w:p>
            <w:r>
              <w:rPr>
                <w:rFonts w:ascii="Aptos" w:hAnsi="Aptos"/>
                <w:sz w:val="18"/>
              </w:rPr>
              <w:t>−0.120</w:t>
            </w:r>
          </w:p>
        </w:tc>
      </w:tr>
      <w:tr>
        <w:tc>
          <w:tcPr>
            <w:tcW w:type="dxa" w:w="3360"/>
            <w:vAlign w:val="center"/>
          </w:tcPr>
          <w:p>
            <w:r>
              <w:rPr>
                <w:rFonts w:ascii="Aptos" w:hAnsi="Aptos"/>
                <w:sz w:val="18"/>
              </w:rPr>
              <w:t>Imperv. +15 pp</w:t>
            </w:r>
          </w:p>
        </w:tc>
        <w:tc>
          <w:tcPr>
            <w:tcW w:type="dxa" w:w="3360"/>
            <w:vAlign w:val="center"/>
          </w:tcPr>
          <w:p>
            <w:r>
              <w:rPr>
                <w:rFonts w:ascii="Aptos" w:hAnsi="Aptos"/>
                <w:sz w:val="18"/>
              </w:rPr>
              <w:t>−0.008</w:t>
            </w:r>
          </w:p>
        </w:tc>
        <w:tc>
          <w:tcPr>
            <w:tcW w:type="dxa" w:w="3360"/>
            <w:vAlign w:val="center"/>
          </w:tcPr>
          <w:p>
            <w:r>
              <w:rPr>
                <w:rFonts w:ascii="Aptos" w:hAnsi="Aptos"/>
                <w:sz w:val="18"/>
              </w:rPr>
              <w:t>−0.234</w:t>
            </w:r>
          </w:p>
        </w:tc>
      </w:tr>
      <w:tr>
        <w:tc>
          <w:tcPr>
            <w:tcW w:type="dxa" w:w="3360"/>
            <w:vAlign w:val="center"/>
          </w:tcPr>
          <w:p>
            <w:r>
              <w:rPr>
                <w:rFonts w:ascii="Aptos" w:hAnsi="Aptos"/>
                <w:sz w:val="18"/>
              </w:rPr>
              <w:t>Imperv. +30 pp</w:t>
            </w:r>
          </w:p>
        </w:tc>
        <w:tc>
          <w:tcPr>
            <w:tcW w:type="dxa" w:w="3360"/>
            <w:vAlign w:val="center"/>
          </w:tcPr>
          <w:p>
            <w:r>
              <w:rPr>
                <w:rFonts w:ascii="Aptos" w:hAnsi="Aptos"/>
                <w:sz w:val="18"/>
              </w:rPr>
              <w:t>−0.008</w:t>
            </w:r>
          </w:p>
        </w:tc>
        <w:tc>
          <w:tcPr>
            <w:tcW w:type="dxa" w:w="3360"/>
            <w:vAlign w:val="center"/>
          </w:tcPr>
          <w:p>
            <w:r>
              <w:rPr>
                <w:rFonts w:ascii="Aptos" w:hAnsi="Aptos"/>
                <w:sz w:val="18"/>
              </w:rPr>
              <w:t>−0.251</w:t>
            </w:r>
          </w:p>
        </w:tc>
      </w:tr>
      <w:tr>
        <w:tc>
          <w:tcPr>
            <w:tcW w:type="dxa" w:w="3360"/>
            <w:vAlign w:val="center"/>
          </w:tcPr>
          <w:p>
            <w:r>
              <w:rPr>
                <w:rFonts w:ascii="Aptos" w:hAnsi="Aptos"/>
                <w:sz w:val="18"/>
              </w:rPr>
              <w:t>C5 = 0.90 m</w:t>
            </w:r>
          </w:p>
        </w:tc>
        <w:tc>
          <w:tcPr>
            <w:tcW w:type="dxa" w:w="3360"/>
            <w:vAlign w:val="center"/>
          </w:tcPr>
          <w:p>
            <w:r>
              <w:rPr>
                <w:rFonts w:ascii="Aptos" w:hAnsi="Aptos"/>
                <w:sz w:val="18"/>
              </w:rPr>
              <w:t>−0.007</w:t>
            </w:r>
          </w:p>
        </w:tc>
        <w:tc>
          <w:tcPr>
            <w:tcW w:type="dxa" w:w="3360"/>
            <w:vAlign w:val="center"/>
          </w:tcPr>
          <w:p>
            <w:r>
              <w:rPr>
                <w:rFonts w:ascii="Aptos" w:hAnsi="Aptos"/>
                <w:sz w:val="18"/>
              </w:rPr>
              <w:t>−0.150</w:t>
            </w:r>
          </w:p>
        </w:tc>
      </w:tr>
      <w:tr>
        <w:tc>
          <w:tcPr>
            <w:tcW w:type="dxa" w:w="3360"/>
            <w:vAlign w:val="center"/>
          </w:tcPr>
          <w:p>
            <w:r>
              <w:rPr>
                <w:rFonts w:ascii="Aptos" w:hAnsi="Aptos"/>
                <w:sz w:val="18"/>
              </w:rPr>
              <w:t>C5 = 1.05 m</w:t>
            </w:r>
          </w:p>
        </w:tc>
        <w:tc>
          <w:tcPr>
            <w:tcW w:type="dxa" w:w="3360"/>
            <w:vAlign w:val="center"/>
          </w:tcPr>
          <w:p>
            <w:r>
              <w:rPr>
                <w:rFonts w:ascii="Aptos" w:hAnsi="Aptos"/>
                <w:sz w:val="18"/>
              </w:rPr>
              <w:t>−0.007</w:t>
            </w:r>
          </w:p>
        </w:tc>
        <w:tc>
          <w:tcPr>
            <w:tcW w:type="dxa" w:w="3360"/>
            <w:vAlign w:val="center"/>
          </w:tcPr>
          <w:p>
            <w:r>
              <w:rPr>
                <w:rFonts w:ascii="Aptos" w:hAnsi="Aptos"/>
                <w:sz w:val="18"/>
              </w:rPr>
              <w:t>−0.103</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Urban Stormwater Drainage Modelling using EPA SWMM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Stormwater Drainage Network Modelling and Sensitivity Analysis using EPA SWMM</dc:title>
  <dc:subject>Technical project report</dc:subject>
  <dc:creator/>
  <cp:keywords>EPA SWMM, stormwater, urban drainage, flooding, sensitivity analysis</cp:keywords>
  <dc:description>generated by python-docx</dc:description>
  <cp:lastModifiedBy/>
  <cp:revision>1</cp:revision>
  <dcterms:created xsi:type="dcterms:W3CDTF">2013-12-23T23:15:00Z</dcterms:created>
  <dcterms:modified xsi:type="dcterms:W3CDTF">2013-12-23T23:15:00Z</dcterms:modified>
  <cp:category/>
</cp:coreProperties>
</file>