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D4E89"/>
          <w:sz w:val="40"/>
          <w:szCs w:val="40"/>
        </w:rPr>
        <w:t xml:space="preserve">ExoScan</w:t>
      </w:r>
    </w:p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 Physics-Validated, Uncertainty-Aware Pipeline for Detecting and Classifying Exoplanet Transit Signals in Noisy TESS Light Curves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Bharatiya Antariksh Hackathon 2026 — Problem Statement 7 — Methodology Report</w:t>
      </w:r>
    </w:p>
    <w:p>
      <w:pPr>
        <w:pStyle w:val="Heading1"/>
        <w:spacing w:after="100" w:before="200"/>
      </w:pPr>
      <w:r>
        <w:t xml:space="preserve">1. Problem Summary and Approach Overview</w:t>
      </w:r>
    </w:p>
    <w:p>
      <w:pPr>
        <w:spacing w:after="90" w:line="252"/>
      </w:pPr>
      <w:r>
        <w:rPr>
          <w:rFonts w:ascii="Arial" w:cs="Arial" w:eastAsia="Arial" w:hAnsi="Arial"/>
          <w:sz w:val="19"/>
          <w:szCs w:val="19"/>
        </w:rPr>
        <w:t xml:space="preserve">Transit photometry detects exoplanets by measuring the small periodic dimming of a star as a planet crosses its disk. In crowded fields, this signal is confounded by instrumental systematics, stellar blending, starspot variability, and eclipsing binaries — all of which can mimic a genuine transit. ExoScan combines a data-driven classification ensemble with explicit transit-physics validation across four stages: (1) raw TESS light curves are downloaded and detrended to remove instrumental systematics; (2) the cleaned signal is phase-folded and screened by a dual-model ensemble classifying each candidate into transit, eclipsing binary, blend, or noise; (3) a Box Least Squares (BLS) physics validator independently fits orbital period, duration, and depth, and cross-checks dip symmetry and depth-radius consistency; (4) Monte Carlo Dropout produces a calibrated confidence score with explicit uncertainty bounds, alongside a signal-to-noise significance level.</w:t>
      </w:r>
    </w:p>
    <w:p>
      <w:pPr>
        <w:pStyle w:val="Heading1"/>
        <w:spacing w:after="100" w:before="200"/>
      </w:pPr>
      <w:r>
        <w:t xml:space="preserve">2. Methodology</w:t>
      </w:r>
    </w:p>
    <w:p>
      <w:pPr>
        <w:pStyle w:val="Heading2"/>
        <w:spacing w:after="80" w:before="160"/>
      </w:pPr>
      <w:r>
        <w:t xml:space="preserve">2.1 Data Sources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Primary dataset: raw TESS light curves downloaded via the lightkurve API from the MAST archive (archive.stsci.edu/tess), drawn from a single high-cadence observation sector containing on the order of 20,000–30,000 individual stellar targets.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Curated training labels: the BAH-provided curated dataset of known exoplanets, false positives, and eclipsing binaries, used to supervise the classification ensemble.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Reference/validation set: NASA Kepler Cumulative KOI table, used as an independent source of confirmed planets with published orbital parameters for validating BLS parameter-estimation accuracy.</w:t>
      </w:r>
    </w:p>
    <w:p>
      <w:pPr>
        <w:pStyle w:val="Heading2"/>
        <w:spacing w:after="80" w:before="160"/>
      </w:pPr>
      <w:r>
        <w:t xml:space="preserve">2.2 Detrending</w:t>
      </w:r>
    </w:p>
    <w:p>
      <w:pPr>
        <w:spacing w:after="90" w:line="252"/>
      </w:pPr>
      <w:r>
        <w:rPr>
          <w:rFonts w:ascii="Arial" w:cs="Arial" w:eastAsia="Arial" w:hAnsi="Arial"/>
          <w:sz w:val="19"/>
          <w:szCs w:val="19"/>
        </w:rPr>
        <w:t xml:space="preserve">Raw TESS flux exhibits low-frequency, ramp-like systematics from spacecraft thermal drift and detector response — not astrophysical in origin. ExoScan applies Savitzky-Golay filtering (lightkurve’s flatten(), window length 401 cadences) to remove these trends while preserving short-duration transit dip shape, followed by 5-sigma outlier clipping for cosmic-ray hits. Savitzky-Golay was chosen over global polynomial detrending because its local sliding-window fit adapts to slow trend variation without flattening the transit signal itself.</w:t>
      </w:r>
    </w:p>
    <w:p>
      <w:pPr>
        <w:pStyle w:val="Heading2"/>
        <w:spacing w:after="80" w:before="160"/>
      </w:pPr>
      <w:r>
        <w:t xml:space="preserve">2.3 Periodicity Search and Phase Folding</w:t>
      </w:r>
    </w:p>
    <w:p>
      <w:pPr>
        <w:spacing w:after="90" w:line="252"/>
      </w:pPr>
      <w:r>
        <w:rPr>
          <w:rFonts w:ascii="Arial" w:cs="Arial" w:eastAsia="Arial" w:hAnsi="Arial"/>
          <w:sz w:val="19"/>
          <w:szCs w:val="19"/>
        </w:rPr>
        <w:t xml:space="preserve">Each detrended light curve is searched for periodic dips using Box Least Squares (BLS) (Kovács, Zucker &amp; Mazeh, 2002) via Astropy’s BoxLeastSquares class. BLS was chosen over Lomb-Scargle because its box-shaped kernel matches transit dip geometry — a sharp, flat-bottomed flux reduction — rather than assuming sinusoidal periodicity. The period at maximum BLS power is used to phase-fold the light curve, amplifying signal-to-noise before classification and parameter fitting.</w:t>
      </w:r>
    </w:p>
    <w:p>
      <w:pPr>
        <w:pStyle w:val="Heading2"/>
        <w:spacing w:after="80" w:before="160"/>
      </w:pPr>
      <w:r>
        <w:t xml:space="preserve">2.4 Classification Ensemble</w:t>
      </w:r>
    </w:p>
    <w:p>
      <w:pPr>
        <w:spacing w:after="90" w:line="252"/>
      </w:pPr>
      <w:r>
        <w:rPr>
          <w:rFonts w:ascii="Arial" w:cs="Arial" w:eastAsia="Arial" w:hAnsi="Arial"/>
          <w:sz w:val="19"/>
          <w:szCs w:val="19"/>
        </w:rPr>
        <w:t xml:space="preserve">Each phase-folded candidate is classified into transit, eclipsing binary, blend, or noise using a soft-voted ensemble: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XGBoost on engineered features: depth, duration, period, impact-parameter proxy, SNR, and dip symmetry score.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 1D CNN on the raw phase-folded flux sequence, learning dip-shape patterns not fully captured by hand-engineered features.</w:t>
      </w:r>
    </w:p>
    <w:p>
      <w:pPr>
        <w:spacing w:after="90" w:line="252"/>
      </w:pPr>
      <w:r>
        <w:rPr>
          <w:rFonts w:ascii="Arial" w:cs="Arial" w:eastAsia="Arial" w:hAnsi="Arial"/>
          <w:sz w:val="19"/>
          <w:szCs w:val="19"/>
        </w:rPr>
        <w:t xml:space="preserve">Class imbalance is addressed via SMOTE on the training set only; the two models’ class probabilities are averaged for the final prediction. The dual-model design combines XGBoost’s interpretable physical statistics with the CNN’s ability to recognize raw-shape patterns, reducing the risk of either model’s blind spots dominating the decision.</w:t>
      </w:r>
    </w:p>
    <w:p>
      <w:pPr>
        <w:pStyle w:val="Heading2"/>
        <w:spacing w:after="80" w:before="160"/>
      </w:pPr>
      <w:r>
        <w:t xml:space="preserve">2.5 Physics-Based Validation</w:t>
      </w:r>
    </w:p>
    <w:p>
      <w:pPr>
        <w:spacing w:after="90" w:line="252"/>
      </w:pPr>
      <w:r>
        <w:rPr>
          <w:rFonts w:ascii="Arial" w:cs="Arial" w:eastAsia="Arial" w:hAnsi="Arial"/>
          <w:sz w:val="19"/>
          <w:szCs w:val="19"/>
        </w:rPr>
        <w:t xml:space="preserve">A classification alone is insufficient evidence of a genuine transit. ExoScan applies four physical consistency checks to every candidate flagged as a transit or eclipsing binary: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Periodicity strength: BLS power at the best-fit period must exceed a minimum significance threshold.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Dip symmetry: a genuine transit produces a symmetric U-shaped dip; the folded dip’s two halves are compared directly.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U-shape vs. V-shape discrimination: eclipsing binaries typically produce a sharper V-shaped dip than a planetary transit's flatter U-shape, per the BAH mentor briefing; quantified via a flatness score.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Depth-radius consistency: fractional depth implies a planet-to-star radius ratio, checked against an upper physical bound (~20 Earth radii) using catalog stellar radius, flagging implausibly large “planets.”</w:t>
      </w:r>
    </w:p>
    <w:p>
      <w:pPr>
        <w:spacing w:after="90" w:line="252"/>
      </w:pPr>
      <w:r>
        <w:rPr>
          <w:rFonts w:ascii="Arial" w:cs="Arial" w:eastAsia="Arial" w:hAnsi="Arial"/>
          <w:sz w:val="19"/>
          <w:szCs w:val="19"/>
        </w:rPr>
        <w:t xml:space="preserve">A candidate is confirmed only if both the ensemble classifier and physics validator agree — this two-stage “AI + physics gate” is the primary mechanism reducing false positives relative to a classifier alone.</w:t>
      </w:r>
    </w:p>
    <w:p>
      <w:pPr>
        <w:pStyle w:val="Heading2"/>
        <w:spacing w:after="80" w:before="160"/>
      </w:pPr>
      <w:r>
        <w:t xml:space="preserve">2.6 Parameter Estimation</w:t>
      </w:r>
    </w:p>
    <w:p>
      <w:pPr>
        <w:spacing w:after="90" w:line="252"/>
      </w:pPr>
      <w:r>
        <w:rPr>
          <w:rFonts w:ascii="Arial" w:cs="Arial" w:eastAsia="Arial" w:hAnsi="Arial"/>
          <w:sz w:val="19"/>
          <w:szCs w:val="19"/>
        </w:rPr>
        <w:t xml:space="preserve">For every confirmed transit, ExoScan reports orbital period (days), transit duration (hours), and transit depth (ppm) directly from the BLS fit at the best-fit period. These are validated against published parameters of known confirmed exoplanets in the Kepler KOI reference set using mean absolute percentage error (MAPE), reported in Section 3.2.</w:t>
      </w:r>
    </w:p>
    <w:p>
      <w:pPr>
        <w:pStyle w:val="Heading2"/>
        <w:spacing w:after="80" w:before="160"/>
      </w:pPr>
      <w:r>
        <w:t xml:space="preserve">2.7 Confidence and Uncertainty Quantification</w:t>
      </w:r>
    </w:p>
    <w:p>
      <w:pPr>
        <w:spacing w:after="90" w:line="252"/>
      </w:pPr>
      <w:r>
        <w:rPr>
          <w:rFonts w:ascii="Arial" w:cs="Arial" w:eastAsia="Arial" w:hAnsi="Arial"/>
          <w:sz w:val="19"/>
          <w:szCs w:val="19"/>
        </w:rPr>
        <w:t xml:space="preserve">ExoScan reports calibrated confidence, not raw model probability. The XGBoost output is recalibrated via isotonic regression (CalibratedClassifierCV) so a reported 80% confidence corresponds to 80% empirical accuracy. The CNN runs 50 stochastic forward passes with dropout active at inference (Monte Carlo Dropout); the mean and standard deviation across passes yield confidence with an explicit uncertainty bound. MC Dropout was chosen over deep ensembles for compute efficiency — a single trained network approximates a predictive distribution. Each output reports confidence with ± uncertainty, alongside BLS-derived SNR as an independent significance measure.</w:t>
      </w:r>
    </w:p>
    <w:p>
      <w:pPr>
        <w:pStyle w:val="Heading2"/>
        <w:spacing w:after="80" w:before="160"/>
      </w:pPr>
      <w:r>
        <w:t xml:space="preserve">2.8 Explainability</w:t>
      </w:r>
    </w:p>
    <w:p>
      <w:pPr>
        <w:spacing w:after="90" w:line="252"/>
      </w:pPr>
      <w:r>
        <w:rPr>
          <w:rFonts w:ascii="Arial" w:cs="Arial" w:eastAsia="Arial" w:hAnsi="Arial"/>
          <w:sz w:val="19"/>
          <w:szCs w:val="19"/>
        </w:rPr>
        <w:t xml:space="preserve">SHAP values are computed for the XGBoost component, providing per-prediction feature attribution so flagged candidates can be manually reviewed with a transparent rationale rather than an unexplained model output.</w:t>
      </w:r>
    </w:p>
    <w:p>
      <w:pPr>
        <w:pStyle w:val="Heading1"/>
        <w:spacing w:after="100" w:before="200"/>
      </w:pPr>
      <w:r>
        <w:t xml:space="preserve">3. Results</w:t>
      </w:r>
    </w:p>
    <w:p>
      <w:pPr>
        <w:spacing w:after="90" w:line="252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Binary transit detection (XGBoost + 1D CNN on Kepler KOI validation set, n=1,053); 4-class TESS signal classification (Transit/EB/Blend/Noise, n=800 balanced).</w:t>
      </w:r>
    </w:p>
    <w:p>
      <w:pPr>
        <w:pStyle w:val="Heading2"/>
        <w:spacing w:after="80" w:before="160"/>
      </w:pPr>
      <w:r>
        <w:t xml:space="preserve">3.1 Detection and Classification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20"/>
        <w:gridCol w:w="1920"/>
        <w:gridCol w:w="192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Class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Precision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Recall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F1-Score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Transit (Planet Candidate)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0.43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0.58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0.50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Eclipsing Binary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0.97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Blend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0.50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0.58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0.54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Noise / No Signal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0.40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0.18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0.25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Macro Average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0.58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0.59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0.57</w:t>
            </w:r>
          </w:p>
        </w:tc>
      </w:tr>
    </w:tbl>
    <w:p>
      <w:pPr>
        <w:spacing w:after="140" w:before="120"/>
      </w:pPr>
      <w:r>
        <w:rPr>
          <w:rFonts w:ascii="Arial" w:cs="Arial" w:eastAsia="Arial" w:hAnsi="Arial"/>
          <w:sz w:val="19"/>
          <w:szCs w:val="19"/>
        </w:rPr>
        <w:t xml:space="preserve">Binary transit detection (Kepler validation, n=1,053): XGBoost F1=0.892, AUC=0.971, Precision=0.864, Recall=0.922; Ensemble F1=0.891, AUC=0.966. Physics gate independently rejects 55.5% of Kepler FALSE POSITIVE targets while approving 99.1% of CONFIRMED planets (n=7,316 evaluated, Cell [70]).</w:t>
      </w:r>
    </w:p>
    <w:p>
      <w:pPr>
        <w:pStyle w:val="Heading2"/>
        <w:spacing w:after="80" w:before="160"/>
      </w:pPr>
      <w:r>
        <w:t xml:space="preserve">3.2 Parameter Estimation Accuracy</w:t>
      </w:r>
    </w:p>
    <w:p>
      <w:pPr>
        <w:spacing w:after="90" w:line="252"/>
      </w:pPr>
      <w:r>
        <w:rPr>
          <w:rFonts w:ascii="Arial" w:cs="Arial" w:eastAsia="Arial" w:hAnsi="Arial"/>
          <w:sz w:val="20"/>
          <w:szCs w:val="20"/>
        </w:rPr>
        <w:t xml:space="preserve">Estimated orbital period, transit duration, and transit depth are validated against published values for known confirmed exoplanets in the Kepler KOI reference set, using mean absolute percentage error (MAPE):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Mean Absolute Percentage Error (MAPE)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Orbital Period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4.44%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Transit Duration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9.37%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Transit Depth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7.97%</w:t>
            </w:r>
          </w:p>
        </w:tc>
      </w:tr>
    </w:tbl>
    <w:p>
      <w:pPr>
        <w:pStyle w:val="Heading2"/>
        <w:spacing w:after="80" w:before="160"/>
      </w:pPr>
      <w:r>
        <w:t xml:space="preserve">3.3 Confidence Calibration</w:t>
      </w:r>
    </w:p>
    <w:p>
      <w:pPr>
        <w:spacing w:after="90" w:line="252"/>
      </w:pPr>
      <w:r>
        <w:rPr>
          <w:rFonts w:ascii="Arial" w:cs="Arial" w:eastAsia="Arial" w:hAnsi="Arial"/>
          <w:sz w:val="19"/>
          <w:szCs w:val="19"/>
        </w:rPr>
        <w:t xml:space="preserve">Reliability diagram analysis confirms the isotonic-calibrated XGBoost output tracks the perfect-calibration diagonal within 8.0 percentage points across confidence deciles. Monte Carlo Dropout uncertainty (standard deviation across 50 stochastic passes) is inversely correlated with classification accuracy, confirming that high-uncertainty predictions genuinely correspond to harder, less reliable cases rather than noise. The XGBoost model achieved a confidence of 0.9950 for a correctly-identified CONFIRMED planet (sample index 10, validation set), demonstrating the practical reliability of the calibrated output.</w:t>
      </w:r>
    </w:p>
    <w:p>
      <w:pPr>
        <w:pStyle w:val="Heading1"/>
        <w:spacing w:after="100" w:before="200"/>
      </w:pPr>
      <w:r>
        <w:t xml:space="preserve">4. Assumptions and Limitations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Single dominant transiting body per light curve is assumed; multi-planet disentangling is future 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Eclipsing-binary/blend examples come from the BAH curated dataset where available; limited representation is flagged in per-class reporting (3.1), not masked by aggregate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Depth-radius check assumes near-central transit; grazing transits may be conservatively flagged — a deliberate precision-over-recall choice given the cost of false confirmation.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Stellar radius values are drawn from catalog entries (TIC / Kepler stellar parameters) and inherit their measurement uncertainty.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Validated on a single TESS sector; cross-sector generalization is a priority for the Grand Finale phase.</w:t>
      </w:r>
    </w:p>
    <w:p>
      <w:pPr>
        <w:pStyle w:val="Heading1"/>
        <w:spacing w:after="100" w:before="200"/>
      </w:pPr>
      <w:r>
        <w:t xml:space="preserve">5. Tools and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Tool / Library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Lightkurve / Astropy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TESS download (MAST), detrending, phase folding, BLS fitting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XGBoost / PyTorch / Scikit-learn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Classifier ensemble, SMOTE, isotonic calibration, evaluation metrics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SHAP / NumPy / Pandas / Matplotlib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Feature attribution, numerical computation, visualization</w:t>
            </w:r>
          </w:p>
        </w:tc>
      </w:tr>
    </w:tbl>
    <w:p>
      <w:pPr>
        <w:pStyle w:val="Heading1"/>
        <w:spacing w:after="100" w:before="200"/>
      </w:pPr>
      <w:r>
        <w:t xml:space="preserve">6. References</w:t>
      </w:r>
    </w:p>
    <w:p>
      <w:pPr>
        <w:spacing w:after="0"/>
      </w:pPr>
      <w:r>
        <w:rPr>
          <w:rFonts w:ascii="Arial" w:cs="Arial" w:eastAsia="Arial" w:hAnsi="Arial"/>
          <w:sz w:val="16"/>
          <w:szCs w:val="16"/>
        </w:rPr>
        <w:t xml:space="preserve">[1] Shallue &amp; Vanderburg (2018). Identifying Exoplanets with Deep Learning. AJ, 155(2), 94. — [2] Kovács, Zucker &amp; Mazeh (2002). A box-fitting algorithm in the search for periodic transits. A&amp;A, 391(1), 369–377. — [3] Ricker et al. (2015). Transiting Exoplanet Survey Satellite (TESS). JATIS, 1(1), 014003. — [4] Lundberg &amp; Lee (2017). A Unified Approach to Interpreting Model Predictions. NeurIPS 30. — [5] NASA Exoplanet Archive, Caltech. https://exoplanetarchive.ipac.caltech.edu</w:t>
      </w:r>
    </w:p>
    <w:sectPr>
      <w:headerReference w:type="default" r:id="rId7"/>
      <w:footerReference w:type="default" r:id="rId8"/>
      <w:pgSz w:w="12240" w:h="15840" w:orient="portrait"/>
      <w:pgMar w:top="72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ExoScan — BAH 2026</w:t>
    </w:r>
    <w:r>
      <w:rPr>
        <w:rFonts w:ascii="Arial" w:cs="Arial" w:eastAsia="Arial" w:hAnsi="Arial"/>
        <w:color w:val="888888"/>
        <w:sz w:val="16"/>
        <w:szCs w:val="16"/>
      </w:rPr>
      <w:t xml:space="preserve">	Problem Statement 7: AI-Enabled Exoplanet Detection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89" w:sz="6" w:space="4"/>
      </w:pBdr>
      <w:spacing w:after="50" w:before="100"/>
      <w:outlineLvl w:val="0"/>
    </w:pPr>
    <w:rPr>
      <w:rFonts w:ascii="Arial" w:cs="Arial" w:eastAsia="Arial" w:hAnsi="Arial"/>
      <w:b/>
      <w:bCs/>
      <w:color w:val="1D4E89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40" w:before="80"/>
      <w:outlineLvl w:val="1"/>
    </w:pPr>
    <w:rPr>
      <w:rFonts w:ascii="Arial" w:cs="Arial" w:eastAsia="Arial" w:hAnsi="Arial"/>
      <w:b/>
      <w:bCs/>
      <w:color w:val="0A7A5C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2026-07-02T04:56:26.044Z</dcterms:created>
  <dcterms:modified xsi:type="dcterms:W3CDTF">2026-07-02T04:56:26.056Z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