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Times New Roman" w:cs="Times New Roman" w:eastAsia="Times New Roman" w:hAnsi="Times New Roman"/>
        </w:rPr>
      </w:pPr>
      <w:bookmarkStart w:colFirst="0" w:colLast="0" w:name="_e2zr3xmtvl5v" w:id="0"/>
      <w:bookmarkEnd w:id="0"/>
      <w:r w:rsidDel="00000000" w:rsidR="00000000" w:rsidRPr="00000000">
        <w:rPr>
          <w:rFonts w:ascii="Times New Roman" w:cs="Times New Roman" w:eastAsia="Times New Roman" w:hAnsi="Times New Roman"/>
          <w:rtl w:val="0"/>
        </w:rPr>
        <w:t xml:space="preserve">Application of Decision Tree Algorithm to study the provision of healthcare services in India: Case Study across Eight States</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1"/>
        <w:jc w:val="both"/>
        <w:rPr>
          <w:rFonts w:ascii="Times New Roman" w:cs="Times New Roman" w:eastAsia="Times New Roman" w:hAnsi="Times New Roman"/>
        </w:rPr>
      </w:pPr>
      <w:bookmarkStart w:colFirst="0" w:colLast="0" w:name="_cy8x9vnwdlf2"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focuses on identifying variables for decision tree regression to study the healthcare of any region and find the degree of impact each variable has on selected parameters. MMR was selected as the healthcare indicator of any region. Other parameters include - IMR, literacy rate, PHC, PNC, health expenditure, etc. Decision trees were also used to study the substitutability of parameters like institutional deliveries and skilled home deliveries. Districts with poor performance in any parameter can offset its impact by performing better in other parameters. </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Keywords: Decision Tree, Linear Regression, Anemia, MMR, IMR</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1"/>
        <w:jc w:val="both"/>
        <w:rPr>
          <w:rFonts w:ascii="Times New Roman" w:cs="Times New Roman" w:eastAsia="Times New Roman" w:hAnsi="Times New Roman"/>
        </w:rPr>
      </w:pPr>
      <w:bookmarkStart w:colFirst="0" w:colLast="0" w:name="_esgdjedcq6f4"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any nation, its healthcare sector is of utmost importance, even more so for developing countries like India. However, looking at the past and current scenario, inadequacies in India’s public health sector become evident. Being the second most populous nation in the world, India faces a plethora of challenges when it comes to the provision of healthcare. Various schemes and policies have been announced and implemented over the years, but none have produced the required results to tackle these challenges. Moreover, the inequality in the services availed by the poor and the rich has been ever increasing. The recent trends indicate that in the presence of good public healthcare, people of rural and urban areas will choose it over expensive private healthcare. </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 initiated the Universal Health Coverage (UHC) in the 12th Five Year Plan (2012-17) based on the recommendations of the High-Level Expert Group (HLEG). The policy ensures ‘equitable access for all Indian citizens’. It requires the provision of accessible necessary services for the population without imposing any unaffordable burden on individuals or households. Traditionally, Indian healthcare system is referred to as a mixed system where government and individuals share the burden of healthcare costs. However, the investment of the government for public provisioning of healthcare and finance social insurance in India has been extremely limited. Hence, Out-of-Pocket (OOP) expenditure by individuals is a major part of health finance.</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 has often been one of the worst nations when it comes to maternal health. Maternal health is seen as the defining parameter of healthcare for any nation. A developing nation like India needs to ensure that its maternal health status is at par with the developed nations. In order to do that, it must be ensured that women are provided with adequate care. (Balarajan et al., 2011; Reddy et al., 2011)</w:t>
      </w:r>
    </w:p>
    <w:p w:rsidR="00000000" w:rsidDel="00000000" w:rsidP="00000000" w:rsidRDefault="00000000" w:rsidRPr="00000000" w14:paraId="0000000D">
      <w:pPr>
        <w:pStyle w:val="Heading1"/>
        <w:jc w:val="both"/>
        <w:rPr>
          <w:rFonts w:ascii="Times New Roman" w:cs="Times New Roman" w:eastAsia="Times New Roman" w:hAnsi="Times New Roman"/>
          <w:sz w:val="22"/>
          <w:szCs w:val="22"/>
        </w:rPr>
      </w:pPr>
      <w:bookmarkStart w:colFirst="0" w:colLast="0" w:name="_bo8jqu9zvi1w" w:id="3"/>
      <w:bookmarkEnd w:id="3"/>
      <w:r w:rsidDel="00000000" w:rsidR="00000000" w:rsidRPr="00000000">
        <w:rPr>
          <w:rFonts w:ascii="Times New Roman" w:cs="Times New Roman" w:eastAsia="Times New Roman" w:hAnsi="Times New Roman"/>
          <w:rtl w:val="0"/>
        </w:rPr>
        <w:t xml:space="preserve">Objectives:</w:t>
      </w:r>
      <w:r w:rsidDel="00000000" w:rsidR="00000000" w:rsidRPr="00000000">
        <w:rPr>
          <w:rtl w:val="0"/>
        </w:rPr>
      </w:r>
    </w:p>
    <w:p w:rsidR="00000000" w:rsidDel="00000000" w:rsidP="00000000" w:rsidRDefault="00000000" w:rsidRPr="00000000" w14:paraId="0000000E">
      <w:pPr>
        <w:pStyle w:val="Heading1"/>
        <w:jc w:val="both"/>
        <w:rPr>
          <w:rFonts w:ascii="Times New Roman" w:cs="Times New Roman" w:eastAsia="Times New Roman" w:hAnsi="Times New Roman"/>
        </w:rPr>
      </w:pPr>
      <w:bookmarkStart w:colFirst="0" w:colLast="0" w:name="_wgodegmmddva" w:id="4"/>
      <w:bookmarkEnd w:id="4"/>
      <w:r w:rsidDel="00000000" w:rsidR="00000000" w:rsidRPr="00000000">
        <w:rPr>
          <w:rtl w:val="0"/>
        </w:rPr>
      </w:r>
    </w:p>
    <w:p w:rsidR="00000000" w:rsidDel="00000000" w:rsidP="00000000" w:rsidRDefault="00000000" w:rsidRPr="00000000" w14:paraId="0000000F">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Identification of the parameters appropriate for studying India’s healthcare system.</w:t>
      </w:r>
    </w:p>
    <w:p w:rsidR="00000000" w:rsidDel="00000000" w:rsidP="00000000" w:rsidRDefault="00000000" w:rsidRPr="00000000" w14:paraId="00000010">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of various statistical tools including Linear Regression and Decision Tree Regression to assess the degree of impact of various factors on India’s healthcare.</w:t>
      </w:r>
    </w:p>
    <w:p w:rsidR="00000000" w:rsidDel="00000000" w:rsidP="00000000" w:rsidRDefault="00000000" w:rsidRPr="00000000" w14:paraId="00000011">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studies factors affecting MMR across eight states of India and shows that, irrespective of any or plural factor inefficiencies, other factors can collectively compensate and provide good results.</w:t>
      </w:r>
    </w:p>
    <w:p w:rsidR="00000000" w:rsidDel="00000000" w:rsidP="00000000" w:rsidRDefault="00000000" w:rsidRPr="00000000" w14:paraId="00000012">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identifies the relation between MMR and IMR. </w:t>
      </w:r>
    </w:p>
    <w:p w:rsidR="00000000" w:rsidDel="00000000" w:rsidP="00000000" w:rsidRDefault="00000000" w:rsidRPr="00000000" w14:paraId="00000013">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analyzes impacts of low haemoglobin levels in pregnant women.</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1"/>
        <w:jc w:val="both"/>
        <w:rPr>
          <w:rFonts w:ascii="Times New Roman" w:cs="Times New Roman" w:eastAsia="Times New Roman" w:hAnsi="Times New Roman"/>
        </w:rPr>
      </w:pPr>
      <w:bookmarkStart w:colFirst="0" w:colLast="0" w:name="_b8p7dslq7nza" w:id="5"/>
      <w:bookmarkEnd w:id="5"/>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of delivering health care services in public sector, primary and community health centres in North India </w:t>
      </w:r>
      <w:r w:rsidDel="00000000" w:rsidR="00000000" w:rsidRPr="00000000">
        <w:rPr>
          <w:rFonts w:ascii="Times New Roman" w:cs="Times New Roman" w:eastAsia="Times New Roman" w:hAnsi="Times New Roman"/>
          <w:vertAlign w:val="baseline"/>
          <w:rtl w:val="0"/>
        </w:rPr>
        <w:t xml:space="preserve">(Prinja et al., 2016)</w:t>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analyzes the cost of providing universal health care in India. The authors select three Indian states to study their primary and community health centres to find the cost of providing health care. The study found that health care delivery costs get drastically reduced if Govt. sector, PHCs and CHCs are given prime responsibility. </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Inter-State Disparities in Health Care and Financial Burden on the Poor in India </w:t>
      </w:r>
      <w:r w:rsidDel="00000000" w:rsidR="00000000" w:rsidRPr="00000000">
        <w:rPr>
          <w:rFonts w:ascii="Times New Roman" w:cs="Times New Roman" w:eastAsia="Times New Roman" w:hAnsi="Times New Roman"/>
          <w:vertAlign w:val="baseline"/>
          <w:rtl w:val="0"/>
        </w:rPr>
        <w:t xml:space="preserve">(Purohit, 2004)</w:t>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aims to highlight the inter-state disparities in health care and how expenditure and policies affect a state’s health. This paper uses secondary data of over 15 major states. The study finds that the inequity in healthcare has increased over the years, and even though the urban regions are well equipped, the rural poor still remains untreated.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Inequity in hospitalization care: a study on utilization of healthcare services in West Bengal, India </w:t>
      </w:r>
      <w:r w:rsidDel="00000000" w:rsidR="00000000" w:rsidRPr="00000000">
        <w:rPr>
          <w:rFonts w:ascii="Times New Roman" w:cs="Times New Roman" w:eastAsia="Times New Roman" w:hAnsi="Times New Roman"/>
          <w:vertAlign w:val="baseline"/>
          <w:rtl w:val="0"/>
        </w:rPr>
        <w:t xml:space="preserve">(Bose &amp; Dutta, 2015)</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focuses on the nature of in-patient care for different groups and the impact of subsidies. A benefit incidence analysis found that even though the public hospitals were extensively used, services like tests, medicines etc. could only be obtained from other expensive sources. Also, subsidies more often benefit the more well-off section of society. The out of pocket expenditure has been on the rise since independence, which has further increased inequity. The paper recommends for better provision of complementary services, in addition to the hospitalization to limit the OOP expense.</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Utilization of the services of the primary health centres in India – An Empirical Study </w:t>
      </w:r>
      <w:r w:rsidDel="00000000" w:rsidR="00000000" w:rsidRPr="00000000">
        <w:rPr>
          <w:rFonts w:ascii="Times New Roman" w:cs="Times New Roman" w:eastAsia="Times New Roman" w:hAnsi="Times New Roman"/>
          <w:vertAlign w:val="baseline"/>
          <w:rtl w:val="0"/>
        </w:rPr>
        <w:t xml:space="preserve">(Dar, 2015)</w:t>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tries to find utility of the public health centres. The study was a cross-sectional research and focused on primary health centres. The study found that people in rural areas opt for PHCs over the private institutions whenever they can and a significant portion of the patients are satisfied with the treatment. The problem arises when the PHCs are ill-equipped, then people have to go the urban centres for better services. The study found that the PHCs receive only 22% of the required medicine supplies. Also, most of the centres close after 4pm and as a result during emergencies people have to go for more expensive alternatives available to them.</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of health care in India: Challenges, Priorities, and the road ahead </w:t>
      </w:r>
      <w:r w:rsidDel="00000000" w:rsidR="00000000" w:rsidRPr="00000000">
        <w:rPr>
          <w:rFonts w:ascii="Times New Roman" w:cs="Times New Roman" w:eastAsia="Times New Roman" w:hAnsi="Times New Roman"/>
          <w:vertAlign w:val="baseline"/>
          <w:rtl w:val="0"/>
        </w:rPr>
        <w:t xml:space="preserve">(Mohanan et al., 2016)</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finds that simply setting up health centres is in itself not enough, focus must be on improving the quality of infrastructure and services provided. The authors advocate for data driven policies with equal efforts from state and central governments. </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affordable is childbearing in India? An evaluation of maternal healthcare expenditures </w:t>
      </w:r>
      <w:r w:rsidDel="00000000" w:rsidR="00000000" w:rsidRPr="00000000">
        <w:rPr>
          <w:rFonts w:ascii="Times New Roman" w:cs="Times New Roman" w:eastAsia="Times New Roman" w:hAnsi="Times New Roman"/>
          <w:vertAlign w:val="baseline"/>
          <w:rtl w:val="0"/>
        </w:rPr>
        <w:t xml:space="preserve">(Singh et al., 2016)</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studies the increasing cost of delivery care services faced by women. The NSSO data was used for the study. Various government schemes to ensure cheap and efficient healthcare for pregnant women were also analyzed. The study found that private hospitals often charge as high as nine times more than public hospitals. High charges are the primary reasons preventing women from seeking extensive ANC and PNC. The situation varies for every state. The findings of this paper can help study the effects of various socio-economic factors.</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Exploratory Analysis of Urban healthcare Stakeholders in India. </w:t>
      </w:r>
      <w:r w:rsidDel="00000000" w:rsidR="00000000" w:rsidRPr="00000000">
        <w:rPr>
          <w:rFonts w:ascii="Times New Roman" w:cs="Times New Roman" w:eastAsia="Times New Roman" w:hAnsi="Times New Roman"/>
          <w:vertAlign w:val="baseline"/>
          <w:rtl w:val="0"/>
        </w:rPr>
        <w:t xml:space="preserve">(Chikersal, 2016)</w:t>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provides an analytical review of the impacts on different stakeholders and their role in the nation’s mission to provide universal healthcare. The report finds that urban healthcare, unlike the rural system, is more organic and random. The non-uniformity and randomness have made the system inefficient.</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 sector reforms and changes in prevalence of untreated morbidity, choice of healthcare providers among the poor and rural population in India. </w:t>
      </w:r>
      <w:r w:rsidDel="00000000" w:rsidR="00000000" w:rsidRPr="00000000">
        <w:rPr>
          <w:rFonts w:ascii="Times New Roman" w:cs="Times New Roman" w:eastAsia="Times New Roman" w:hAnsi="Times New Roman"/>
          <w:vertAlign w:val="baseline"/>
          <w:rtl w:val="0"/>
        </w:rPr>
        <w:t xml:space="preserve">(Ghosh, 2014)</w:t>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studies the condition of healthcare in India before and after major policy changes. The focus of this study was the rural population as the policy changes intended to bring more equity. The authors found that even for the non-poor, the financial barriers in accessing good healthcare have increased. </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Inter-State Comparisons on Health Outcomes in Major States and A Framework For Resource Devolution For Health. </w:t>
      </w:r>
      <w:r w:rsidDel="00000000" w:rsidR="00000000" w:rsidRPr="00000000">
        <w:rPr>
          <w:rFonts w:ascii="Times New Roman" w:cs="Times New Roman" w:eastAsia="Times New Roman" w:hAnsi="Times New Roman"/>
          <w:vertAlign w:val="baseline"/>
          <w:rtl w:val="0"/>
        </w:rPr>
        <w:t xml:space="preserve">(Rao, 2014)</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 shows that overall expenditure on healthcare is a mere 2.2% of the GPD. Even this varies across different states. States with better facilities to implement healthcare made better use of NRHM and other funds made available to them. This article suggests various changes in the present policy, including taxing medical tourism and cross-subsidizing the states.</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Antenatal care effective in improving maternal health in rural Uttar Pradesh? Evidence from a district level household survey</w:t>
      </w:r>
      <w:r w:rsidDel="00000000" w:rsidR="00000000" w:rsidRPr="00000000">
        <w:rPr>
          <w:rFonts w:ascii="Times New Roman" w:cs="Times New Roman" w:eastAsia="Times New Roman" w:hAnsi="Times New Roman"/>
          <w:vertAlign w:val="baseline"/>
          <w:rtl w:val="0"/>
        </w:rPr>
        <w:t xml:space="preserve">(Ram &amp; Singh, 2006)</w:t>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multilevel analysis was carried to see how antenatal care affects the maternal health. Household surveys were conducted to gather the data which were further categorized according to caste, sex, literacy rate etc. The study found that women who seek antenatal care are benefited from other policies in place too. Maternal mortality risks lower significantly.</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Study of impact of JSSK scheme on institutional deliveries and maternal mortality rate: Visakhapatnam district Andhra Pradesh </w:t>
      </w:r>
      <w:r w:rsidDel="00000000" w:rsidR="00000000" w:rsidRPr="00000000">
        <w:rPr>
          <w:rFonts w:ascii="Times New Roman" w:cs="Times New Roman" w:eastAsia="Times New Roman" w:hAnsi="Times New Roman"/>
          <w:vertAlign w:val="baseline"/>
          <w:rtl w:val="0"/>
        </w:rPr>
        <w:t xml:space="preserve">(Revu et al., 2017)</w:t>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studies the impact of JSSK on maternal mortality ratio in the Visakhapatnam district. This was an observational study with data collected from 2013-17. This data was then further categorized by age, parity, educational qualification, etc. and a comparative analysis was carried out. The study found that a vast majority of women were unaware of the JSSK, and those who were aware were informed by the Anganwadi workers. MMR of less than 100 can be achieved if right steps are taken to increase awareness. </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Methods: Applications for classification and prediction. </w:t>
      </w:r>
      <w:r w:rsidDel="00000000" w:rsidR="00000000" w:rsidRPr="00000000">
        <w:rPr>
          <w:rFonts w:ascii="Times New Roman" w:cs="Times New Roman" w:eastAsia="Times New Roman" w:hAnsi="Times New Roman"/>
          <w:vertAlign w:val="baseline"/>
          <w:rtl w:val="0"/>
        </w:rPr>
        <w:t xml:space="preserve">(SONG &amp; LU, 2015)</w:t>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discusses the applications of decision tree in classification and prediction problems. The paper shows how this algorithm handles the issues of variable selection and missing values. It also discusses various types of decision tree algorithms such as CART, Quest, CHAID.</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1"/>
        <w:jc w:val="both"/>
        <w:rPr>
          <w:rFonts w:ascii="Times New Roman" w:cs="Times New Roman" w:eastAsia="Times New Roman" w:hAnsi="Times New Roman"/>
        </w:rPr>
      </w:pPr>
      <w:bookmarkStart w:colFirst="0" w:colLast="0" w:name="_o43cir316zt1" w:id="6"/>
      <w:bookmarkEnd w:id="6"/>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3E">
      <w:pPr>
        <w:pStyle w:val="Heading2"/>
        <w:jc w:val="both"/>
        <w:rPr>
          <w:rFonts w:ascii="Times New Roman" w:cs="Times New Roman" w:eastAsia="Times New Roman" w:hAnsi="Times New Roman"/>
        </w:rPr>
      </w:pPr>
      <w:bookmarkStart w:colFirst="0" w:colLast="0" w:name="_q5qa4tf9bgyt" w:id="7"/>
      <w:bookmarkEnd w:id="7"/>
      <w:r w:rsidDel="00000000" w:rsidR="00000000" w:rsidRPr="00000000">
        <w:rPr>
          <w:rFonts w:ascii="Times New Roman" w:cs="Times New Roman" w:eastAsia="Times New Roman" w:hAnsi="Times New Roman"/>
          <w:rtl w:val="0"/>
        </w:rPr>
        <w:t xml:space="preserve">Parameters Used:</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parameters were used in this study.</w:t>
      </w:r>
    </w:p>
    <w:p w:rsidR="00000000" w:rsidDel="00000000" w:rsidP="00000000" w:rsidRDefault="00000000" w:rsidRPr="00000000" w14:paraId="00000040">
      <w:pPr>
        <w:pStyle w:val="Heading3"/>
        <w:jc w:val="both"/>
        <w:rPr>
          <w:rFonts w:ascii="Times New Roman" w:cs="Times New Roman" w:eastAsia="Times New Roman" w:hAnsi="Times New Roman"/>
        </w:rPr>
      </w:pPr>
      <w:bookmarkStart w:colFirst="0" w:colLast="0" w:name="_xafxddcdlv31" w:id="8"/>
      <w:bookmarkEnd w:id="8"/>
      <w:r w:rsidDel="00000000" w:rsidR="00000000" w:rsidRPr="00000000">
        <w:rPr>
          <w:rFonts w:ascii="Times New Roman" w:cs="Times New Roman" w:eastAsia="Times New Roman" w:hAnsi="Times New Roman"/>
          <w:rtl w:val="0"/>
        </w:rPr>
        <w:t xml:space="preserve">Maternal Mortality Ratio:</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Maternal mortality ratio refers to the number of maternal deaths every year due to various reasons, either during pregnancy, childbirth, or 42 days of childbirth per 100,000 live births per year. This is a vital indicator, which reflects the status of the health system of the nation. Maternal deaths are often due to reasons like lack of professional help, lack of nutrition, complications during pregnancy, mismanagement etc. High MMR for any region is an indication of poor healthcare facilities. </w:t>
      </w:r>
      <w:r w:rsidDel="00000000" w:rsidR="00000000" w:rsidRPr="00000000">
        <w:rPr>
          <w:rFonts w:ascii="Times New Roman" w:cs="Times New Roman" w:eastAsia="Times New Roman" w:hAnsi="Times New Roman"/>
          <w:vertAlign w:val="baseline"/>
          <w:rtl w:val="0"/>
        </w:rPr>
        <w:t xml:space="preserve">(Montgomery et al., 2014)</w:t>
      </w:r>
      <w:r w:rsidDel="00000000" w:rsidR="00000000" w:rsidRPr="00000000">
        <w:rPr>
          <w:rtl w:val="0"/>
        </w:rPr>
      </w:r>
    </w:p>
    <w:p w:rsidR="00000000" w:rsidDel="00000000" w:rsidP="00000000" w:rsidRDefault="00000000" w:rsidRPr="00000000" w14:paraId="00000042">
      <w:pPr>
        <w:pStyle w:val="Heading3"/>
        <w:jc w:val="both"/>
        <w:rPr>
          <w:rFonts w:ascii="Times New Roman" w:cs="Times New Roman" w:eastAsia="Times New Roman" w:hAnsi="Times New Roman"/>
        </w:rPr>
      </w:pPr>
      <w:bookmarkStart w:colFirst="0" w:colLast="0" w:name="_gszatunyotjy" w:id="9"/>
      <w:bookmarkEnd w:id="9"/>
      <w:r w:rsidDel="00000000" w:rsidR="00000000" w:rsidRPr="00000000">
        <w:rPr>
          <w:rFonts w:ascii="Times New Roman" w:cs="Times New Roman" w:eastAsia="Times New Roman" w:hAnsi="Times New Roman"/>
          <w:rtl w:val="0"/>
        </w:rPr>
        <w:t xml:space="preserve">Infant Mortality Ratio:</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Infant Mortality Ratio (IMR) refers to the number of infant deaths (under one year of age) per 1,000 live births. High IMR is a reason for concern for any region as it indicates the unavailability of basic healthcare facilities. Infant deaths can be due to various reasons like, absence of the mother, poor healthcare infrastructure, diseases, etc. </w:t>
      </w:r>
    </w:p>
    <w:p w:rsidR="00000000" w:rsidDel="00000000" w:rsidP="00000000" w:rsidRDefault="00000000" w:rsidRPr="00000000" w14:paraId="00000044">
      <w:pPr>
        <w:pStyle w:val="Heading3"/>
        <w:jc w:val="both"/>
        <w:rPr>
          <w:rFonts w:ascii="Times New Roman" w:cs="Times New Roman" w:eastAsia="Times New Roman" w:hAnsi="Times New Roman"/>
        </w:rPr>
      </w:pPr>
      <w:bookmarkStart w:colFirst="0" w:colLast="0" w:name="_srlzi72sbpx9" w:id="10"/>
      <w:bookmarkEnd w:id="10"/>
      <w:r w:rsidDel="00000000" w:rsidR="00000000" w:rsidRPr="00000000">
        <w:rPr>
          <w:rFonts w:ascii="Times New Roman" w:cs="Times New Roman" w:eastAsia="Times New Roman" w:hAnsi="Times New Roman"/>
          <w:rtl w:val="0"/>
        </w:rPr>
        <w:t xml:space="preserve">Post-Natal Care:</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Postnatal care (PNC) is the care given to the mother and her newborn baby immediately after the birth and for the first six weeks of life. Provision of proper PNC is a big issue in India. WHO recommends that mothers be provided with as much care as they were provided before the birth of the child. In India, PNC is often neglected and this leads to complications in the mothers as well as the child’s health. It is recommended that professional help must be available at all times. Research carried out in this field shows that there is a high chance that women without proper care may suffer from physical as well as mental issues. </w:t>
      </w:r>
      <w:r w:rsidDel="00000000" w:rsidR="00000000" w:rsidRPr="00000000">
        <w:rPr>
          <w:rFonts w:ascii="Times New Roman" w:cs="Times New Roman" w:eastAsia="Times New Roman" w:hAnsi="Times New Roman"/>
          <w:vertAlign w:val="baseline"/>
          <w:rtl w:val="0"/>
        </w:rPr>
        <w:t xml:space="preserve">(Singh et al., 2016)</w:t>
      </w:r>
      <w:r w:rsidDel="00000000" w:rsidR="00000000" w:rsidRPr="00000000">
        <w:rPr>
          <w:rtl w:val="0"/>
        </w:rPr>
      </w:r>
    </w:p>
    <w:p w:rsidR="00000000" w:rsidDel="00000000" w:rsidP="00000000" w:rsidRDefault="00000000" w:rsidRPr="00000000" w14:paraId="00000046">
      <w:pPr>
        <w:pStyle w:val="Heading3"/>
        <w:jc w:val="both"/>
        <w:rPr>
          <w:rFonts w:ascii="Times New Roman" w:cs="Times New Roman" w:eastAsia="Times New Roman" w:hAnsi="Times New Roman"/>
        </w:rPr>
      </w:pPr>
      <w:bookmarkStart w:colFirst="0" w:colLast="0" w:name="_y6o72zgnb5p" w:id="11"/>
      <w:bookmarkEnd w:id="11"/>
      <w:r w:rsidDel="00000000" w:rsidR="00000000" w:rsidRPr="00000000">
        <w:rPr>
          <w:rFonts w:ascii="Times New Roman" w:cs="Times New Roman" w:eastAsia="Times New Roman" w:hAnsi="Times New Roman"/>
          <w:rtl w:val="0"/>
        </w:rPr>
        <w:t xml:space="preserve">Ante-Natal Care:</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care provided to women during the time of pregnancy by professionals is antenatal care. It can also be referred to as pregnancy care. Skilled and qualified professionals are required to carry out the process with the utmost care. Ante-Natal Care forms the core of provision of healthcare to pregnant women. This includes proper nutrition, the right medication, availability of professional help, etc. With the establishment of PHCs and CHCs India has moved a long way in the provision of ANC. </w:t>
      </w:r>
      <w:r w:rsidDel="00000000" w:rsidR="00000000" w:rsidRPr="00000000">
        <w:rPr>
          <w:rFonts w:ascii="Times New Roman" w:cs="Times New Roman" w:eastAsia="Times New Roman" w:hAnsi="Times New Roman"/>
          <w:vertAlign w:val="baseline"/>
          <w:rtl w:val="0"/>
        </w:rPr>
        <w:t xml:space="preserve">(Ram &amp; Singh, 2006)</w:t>
      </w:r>
      <w:r w:rsidDel="00000000" w:rsidR="00000000" w:rsidRPr="00000000">
        <w:rPr>
          <w:rtl w:val="0"/>
        </w:rPr>
      </w:r>
    </w:p>
    <w:p w:rsidR="00000000" w:rsidDel="00000000" w:rsidP="00000000" w:rsidRDefault="00000000" w:rsidRPr="00000000" w14:paraId="00000048">
      <w:pPr>
        <w:pStyle w:val="Heading3"/>
        <w:jc w:val="both"/>
        <w:rPr>
          <w:rFonts w:ascii="Times New Roman" w:cs="Times New Roman" w:eastAsia="Times New Roman" w:hAnsi="Times New Roman"/>
        </w:rPr>
      </w:pPr>
      <w:bookmarkStart w:colFirst="0" w:colLast="0" w:name="_cas9vcyyz1vz" w:id="12"/>
      <w:bookmarkEnd w:id="12"/>
      <w:r w:rsidDel="00000000" w:rsidR="00000000" w:rsidRPr="00000000">
        <w:rPr>
          <w:rFonts w:ascii="Times New Roman" w:cs="Times New Roman" w:eastAsia="Times New Roman" w:hAnsi="Times New Roman"/>
          <w:rtl w:val="0"/>
        </w:rPr>
        <w:t xml:space="preserve">Literacy Rate:</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higher Literacy rate often means a greater understanding of the resources available and the desire to use them. It is often seen that illiterate women tend to neglect the services offered as unnecessary due to being ill-informed. No matter how many schemes the government launches, if the beneficiaries don’t want to benefit from these schemes, all of it becomes useless </w:t>
      </w:r>
      <w:r w:rsidDel="00000000" w:rsidR="00000000" w:rsidRPr="00000000">
        <w:rPr>
          <w:rFonts w:ascii="Times New Roman" w:cs="Times New Roman" w:eastAsia="Times New Roman" w:hAnsi="Times New Roman"/>
          <w:vertAlign w:val="baseline"/>
          <w:rtl w:val="0"/>
        </w:rPr>
        <w:t xml:space="preserve">(Gokhale et al., 2002)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A">
      <w:pPr>
        <w:pStyle w:val="Heading3"/>
        <w:jc w:val="both"/>
        <w:rPr>
          <w:rFonts w:ascii="Times New Roman" w:cs="Times New Roman" w:eastAsia="Times New Roman" w:hAnsi="Times New Roman"/>
        </w:rPr>
      </w:pPr>
      <w:bookmarkStart w:colFirst="0" w:colLast="0" w:name="_ln3rmonqfa60" w:id="13"/>
      <w:bookmarkEnd w:id="13"/>
      <w:r w:rsidDel="00000000" w:rsidR="00000000" w:rsidRPr="00000000">
        <w:rPr>
          <w:rFonts w:ascii="Times New Roman" w:cs="Times New Roman" w:eastAsia="Times New Roman" w:hAnsi="Times New Roman"/>
          <w:rtl w:val="0"/>
        </w:rPr>
        <w:t xml:space="preserve">Number of Institutional Deliveries:</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Experts agree that the risk of stillbirth or death due to intrapartum-related complications can be reduced by about 20 percent with the presence of a skilled birth attendant. India in recent years has doubled the number of institutional deliveries, but still, a lot of scope remains. Even in the case of home deliveries the presence of skilled workers immensely improves the chance of survival of mother and child. </w:t>
      </w:r>
      <w:r w:rsidDel="00000000" w:rsidR="00000000" w:rsidRPr="00000000">
        <w:rPr>
          <w:rFonts w:ascii="Times New Roman" w:cs="Times New Roman" w:eastAsia="Times New Roman" w:hAnsi="Times New Roman"/>
          <w:vertAlign w:val="baseline"/>
          <w:rtl w:val="0"/>
        </w:rPr>
        <w:t xml:space="preserve">(Gupta et al., 2012)</w:t>
      </w:r>
      <w:r w:rsidDel="00000000" w:rsidR="00000000" w:rsidRPr="00000000">
        <w:rPr>
          <w:rtl w:val="0"/>
        </w:rPr>
      </w:r>
    </w:p>
    <w:p w:rsidR="00000000" w:rsidDel="00000000" w:rsidP="00000000" w:rsidRDefault="00000000" w:rsidRPr="00000000" w14:paraId="0000004C">
      <w:pPr>
        <w:pStyle w:val="Heading3"/>
        <w:jc w:val="both"/>
        <w:rPr>
          <w:rFonts w:ascii="Times New Roman" w:cs="Times New Roman" w:eastAsia="Times New Roman" w:hAnsi="Times New Roman"/>
        </w:rPr>
      </w:pPr>
      <w:bookmarkStart w:colFirst="0" w:colLast="0" w:name="_be0l4m1pjoll" w:id="14"/>
      <w:bookmarkEnd w:id="14"/>
      <w:r w:rsidDel="00000000" w:rsidR="00000000" w:rsidRPr="00000000">
        <w:rPr>
          <w:rFonts w:ascii="Times New Roman" w:cs="Times New Roman" w:eastAsia="Times New Roman" w:hAnsi="Times New Roman"/>
          <w:rtl w:val="0"/>
        </w:rPr>
        <w:t xml:space="preserve">Primary Health Centres:</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health centres are state-owned health care infrastructure and service provided by the government to ensure that poorer sections of the society are provided the basic health care facilities, free of cost. A greater number of PHCs mean better provision of healthcare in the state or district. </w:t>
      </w:r>
      <w:r w:rsidDel="00000000" w:rsidR="00000000" w:rsidRPr="00000000">
        <w:rPr>
          <w:rFonts w:ascii="Times New Roman" w:cs="Times New Roman" w:eastAsia="Times New Roman" w:hAnsi="Times New Roman"/>
          <w:vertAlign w:val="baseline"/>
          <w:rtl w:val="0"/>
        </w:rPr>
        <w:t xml:space="preserve">(Dar, 2015)</w:t>
      </w:r>
      <w:r w:rsidDel="00000000" w:rsidR="00000000" w:rsidRPr="00000000">
        <w:rPr>
          <w:rtl w:val="0"/>
        </w:rPr>
      </w:r>
    </w:p>
    <w:p w:rsidR="00000000" w:rsidDel="00000000" w:rsidP="00000000" w:rsidRDefault="00000000" w:rsidRPr="00000000" w14:paraId="0000004E">
      <w:pPr>
        <w:pStyle w:val="Heading3"/>
        <w:jc w:val="both"/>
        <w:rPr>
          <w:rFonts w:ascii="Times New Roman" w:cs="Times New Roman" w:eastAsia="Times New Roman" w:hAnsi="Times New Roman"/>
        </w:rPr>
      </w:pPr>
      <w:bookmarkStart w:colFirst="0" w:colLast="0" w:name="_92y3rjyqdpx6" w:id="15"/>
      <w:bookmarkEnd w:id="15"/>
      <w:r w:rsidDel="00000000" w:rsidR="00000000" w:rsidRPr="00000000">
        <w:rPr>
          <w:rFonts w:ascii="Times New Roman" w:cs="Times New Roman" w:eastAsia="Times New Roman" w:hAnsi="Times New Roman"/>
          <w:rtl w:val="0"/>
        </w:rPr>
        <w:t xml:space="preserve">Per Capita Health Expenditure:</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Higher government expenditure on health care implies more importance given to health by the government. This directly translates to better provision of healthcare to the masses. People don’t want to spend out of their pockets for health services but are willing to accept the services provided to them by the government in order to ensure their wellbeing. </w:t>
      </w:r>
      <w:r w:rsidDel="00000000" w:rsidR="00000000" w:rsidRPr="00000000">
        <w:rPr>
          <w:rFonts w:ascii="Times New Roman" w:cs="Times New Roman" w:eastAsia="Times New Roman" w:hAnsi="Times New Roman"/>
          <w:vertAlign w:val="baseline"/>
          <w:rtl w:val="0"/>
        </w:rPr>
        <w:t xml:space="preserve">(Bose &amp; Dutta, 2015)</w:t>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2"/>
        <w:jc w:val="both"/>
        <w:rPr>
          <w:rFonts w:ascii="Times New Roman" w:cs="Times New Roman" w:eastAsia="Times New Roman" w:hAnsi="Times New Roman"/>
        </w:rPr>
      </w:pPr>
      <w:bookmarkStart w:colFirst="0" w:colLast="0" w:name="_iyujeuvn9pes" w:id="16"/>
      <w:bookmarkEnd w:id="16"/>
      <w:r w:rsidDel="00000000" w:rsidR="00000000" w:rsidRPr="00000000">
        <w:rPr>
          <w:rFonts w:ascii="Times New Roman" w:cs="Times New Roman" w:eastAsia="Times New Roman" w:hAnsi="Times New Roman"/>
          <w:rtl w:val="0"/>
        </w:rPr>
        <w:t xml:space="preserve">Obtaining the Data</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better understand the healthcare status of the nation, district wise healthcare data was needed. The data was obtained from various official sources present online. These include:</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 Management Information System, Ministry of Health (</w:t>
      </w:r>
      <w:hyperlink r:id="rId6">
        <w:r w:rsidDel="00000000" w:rsidR="00000000" w:rsidRPr="00000000">
          <w:rPr>
            <w:rFonts w:ascii="Times New Roman" w:cs="Times New Roman" w:eastAsia="Times New Roman" w:hAnsi="Times New Roman"/>
            <w:color w:val="1155cc"/>
            <w:u w:val="single"/>
            <w:rtl w:val="0"/>
          </w:rPr>
          <w:t xml:space="preserve">https://nrhm-mis.nic.in/SitePages/Home.aspx</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district-wise data of over 500 parameters were present on this portal. The 2018-19 data was used for analysis purposes. The data comprised of parameters like ANC participation, PNC participation, MMR, IMR, JSSK, Haemoglobin levels etc. </w:t>
      </w:r>
    </w:p>
    <w:p w:rsidR="00000000" w:rsidDel="00000000" w:rsidP="00000000" w:rsidRDefault="00000000" w:rsidRPr="00000000" w14:paraId="00000056">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Census India (</w:t>
      </w:r>
      <w:hyperlink r:id="rId7">
        <w:r w:rsidDel="00000000" w:rsidR="00000000" w:rsidRPr="00000000">
          <w:rPr>
            <w:rFonts w:ascii="Times New Roman" w:cs="Times New Roman" w:eastAsia="Times New Roman" w:hAnsi="Times New Roman"/>
            <w:color w:val="1155cc"/>
            <w:u w:val="single"/>
            <w:rtl w:val="0"/>
          </w:rPr>
          <w:t xml:space="preserve">http://censusindia.gov.in/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District wise population and literacy rate data were obtained from this portal.</w:t>
      </w:r>
    </w:p>
    <w:p w:rsidR="00000000" w:rsidDel="00000000" w:rsidP="00000000" w:rsidRDefault="00000000" w:rsidRPr="00000000" w14:paraId="00000058">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EPWRF India Time Series (</w:t>
      </w:r>
      <w:hyperlink r:id="rId8">
        <w:r w:rsidDel="00000000" w:rsidR="00000000" w:rsidRPr="00000000">
          <w:rPr>
            <w:rFonts w:ascii="Times New Roman" w:cs="Times New Roman" w:eastAsia="Times New Roman" w:hAnsi="Times New Roman"/>
            <w:color w:val="1155cc"/>
            <w:u w:val="single"/>
            <w:rtl w:val="0"/>
          </w:rPr>
          <w:t xml:space="preserve">http://www.epwrfits.in/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State-wise healthcare expenditure data was obtained from this portal.</w:t>
      </w:r>
    </w:p>
    <w:p w:rsidR="00000000" w:rsidDel="00000000" w:rsidP="00000000" w:rsidRDefault="00000000" w:rsidRPr="00000000" w14:paraId="0000005A">
      <w:pPr>
        <w:pStyle w:val="Heading2"/>
        <w:jc w:val="both"/>
        <w:rPr>
          <w:rFonts w:ascii="Times New Roman" w:cs="Times New Roman" w:eastAsia="Times New Roman" w:hAnsi="Times New Roman"/>
        </w:rPr>
      </w:pPr>
      <w:bookmarkStart w:colFirst="0" w:colLast="0" w:name="_1i01enjc9vmb" w:id="17"/>
      <w:bookmarkEnd w:id="17"/>
      <w:r w:rsidDel="00000000" w:rsidR="00000000" w:rsidRPr="00000000">
        <w:rPr>
          <w:rFonts w:ascii="Times New Roman" w:cs="Times New Roman" w:eastAsia="Times New Roman" w:hAnsi="Times New Roman"/>
          <w:rtl w:val="0"/>
        </w:rPr>
        <w:t xml:space="preserve">Cleaning the Data:</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obtained was disaggregated and from different sources. It then had to be assembled and cleaned. This was done using VBA and Python. The script used has been attached in the appendix A and B. </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Variable names and their description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625"/>
        <w:gridCol w:w="5250"/>
        <w:tblGridChange w:id="0">
          <w:tblGrid>
            <w:gridCol w:w="1485"/>
            <w:gridCol w:w="2625"/>
            <w:gridCol w:w="5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district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of the district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 mmr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Maternal mortality rate of the district (per 100, 000 live births)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 IMR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Infant mortality rate of the district (per 1,000 live births)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Pnc per live 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women receiving Postnatal care per live birth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capita health 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capita health expenditure of the 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Phc per 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primary health centres in the district per 100,000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Literacy rate of the district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home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of home deliveries attended by skilled workers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insti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of total deliveries carried out in a healthcare institution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of pregnant women registered for ANC with haemoglobin levels less than 7g/ml</w:t>
            </w:r>
          </w:p>
        </w:tc>
      </w:tr>
    </w:tbl>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Eight states were chosen for analysis purpose. These aer:</w:t>
      </w:r>
    </w:p>
    <w:p w:rsidR="00000000" w:rsidDel="00000000" w:rsidP="00000000" w:rsidRDefault="00000000" w:rsidRPr="00000000" w14:paraId="00000087">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Andhra Pradesh</w:t>
      </w:r>
    </w:p>
    <w:p w:rsidR="00000000" w:rsidDel="00000000" w:rsidP="00000000" w:rsidRDefault="00000000" w:rsidRPr="00000000" w14:paraId="00000088">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w:t>
      </w:r>
    </w:p>
    <w:p w:rsidR="00000000" w:rsidDel="00000000" w:rsidP="00000000" w:rsidRDefault="00000000" w:rsidRPr="00000000" w14:paraId="00000089">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Haryana</w:t>
      </w:r>
    </w:p>
    <w:p w:rsidR="00000000" w:rsidDel="00000000" w:rsidP="00000000" w:rsidRDefault="00000000" w:rsidRPr="00000000" w14:paraId="0000008A">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Karnataka</w:t>
      </w:r>
    </w:p>
    <w:p w:rsidR="00000000" w:rsidDel="00000000" w:rsidP="00000000" w:rsidRDefault="00000000" w:rsidRPr="00000000" w14:paraId="0000008B">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Kerala</w:t>
      </w:r>
    </w:p>
    <w:p w:rsidR="00000000" w:rsidDel="00000000" w:rsidP="00000000" w:rsidRDefault="00000000" w:rsidRPr="00000000" w14:paraId="0000008C">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Madhya Pradesh</w:t>
      </w:r>
    </w:p>
    <w:p w:rsidR="00000000" w:rsidDel="00000000" w:rsidP="00000000" w:rsidRDefault="00000000" w:rsidRPr="00000000" w14:paraId="0000008D">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Maharashtra</w:t>
      </w:r>
    </w:p>
    <w:p w:rsidR="00000000" w:rsidDel="00000000" w:rsidP="00000000" w:rsidRDefault="00000000" w:rsidRPr="00000000" w14:paraId="0000008E">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Odisha</w:t>
      </w:r>
    </w:p>
    <w:p w:rsidR="00000000" w:rsidDel="00000000" w:rsidP="00000000" w:rsidRDefault="00000000" w:rsidRPr="00000000" w14:paraId="0000008F">
      <w:pPr>
        <w:pStyle w:val="Heading2"/>
        <w:jc w:val="both"/>
        <w:rPr>
          <w:rFonts w:ascii="Times New Roman" w:cs="Times New Roman" w:eastAsia="Times New Roman" w:hAnsi="Times New Roman"/>
        </w:rPr>
      </w:pPr>
      <w:bookmarkStart w:colFirst="0" w:colLast="0" w:name="_vjwnvgxyq87y" w:id="18"/>
      <w:bookmarkEnd w:id="18"/>
      <w:r w:rsidDel="00000000" w:rsidR="00000000" w:rsidRPr="00000000">
        <w:rPr>
          <w:rFonts w:ascii="Times New Roman" w:cs="Times New Roman" w:eastAsia="Times New Roman" w:hAnsi="Times New Roman"/>
          <w:rtl w:val="0"/>
        </w:rPr>
        <w:t xml:space="preserve">Analysis of the Data:</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was used for data analysis. The data description after cleaning has been attached in the appendix C. </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was to handle missing values. Missing values for any district were replaced with the mean of the values belonging to the same state. Furthermore, the parameters were of different units and the parameters were significantly skewed. Parameters with absolute skewness greater than 0.75 were normalized using box-cox transformation. Following this, the data was ready for analysis.</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matrix was first plotted to study the correlation between the variables, which gave an idea of how strongly the variables were related. Scatter plots for all the variable relationships were then plotted to get a clear picture of the variable relationships. The plots are attached shown below. Having an idea of how variables interacted with each other gives a platform for greater in-depth analysis.</w:t>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33289" cy="5329238"/>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33289"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Correlation Matrix</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Pr>
          <w:drawing>
            <wp:inline distB="114300" distT="114300" distL="114300" distR="114300">
              <wp:extent cx="4881563" cy="4373066"/>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81563" cy="437306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Combined Scatter Plot</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further analysis, the algorithms used were:</w:t>
      </w:r>
    </w:p>
    <w:p w:rsidR="00000000" w:rsidDel="00000000" w:rsidP="00000000" w:rsidRDefault="00000000" w:rsidRPr="00000000" w14:paraId="0000009B">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9C">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Regression</w:t>
      </w:r>
    </w:p>
    <w:p w:rsidR="00000000" w:rsidDel="00000000" w:rsidP="00000000" w:rsidRDefault="00000000" w:rsidRPr="00000000" w14:paraId="0000009D">
      <w:pPr>
        <w:pStyle w:val="Heading3"/>
        <w:jc w:val="both"/>
        <w:rPr>
          <w:rFonts w:ascii="Times New Roman" w:cs="Times New Roman" w:eastAsia="Times New Roman" w:hAnsi="Times New Roman"/>
        </w:rPr>
      </w:pPr>
      <w:bookmarkStart w:colFirst="0" w:colLast="0" w:name="_kvixdgcvtuo7" w:id="19"/>
      <w:bookmarkEnd w:id="19"/>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is a supervised learning algorithm where a linear relationship between two or more variables is modeled. In this study linear regression is used to identify the linear relationships between variables like MMR vs IMR. </w:t>
      </w:r>
    </w:p>
    <w:p w:rsidR="00000000" w:rsidDel="00000000" w:rsidP="00000000" w:rsidRDefault="00000000" w:rsidRPr="00000000" w14:paraId="0000009F">
      <w:pPr>
        <w:pStyle w:val="Heading3"/>
        <w:jc w:val="both"/>
        <w:rPr>
          <w:rFonts w:ascii="Times New Roman" w:cs="Times New Roman" w:eastAsia="Times New Roman" w:hAnsi="Times New Roman"/>
        </w:rPr>
      </w:pPr>
      <w:bookmarkStart w:colFirst="0" w:colLast="0" w:name="_yqsgg6n3ity0" w:id="20"/>
      <w:bookmarkEnd w:id="20"/>
      <w:r w:rsidDel="00000000" w:rsidR="00000000" w:rsidRPr="00000000">
        <w:rPr>
          <w:rFonts w:ascii="Times New Roman" w:cs="Times New Roman" w:eastAsia="Times New Roman" w:hAnsi="Times New Roman"/>
          <w:rtl w:val="0"/>
        </w:rPr>
        <w:t xml:space="preserve">Decision Tree Regression:</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is a type of supervised learning algorithm that can be used in both regression and classification problems. It works for both categorical and continuous input and output variables. Decision Tree is a flow-chart like structure, where the leaf nodes show the final result, and the remaining nodes are used to split the tree based on the condition specified in the node. Decision Trees in this study give the expected MMR for particular values of parameters and help in identifying the substitutability of parameters. </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looks like the picture given below. </w:t>
      </w:r>
    </w:p>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2550" cy="291465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625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Decision Tree Representation</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node looks like the picture given below.</w:t>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71900" cy="1519238"/>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7190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Representation of a node in the tree</w:t>
      </w:r>
    </w:p>
    <w:p w:rsidR="00000000" w:rsidDel="00000000" w:rsidP="00000000" w:rsidRDefault="00000000" w:rsidRPr="00000000" w14:paraId="000000A8">
      <w:pPr>
        <w:pStyle w:val="Heading2"/>
        <w:jc w:val="both"/>
        <w:rPr>
          <w:rFonts w:ascii="Times New Roman" w:cs="Times New Roman" w:eastAsia="Times New Roman" w:hAnsi="Times New Roman"/>
        </w:rPr>
      </w:pPr>
      <w:bookmarkStart w:colFirst="0" w:colLast="0" w:name="_453b85ma5u7d" w:id="21"/>
      <w:bookmarkEnd w:id="21"/>
      <w:r w:rsidDel="00000000" w:rsidR="00000000" w:rsidRPr="00000000">
        <w:rPr>
          <w:rFonts w:ascii="Times New Roman" w:cs="Times New Roman" w:eastAsia="Times New Roman" w:hAnsi="Times New Roman"/>
          <w:rtl w:val="0"/>
        </w:rPr>
        <w:t xml:space="preserve">Analysis Results:</w:t>
      </w:r>
    </w:p>
    <w:p w:rsidR="00000000" w:rsidDel="00000000" w:rsidP="00000000" w:rsidRDefault="00000000" w:rsidRPr="00000000" w14:paraId="000000A9">
      <w:pPr>
        <w:pStyle w:val="Heading3"/>
        <w:jc w:val="both"/>
        <w:rPr>
          <w:rFonts w:ascii="Times New Roman" w:cs="Times New Roman" w:eastAsia="Times New Roman" w:hAnsi="Times New Roman"/>
        </w:rPr>
      </w:pPr>
      <w:bookmarkStart w:colFirst="0" w:colLast="0" w:name="_tvffcrb5vysn" w:id="22"/>
      <w:bookmarkEnd w:id="22"/>
      <w:r w:rsidDel="00000000" w:rsidR="00000000" w:rsidRPr="00000000">
        <w:rPr>
          <w:rFonts w:ascii="Times New Roman" w:cs="Times New Roman" w:eastAsia="Times New Roman" w:hAnsi="Times New Roman"/>
          <w:rtl w:val="0"/>
        </w:rPr>
        <w:t xml:space="preserve">Result Sheet 1:</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decision tree was plotted to analyze how different parameters affected MMR in the district. The following parameters were used:</w:t>
      </w:r>
    </w:p>
    <w:p w:rsidR="00000000" w:rsidDel="00000000" w:rsidP="00000000" w:rsidRDefault="00000000" w:rsidRPr="00000000" w14:paraId="000000AB">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Literacy rate</w:t>
      </w:r>
    </w:p>
    <w:p w:rsidR="00000000" w:rsidDel="00000000" w:rsidP="00000000" w:rsidRDefault="00000000" w:rsidRPr="00000000" w14:paraId="000000AC">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of institutional deliveries out of total deliveries</w:t>
      </w:r>
    </w:p>
    <w:p w:rsidR="00000000" w:rsidDel="00000000" w:rsidP="00000000" w:rsidRDefault="00000000" w:rsidRPr="00000000" w14:paraId="000000AD">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of home deliveries attended by skilled workers</w:t>
      </w:r>
    </w:p>
    <w:p w:rsidR="00000000" w:rsidDel="00000000" w:rsidP="00000000" w:rsidRDefault="00000000" w:rsidRPr="00000000" w14:paraId="000000AE">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Capita Health Expenditure in State.</w:t>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Pr>
          <w:drawing>
            <wp:inline distB="114300" distT="114300" distL="114300" distR="114300">
              <wp:extent cx="5943600" cy="1181100"/>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1181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Decision Tree 1 studying the impact of four parameters on MMR</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tree reveals a great deal about how the parameters affect the MMR, and gives an idea of how parameters can be substituted for the desired results. The root node splits on the basis of percent institutional deliveries, indicating its strong impact on MMR. This is further verified in the scatter plot of ‘Percent Institutional deliveries’ and ‘MMR’. </w:t>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9025" cy="2543175"/>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6290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Scatter Plot 1 (MMR vs percent insti deliveries) </w:t>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split at the root node is shown in the table below.</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Decision Tree 1 - the impact of institutional deliveries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0"/>
        <w:gridCol w:w="2340"/>
        <w:gridCol w:w="2430"/>
        <w:tblGridChange w:id="0">
          <w:tblGrid>
            <w:gridCol w:w="4590"/>
            <w:gridCol w:w="2340"/>
            <w:gridCol w:w="2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Institutional Deliveries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MMR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4.608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(out of 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4.608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 (out of 191)</w:t>
            </w:r>
          </w:p>
        </w:tc>
      </w:tr>
    </w:tbl>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Interpretation: </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rtl w:val="0"/>
        </w:rPr>
        <w:t xml:space="preserve">istricts with ‘Percent Institutional Deliveries (PID)’ less than 4.608 have an expected MMR of 4.921, whereas districts with PID greater than 4.608 have an expected MMR of 4.072. This is in line with the scatter plot. </w:t>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another important observation is the impact of ‘Per Capita Health Exp.’ on MMR. The scatter plot verifies the negative relationship between ‘Per Capita Health Exp’ and MMR. </w:t>
      </w:r>
    </w:p>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7600" cy="2543175"/>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576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Scatter Plot for MMR vs Per capita health exp</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Decision Tree 1 - impact of Per capita health exp</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2460"/>
        <w:gridCol w:w="2370"/>
        <w:tblGridChange w:id="0">
          <w:tblGrid>
            <w:gridCol w:w="4530"/>
            <w:gridCol w:w="2460"/>
            <w:gridCol w:w="2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Capita Health Exp</w:t>
            </w:r>
          </w:p>
          <w:p w:rsidR="00000000" w:rsidDel="00000000" w:rsidP="00000000" w:rsidRDefault="00000000" w:rsidRPr="00000000" w14:paraId="000000C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Percent Institutional Deliveries &gt;4.608 )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MMR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7.157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 (out of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7.157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(out of 100)</w:t>
            </w:r>
          </w:p>
        </w:tc>
      </w:tr>
    </w:tbl>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Interpretation:</w:t>
      </w:r>
    </w:p>
    <w:p w:rsidR="00000000" w:rsidDel="00000000" w:rsidP="00000000" w:rsidRDefault="00000000" w:rsidRPr="00000000" w14:paraId="000000D8">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table is for the branch of the tree with ‘Percent Institutional Deliveries’ &gt; 4.608.) </w:t>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Districts with ‘Per Capita Health Exp’ less than 7.157 have an expected MMR of 4.237, whereas districts with ‘Per Capita Health Exp’, greater than 7.157 have an expected MMR of 3.205. </w:t>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plotted in this analysis (Result Sheet 1)</w:t>
      </w:r>
      <w:r w:rsidDel="00000000" w:rsidR="00000000" w:rsidRPr="00000000">
        <w:rPr>
          <w:rFonts w:ascii="Times New Roman" w:cs="Times New Roman" w:eastAsia="Times New Roman" w:hAnsi="Times New Roman"/>
          <w:rtl w:val="0"/>
        </w:rPr>
        <w:t xml:space="preserve"> shows how different parameters like literacy rate, Health Expenditure, etc. impact the MMR. It further highlights how one parameter can offset the absence of another parameter. The parameter substitution is further studied in greater detail in the next series of results. </w:t>
      </w:r>
    </w:p>
    <w:p w:rsidR="00000000" w:rsidDel="00000000" w:rsidP="00000000" w:rsidRDefault="00000000" w:rsidRPr="00000000" w14:paraId="000000DC">
      <w:pPr>
        <w:pStyle w:val="Heading3"/>
        <w:jc w:val="both"/>
        <w:rPr>
          <w:rFonts w:ascii="Times New Roman" w:cs="Times New Roman" w:eastAsia="Times New Roman" w:hAnsi="Times New Roman"/>
        </w:rPr>
      </w:pPr>
      <w:bookmarkStart w:colFirst="0" w:colLast="0" w:name="_4a6s2xo24gu" w:id="23"/>
      <w:bookmarkEnd w:id="23"/>
      <w:r w:rsidDel="00000000" w:rsidR="00000000" w:rsidRPr="00000000">
        <w:rPr>
          <w:rFonts w:ascii="Times New Roman" w:cs="Times New Roman" w:eastAsia="Times New Roman" w:hAnsi="Times New Roman"/>
          <w:rtl w:val="0"/>
        </w:rPr>
        <w:t xml:space="preserve">Result Sheet 2:</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performed in ‘Result Sheet 1’ shows poor performance in any parameter can be offset by other parameters. In the following analysis the substitutability of ‘Per Capita Health Exp’ and ‘PNC per live birth’ is studied. Decision Tree Regression is performed with ‘Per Capita Health Exp’ and ‘PNC per live birth’ as explanatory variables. </w:t>
      </w:r>
    </w:p>
    <w:p w:rsidR="00000000" w:rsidDel="00000000" w:rsidP="00000000" w:rsidRDefault="00000000" w:rsidRPr="00000000" w14:paraId="000000DE">
      <w:pPr>
        <w:jc w:val="both"/>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Pr>
          <w:drawing>
            <wp:inline distB="114300" distT="114300" distL="114300" distR="114300">
              <wp:extent cx="5943600" cy="11811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181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Decision Tree 2 - Substitutability of PNC and Per capita health exp</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Decision Tree 2 - Substitutability of PNC and Per capita health exp</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160"/>
        <w:gridCol w:w="2340"/>
        <w:gridCol w:w="2340"/>
        <w:tblGridChange w:id="0">
          <w:tblGrid>
            <w:gridCol w:w="2520"/>
            <w:gridCol w:w="216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Capita Health 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PNC per live 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Normalized MMR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districts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7.157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7.157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6.876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6.876 and 7.157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6.876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0.449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6.876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0.449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r>
    </w:tbl>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Interpretation:</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tree at the root node branches on the basis of ‘Per Capita Health Exp’. Districts with ‘Per Capita Health Exp’ &gt; 7.157 have an expected MMR of 3.205, whereas districts with ‘Per Capita Health Exp’ &lt;= 7.157 have an expected MMR of 4.593. The left branch is then further split on the basis of ‘Per Capita Health Exp’. Districts with ‘Per Capita Health Exp’ &gt; 6.876 have an expected MMR of 4.337, whereas districts with ‘Per Capita Health Exp’ &lt;= 6.876 have an expected MMR of 4.904. As expected the expected MMR increases with decreasing ‘per capita health exp’. The fourth node sees branching on the basis of ‘PNC per live birth’ for districts with ‘per capita health exp’, &lt;= 6.876. Districts with ‘PNC per live birth’ &lt;= 0.449 have an expected MMR of 5.0, whereas districts with ‘PNC per live birth’ &gt; 0.449 have an expected MMR of 4.73.</w:t>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capita health exp’ is an important parameter that directly impacts the expected MMR, but states which can’t afford higher ‘per capita health exp’ should try to improve the PNC facilities and educate people about benefits of good post-natal care. The availability of good PNC care can offset less ‘per capita health exp’.</w:t>
      </w: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the following decision tree shows the substitutability of ‘Institutional deliveries’ with ‘Home Deliveries in presence of skilled help’.</w:t>
      </w:r>
    </w:p>
    <w:p w:rsidR="00000000" w:rsidDel="00000000" w:rsidP="00000000" w:rsidRDefault="00000000" w:rsidRPr="00000000" w14:paraId="00000105">
      <w:pPr>
        <w:jc w:val="both"/>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Pr>
          <w:drawing>
            <wp:inline distB="114300" distT="114300" distL="114300" distR="114300">
              <wp:extent cx="5943600" cy="11811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181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Decision Tree 3 - Institutional deliveries vs skilled home deliveries</w:t>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Decision Tree 3 - Institutional deliveries vs skilled home deliveries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Institutional Deliveries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deliveries at home by skilled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MMR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districts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4.608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 (out of 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4.608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(out of 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4.608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4.191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 (out of 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4.608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4.191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(out of 91)</w:t>
            </w:r>
          </w:p>
        </w:tc>
      </w:tr>
    </w:tbl>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Interpretation:</w:t>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tree at the root node branches on the basis of ‘Percent Institutional Deliveries’. Districts with ‘Percent Institutional Deliveries’ &gt; 4.608 have an expected MMR of 4.072, whereas districts with ‘Percent Institutional Deliveries’ &lt;= 4.608 have an expected MMR of 4.921. The left branch of the tree then splits on the basis of ‘Percent deliveries at home by skilled help’. Districts with ‘Percent deliveries at home by skilled help’ &lt;= 4.191 have an expected MMR of 4.976, whereas districts with ‘Percent deliveries at home by skilled help’ &gt; 4.191 have an expected MMR of 4.349. </w:t>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observed that the absence of institutional deliveries can be offset by having skilled help during home deliveries. </w:t>
      </w:r>
      <w:r w:rsidDel="00000000" w:rsidR="00000000" w:rsidRPr="00000000">
        <w:rPr>
          <w:rFonts w:ascii="Times New Roman" w:cs="Times New Roman" w:eastAsia="Times New Roman" w:hAnsi="Times New Roman"/>
          <w:rtl w:val="0"/>
        </w:rPr>
        <w:t xml:space="preserve">Healthcare institutions provide infrastructure and good services to pregnant women, leading to lower MMR. But not all regions can ensure institutional deliveries to all women, due to various reasons. In such cases ensuring the availability of skilled help for home deliveries can help pregnant women. </w:t>
      </w:r>
    </w:p>
    <w:p w:rsidR="00000000" w:rsidDel="00000000" w:rsidP="00000000" w:rsidRDefault="00000000" w:rsidRPr="00000000" w14:paraId="00000122">
      <w:pPr>
        <w:pStyle w:val="Heading3"/>
        <w:jc w:val="both"/>
        <w:rPr>
          <w:rFonts w:ascii="Times New Roman" w:cs="Times New Roman" w:eastAsia="Times New Roman" w:hAnsi="Times New Roman"/>
        </w:rPr>
      </w:pPr>
      <w:bookmarkStart w:colFirst="0" w:colLast="0" w:name="_bszl9zlrm8tf" w:id="24"/>
      <w:bookmarkEnd w:id="24"/>
      <w:r w:rsidDel="00000000" w:rsidR="00000000" w:rsidRPr="00000000">
        <w:rPr>
          <w:rFonts w:ascii="Times New Roman" w:cs="Times New Roman" w:eastAsia="Times New Roman" w:hAnsi="Times New Roman"/>
          <w:rtl w:val="0"/>
        </w:rPr>
        <w:t xml:space="preserve">Result Sheet 3:</w:t>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IMR is a good indicator of the health status of any region. It is of utmost importance for any society to ensure proper health and wellbeing of newborns. The scatter plots indicated that IMR was directly correlated with MMR, literacy rate, Post Natal Care. </w:t>
      </w:r>
    </w:p>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4750" cy="2543175"/>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7147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Scatter plot of IMR vs MMR</w:t>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analysis of MMR and IMR gives the following results:</w:t>
      </w:r>
    </w:p>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4838" cy="4633827"/>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414838" cy="463382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Summary of Regression analysis of IMR vs MMR</w:t>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of 0.516 and confidence interval of 0.533 to 0.704, shows the strong relation of the independent variable. </w:t>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intercept is -0.0907 and the coefficient is 0.6187. </w:t>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IMR = -0.0907 + ( 0.6187 * MMR ).</w:t>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presence of the mother directly benefits an infant, ensuring his / her wellbeing. </w:t>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Regression analysis of IMR with parameters MMR and Post-Natal Care is shown below.</w:t>
      </w:r>
    </w:p>
    <w:p w:rsidR="00000000" w:rsidDel="00000000" w:rsidP="00000000" w:rsidRDefault="00000000" w:rsidRPr="00000000" w14:paraId="00000131">
      <w:pPr>
        <w:jc w:val="both"/>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Pr>
          <w:drawing>
            <wp:inline distB="114300" distT="114300" distL="114300" distR="114300">
              <wp:extent cx="5943600" cy="1181100"/>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1181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Decision Tree 4 - Impact of MMR and PNC on IMR</w:t>
      </w:r>
    </w:p>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Decision Tree 4 - Impact of MMR and PNC on IMR</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400"/>
        <w:gridCol w:w="1800"/>
        <w:gridCol w:w="2340"/>
        <w:tblGridChange w:id="0">
          <w:tblGrid>
            <w:gridCol w:w="2820"/>
            <w:gridCol w:w="2400"/>
            <w:gridCol w:w="180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PNC per live 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IMR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districts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3.897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(out of 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3.897  and 4.774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 (out of 149)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3.897  and 4.774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0.307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3.897  and 4.774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0.307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r>
          </w:p>
        </w:tc>
      </w:tr>
    </w:tbl>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Interpretation:</w:t>
      </w:r>
    </w:p>
    <w:p w:rsidR="00000000" w:rsidDel="00000000" w:rsidP="00000000" w:rsidRDefault="00000000" w:rsidRPr="00000000" w14:paraId="000001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Districts with MMR less than 3.897 have an expected IMR of 1.817, whereas districts with MMR between 3.897 and 4.774 have an IMR of 2.681. Districts with higher MMR have high IMR, but this can be offset with high PNC. Districts with high MMR along with PNC greater than 3.07 have lower IMR at 2.561.</w:t>
      </w: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Style w:val="Heading3"/>
        <w:jc w:val="both"/>
        <w:rPr>
          <w:rFonts w:ascii="Times New Roman" w:cs="Times New Roman" w:eastAsia="Times New Roman" w:hAnsi="Times New Roman"/>
        </w:rPr>
      </w:pPr>
      <w:bookmarkStart w:colFirst="0" w:colLast="0" w:name="_c0rmt6bga781" w:id="25"/>
      <w:bookmarkEnd w:id="25"/>
      <w:r w:rsidDel="00000000" w:rsidR="00000000" w:rsidRPr="00000000">
        <w:rPr>
          <w:rFonts w:ascii="Times New Roman" w:cs="Times New Roman" w:eastAsia="Times New Roman" w:hAnsi="Times New Roman"/>
          <w:rtl w:val="0"/>
        </w:rPr>
        <w:t xml:space="preserve">Result Sheet 4:</w:t>
      </w:r>
    </w:p>
    <w:p w:rsidR="00000000" w:rsidDel="00000000" w:rsidP="00000000" w:rsidRDefault="00000000" w:rsidRPr="00000000" w14:paraId="000001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Haemoglobin levels of women is often used as an indicator to get an overview of the health status of women in society. Haemoglobin level less than 7gm/dl indicates severe anaemia. </w:t>
      </w:r>
    </w:p>
    <w:p w:rsidR="00000000" w:rsidDel="00000000" w:rsidP="00000000" w:rsidRDefault="00000000" w:rsidRPr="00000000" w14:paraId="000001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analysis and corresponding scatter plot shows the correlation between MMR and low haemoglobin levels. </w:t>
      </w:r>
    </w:p>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9025" cy="2543175"/>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6290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Scatter Plot of MMR vs Low-Haemoglobin levels</w:t>
      </w:r>
    </w:p>
    <w:p w:rsidR="00000000" w:rsidDel="00000000" w:rsidP="00000000" w:rsidRDefault="00000000" w:rsidRPr="00000000" w14:paraId="0000015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6725" cy="4900996"/>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276725" cy="4900996"/>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Regression summary of MMR vs Low-haemoglobin levels</w:t>
      </w:r>
    </w:p>
    <w:p w:rsidR="00000000" w:rsidDel="00000000" w:rsidP="00000000" w:rsidRDefault="00000000" w:rsidRPr="00000000" w14:paraId="000001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of 0.109 and confidence interval of 0.259 to 0.617, shows the strong relation of the independent variable. </w:t>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intercept is 3.8310 and the coefficient is 0.4380. </w:t>
      </w:r>
    </w:p>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MMR = 3.8310 + ( 0.4380 * haemo ).</w:t>
      </w:r>
    </w:p>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Haemoglobin levels in women depend on a lot of factors like the literacy rate, availability of Primary Health Centres, etc. The decision tree plotted with these variables gave the following output. </w:t>
      </w:r>
    </w:p>
    <w:p w:rsidR="00000000" w:rsidDel="00000000" w:rsidP="00000000" w:rsidRDefault="00000000" w:rsidRPr="00000000" w14:paraId="0000015B">
      <w:pPr>
        <w:jc w:val="both"/>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Pr>
          <w:drawing>
            <wp:inline distB="114300" distT="114300" distL="114300" distR="114300">
              <wp:extent cx="5943600" cy="1181100"/>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181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Decision Tree 5 -  impact of literacy rate and PHC on low-haemoglobin rates</w:t>
      </w:r>
    </w:p>
    <w:p w:rsidR="00000000" w:rsidDel="00000000" w:rsidP="00000000" w:rsidRDefault="00000000" w:rsidRPr="00000000" w14:paraId="000001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 Impact of literacy rate and PHC on low-haemoglobin rates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Literacy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PHC per 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Women with Haemoglobin less than 7 (anemia)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districts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(out of 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159 (out of 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1.323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 (out of 159)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1.323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(out of 159)</w:t>
            </w:r>
          </w:p>
        </w:tc>
      </w:tr>
    </w:tbl>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Interpretation:</w:t>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Districts with literacy rates higher than 4.45 have anemia rate of 0.878, whereas districts with literacy rates less than 4.45 have anemia rate of 1.596. Lower literacy rate levels keep women ill-informed about anemia, resulting in poor health choices. It can be observed from the decision tree that districts with lower literacy rates can still help women by ensuring the availability of PHCs. Districts with literacy rate less than 4.45 but ‘PHC per 100,000’ greater than 1.323 have anemia rates of 1.366. </w:t>
      </w:r>
    </w:p>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jc w:val="both"/>
        <w:rPr>
          <w:rFonts w:ascii="Times New Roman" w:cs="Times New Roman" w:eastAsia="Times New Roman" w:hAnsi="Times New Roman"/>
        </w:rPr>
      </w:pPr>
      <w:bookmarkStart w:colFirst="0" w:colLast="0" w:name="_x257ao29x1kw" w:id="26"/>
      <w:bookmarkEnd w:id="26"/>
      <w:r w:rsidDel="00000000" w:rsidR="00000000" w:rsidRPr="00000000">
        <w:rPr>
          <w:rFonts w:ascii="Times New Roman" w:cs="Times New Roman" w:eastAsia="Times New Roman" w:hAnsi="Times New Roman"/>
          <w:rtl w:val="0"/>
        </w:rPr>
        <w:t xml:space="preserve">Result Analysis:</w:t>
      </w:r>
    </w:p>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was done on district level to identify the health status of the regions. Maternal health was chosen as the parameter to check the health status of the regions. The use of machine learning techniques like Linear Regression and Decision Tree Regression made the analysis easier to process and understand.  </w:t>
      </w:r>
    </w:p>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matrix and the combined scatter plots gave an idea of how the parameters interact with each other.  Decision tree was then used for analysis, which showed that higher per capita health expenditure and institutional deliveries can lower the MMR. The second analysis focused on the substitutability of the parameters. The decision trees plotted in this analysis showed that despite fewer institutional deliveries low MMR is still possible by ensuring high skilled home deliveries. Similarly, low per capita health expenditure can be offset by providing good PNC to women. </w:t>
      </w:r>
    </w:p>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result sheet deals with the relation between MMR and IMR. The regression analysis performed shows that an IMR is directly correlated with MMR. This further highlights the importance of maternal health. A newborn child’s survival is to a great extent dependent on the mother’s survival.</w:t>
      </w:r>
    </w:p>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fourth result sheet uses regression analysis to show how high anemia rates are correlated with high MMR. Decision Tree Regression was then used, which showed districts with high literacy rates and the availability of PHC have low anemia rates. </w:t>
      </w:r>
    </w:p>
    <w:p w:rsidR="00000000" w:rsidDel="00000000" w:rsidP="00000000" w:rsidRDefault="00000000" w:rsidRPr="00000000" w14:paraId="000001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1"/>
        <w:spacing w:line="480" w:lineRule="auto"/>
        <w:ind w:left="720"/>
        <w:jc w:val="both"/>
        <w:rPr>
          <w:rFonts w:ascii="Times New Roman" w:cs="Times New Roman" w:eastAsia="Times New Roman" w:hAnsi="Times New Roman"/>
        </w:rPr>
      </w:pPr>
      <w:bookmarkStart w:colFirst="0" w:colLast="0" w:name="_br38wep2f6ur" w:id="27"/>
      <w:bookmarkEnd w:id="27"/>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Balarajan, Y., Selvaraj, S., &amp; Subramanian, S. (2011). Health care and equity in India. </w:t>
      </w:r>
      <w:r w:rsidDel="00000000" w:rsidR="00000000" w:rsidRPr="00000000">
        <w:rPr>
          <w:rFonts w:ascii="Times New Roman" w:cs="Times New Roman" w:eastAsia="Times New Roman" w:hAnsi="Times New Roman"/>
          <w:i w:val="1"/>
          <w:vertAlign w:val="baseline"/>
          <w:rtl w:val="0"/>
        </w:rPr>
        <w:t xml:space="preserve">The Lancet</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377</w:t>
      </w:r>
      <w:r w:rsidDel="00000000" w:rsidR="00000000" w:rsidRPr="00000000">
        <w:rPr>
          <w:rFonts w:ascii="Times New Roman" w:cs="Times New Roman" w:eastAsia="Times New Roman" w:hAnsi="Times New Roman"/>
          <w:vertAlign w:val="baseline"/>
          <w:rtl w:val="0"/>
        </w:rPr>
        <w:t xml:space="preserve">(9764), 505–515. https://doi.org/10.1016/S0140-6736(10)61894-6</w:t>
      </w:r>
      <w:hyperlink r:id="rId30">
        <w:r w:rsidDel="00000000" w:rsidR="00000000" w:rsidRPr="00000000">
          <w:rPr>
            <w:rFonts w:ascii="Times New Roman" w:cs="Times New Roman" w:eastAsia="Times New Roman" w:hAnsi="Times New Roman"/>
            <w:vertAlign w:val="baseline"/>
            <w:rtl w:val="0"/>
          </w:rPr>
          <w:t xml:space="preserve">https://doi.org/10.11919/j.issn.1002-0829.215044</w:t>
        </w:r>
      </w:hyperlink>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Bose, M., &amp; Dutta, A. (2015). Inequity in hospitalization care: A study on utilization of healthcare services in West Bengal, India. </w:t>
      </w:r>
      <w:r w:rsidDel="00000000" w:rsidR="00000000" w:rsidRPr="00000000">
        <w:rPr>
          <w:rFonts w:ascii="Times New Roman" w:cs="Times New Roman" w:eastAsia="Times New Roman" w:hAnsi="Times New Roman"/>
          <w:i w:val="1"/>
          <w:vertAlign w:val="baseline"/>
          <w:rtl w:val="0"/>
        </w:rPr>
        <w:t xml:space="preserve">International Journal of Health Policy and Management</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4</w:t>
      </w:r>
      <w:r w:rsidDel="00000000" w:rsidR="00000000" w:rsidRPr="00000000">
        <w:rPr>
          <w:rFonts w:ascii="Times New Roman" w:cs="Times New Roman" w:eastAsia="Times New Roman" w:hAnsi="Times New Roman"/>
          <w:vertAlign w:val="baseline"/>
          <w:rtl w:val="0"/>
        </w:rPr>
        <w:t xml:space="preserve">(1), 29. https://doi.org/10.15171/ijhpm.2015.05</w:t>
      </w: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Chikersal, A. (2016). </w:t>
      </w:r>
      <w:r w:rsidDel="00000000" w:rsidR="00000000" w:rsidRPr="00000000">
        <w:rPr>
          <w:rFonts w:ascii="Times New Roman" w:cs="Times New Roman" w:eastAsia="Times New Roman" w:hAnsi="Times New Roman"/>
          <w:i w:val="1"/>
          <w:vertAlign w:val="baseline"/>
          <w:rtl w:val="0"/>
        </w:rPr>
        <w:t xml:space="preserve">An Exploratory Analysis of Urban Healthcare Stakeholders in India</w:t>
      </w:r>
      <w:r w:rsidDel="00000000" w:rsidR="00000000" w:rsidRPr="00000000">
        <w:rPr>
          <w:rFonts w:ascii="Times New Roman" w:cs="Times New Roman" w:eastAsia="Times New Roman" w:hAnsi="Times New Roman"/>
          <w:vertAlign w:val="baseline"/>
          <w:rtl w:val="0"/>
        </w:rPr>
        <w:t xml:space="preserve">.</w:t>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Dar, K. H. (2015). </w:t>
      </w:r>
      <w:r w:rsidDel="00000000" w:rsidR="00000000" w:rsidRPr="00000000">
        <w:rPr>
          <w:rFonts w:ascii="Times New Roman" w:cs="Times New Roman" w:eastAsia="Times New Roman" w:hAnsi="Times New Roman"/>
          <w:i w:val="1"/>
          <w:vertAlign w:val="baseline"/>
          <w:rtl w:val="0"/>
        </w:rPr>
        <w:t xml:space="preserve">Utilization of the Services of the Primary Health Centres in India—An Empirical Study</w:t>
      </w:r>
      <w:r w:rsidDel="00000000" w:rsidR="00000000" w:rsidRPr="00000000">
        <w:rPr>
          <w:rFonts w:ascii="Times New Roman" w:cs="Times New Roman" w:eastAsia="Times New Roman" w:hAnsi="Times New Roman"/>
          <w:vertAlign w:val="baseline"/>
          <w:rtl w:val="0"/>
        </w:rPr>
        <w:t xml:space="preserve">. 5.</w:t>
      </w: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Ghosh, S. (2014). Health sector reforms and changes in prevalence of untreated morbidity, choice of healthcare providers among the poor and rural population in India. </w:t>
      </w:r>
      <w:r w:rsidDel="00000000" w:rsidR="00000000" w:rsidRPr="00000000">
        <w:rPr>
          <w:rFonts w:ascii="Times New Roman" w:cs="Times New Roman" w:eastAsia="Times New Roman" w:hAnsi="Times New Roman"/>
          <w:i w:val="1"/>
          <w:vertAlign w:val="baseline"/>
          <w:rtl w:val="0"/>
        </w:rPr>
        <w:t xml:space="preserve">International Journal of Health Policy and Management</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2</w:t>
      </w:r>
      <w:r w:rsidDel="00000000" w:rsidR="00000000" w:rsidRPr="00000000">
        <w:rPr>
          <w:rFonts w:ascii="Times New Roman" w:cs="Times New Roman" w:eastAsia="Times New Roman" w:hAnsi="Times New Roman"/>
          <w:vertAlign w:val="baseline"/>
          <w:rtl w:val="0"/>
        </w:rPr>
        <w:t xml:space="preserve">(3), 125–130. https://doi.org/10.15171/ijhpm.2014.32</w:t>
      </w: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Gokhale, M. K., Rao, S. S., &amp; Garole, V. R. (2002). Infant Mortality in India: Use of Maternal and Child Health Services in Relation to Literacy Status. </w:t>
      </w:r>
      <w:r w:rsidDel="00000000" w:rsidR="00000000" w:rsidRPr="00000000">
        <w:rPr>
          <w:rFonts w:ascii="Times New Roman" w:cs="Times New Roman" w:eastAsia="Times New Roman" w:hAnsi="Times New Roman"/>
          <w:i w:val="1"/>
          <w:vertAlign w:val="baseline"/>
          <w:rtl w:val="0"/>
        </w:rPr>
        <w:t xml:space="preserve">Journal of Health, Population and Nutrition</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20</w:t>
      </w:r>
      <w:r w:rsidDel="00000000" w:rsidR="00000000" w:rsidRPr="00000000">
        <w:rPr>
          <w:rFonts w:ascii="Times New Roman" w:cs="Times New Roman" w:eastAsia="Times New Roman" w:hAnsi="Times New Roman"/>
          <w:vertAlign w:val="baseline"/>
          <w:rtl w:val="0"/>
        </w:rPr>
        <w:t xml:space="preserve">(2), 138–147. JSTOR.</w:t>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Gupta, S. K., Pal, D. K., Tiwari, R., Garg, R., Shrivastava, A. K., Sarawagi, R., Patil, R., Agarwal, L., Gupta, P., &amp; Lahariya, C. (2012). Impact of Janani Suraksha Yojana on Institutional Delivery Rate and Maternal Morbidity and Mortality: An Observational Study in India. </w:t>
      </w:r>
      <w:r w:rsidDel="00000000" w:rsidR="00000000" w:rsidRPr="00000000">
        <w:rPr>
          <w:rFonts w:ascii="Times New Roman" w:cs="Times New Roman" w:eastAsia="Times New Roman" w:hAnsi="Times New Roman"/>
          <w:i w:val="1"/>
          <w:vertAlign w:val="baseline"/>
          <w:rtl w:val="0"/>
        </w:rPr>
        <w:t xml:space="preserve">Journal of Health, Population, and Nutrition</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30</w:t>
      </w:r>
      <w:r w:rsidDel="00000000" w:rsidR="00000000" w:rsidRPr="00000000">
        <w:rPr>
          <w:rFonts w:ascii="Times New Roman" w:cs="Times New Roman" w:eastAsia="Times New Roman" w:hAnsi="Times New Roman"/>
          <w:vertAlign w:val="baseline"/>
          <w:rtl w:val="0"/>
        </w:rPr>
        <w:t xml:space="preserve">(4), 464–471.</w:t>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Mohanan, M., Hay, K., &amp; Mor, N. (2016). Quality Of Health Care In India: Challenges, Priorities, And The Road Ahead. </w:t>
      </w:r>
      <w:r w:rsidDel="00000000" w:rsidR="00000000" w:rsidRPr="00000000">
        <w:rPr>
          <w:rFonts w:ascii="Times New Roman" w:cs="Times New Roman" w:eastAsia="Times New Roman" w:hAnsi="Times New Roman"/>
          <w:i w:val="1"/>
          <w:vertAlign w:val="baseline"/>
          <w:rtl w:val="0"/>
        </w:rPr>
        <w:t xml:space="preserve">Health Affairs</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35</w:t>
      </w:r>
      <w:r w:rsidDel="00000000" w:rsidR="00000000" w:rsidRPr="00000000">
        <w:rPr>
          <w:rFonts w:ascii="Times New Roman" w:cs="Times New Roman" w:eastAsia="Times New Roman" w:hAnsi="Times New Roman"/>
          <w:vertAlign w:val="baseline"/>
          <w:rtl w:val="0"/>
        </w:rPr>
        <w:t xml:space="preserve">(10), 1753–1758. https://doi.org/10.1377/hlthaff.2016.0676</w:t>
      </w: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Montgomery, A., Ram, U., Kumar, R., &amp; Jha, P. (2014). Maternal Mortality in India: Causes and Healthcare Service Use Based on Nationally Representative Survey. </w:t>
      </w:r>
      <w:r w:rsidDel="00000000" w:rsidR="00000000" w:rsidRPr="00000000">
        <w:rPr>
          <w:rFonts w:ascii="Times New Roman" w:cs="Times New Roman" w:eastAsia="Times New Roman" w:hAnsi="Times New Roman"/>
          <w:i w:val="1"/>
          <w:vertAlign w:val="baseline"/>
          <w:rtl w:val="0"/>
        </w:rPr>
        <w:t xml:space="preserve">PloS One</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9</w:t>
      </w:r>
      <w:r w:rsidDel="00000000" w:rsidR="00000000" w:rsidRPr="00000000">
        <w:rPr>
          <w:rFonts w:ascii="Times New Roman" w:cs="Times New Roman" w:eastAsia="Times New Roman" w:hAnsi="Times New Roman"/>
          <w:vertAlign w:val="baseline"/>
          <w:rtl w:val="0"/>
        </w:rPr>
        <w:t xml:space="preserve">, e83331. https://doi.org/10.1371/journal.pone.0083331</w:t>
      </w: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Prinja, S., Gupta, A., Verma, R., Bahuguna, P., Kumar, D., Kaur, M., &amp; Kumar, R. (2016). Cost of Delivering Health Care Services in Public Sector Primary and Community Health Centres in North India. </w:t>
      </w:r>
      <w:r w:rsidDel="00000000" w:rsidR="00000000" w:rsidRPr="00000000">
        <w:rPr>
          <w:rFonts w:ascii="Times New Roman" w:cs="Times New Roman" w:eastAsia="Times New Roman" w:hAnsi="Times New Roman"/>
          <w:i w:val="1"/>
          <w:vertAlign w:val="baseline"/>
          <w:rtl w:val="0"/>
        </w:rPr>
        <w:t xml:space="preserve">PLOS ONE</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11</w:t>
      </w:r>
      <w:r w:rsidDel="00000000" w:rsidR="00000000" w:rsidRPr="00000000">
        <w:rPr>
          <w:rFonts w:ascii="Times New Roman" w:cs="Times New Roman" w:eastAsia="Times New Roman" w:hAnsi="Times New Roman"/>
          <w:vertAlign w:val="baseline"/>
          <w:rtl w:val="0"/>
        </w:rPr>
        <w:t xml:space="preserve">(8), e0160986. https://doi.org/10.1371/journal.pone.0160986</w:t>
      </w: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Purohit, B. C. (2004). Inter-State Disparities in Health Care and Financial Burden on the Poor in India. </w:t>
      </w:r>
      <w:r w:rsidDel="00000000" w:rsidR="00000000" w:rsidRPr="00000000">
        <w:rPr>
          <w:rFonts w:ascii="Times New Roman" w:cs="Times New Roman" w:eastAsia="Times New Roman" w:hAnsi="Times New Roman"/>
          <w:i w:val="1"/>
          <w:vertAlign w:val="baseline"/>
          <w:rtl w:val="0"/>
        </w:rPr>
        <w:t xml:space="preserve">Journal of Health &amp; Social Policy</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18</w:t>
      </w:r>
      <w:r w:rsidDel="00000000" w:rsidR="00000000" w:rsidRPr="00000000">
        <w:rPr>
          <w:rFonts w:ascii="Times New Roman" w:cs="Times New Roman" w:eastAsia="Times New Roman" w:hAnsi="Times New Roman"/>
          <w:vertAlign w:val="baseline"/>
          <w:rtl w:val="0"/>
        </w:rPr>
        <w:t xml:space="preserve">(3), 37–60. https://doi.org/10.1300/J045v18n03_03</w:t>
      </w: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Ram, F., &amp; Singh, A. (2006). IS ANTENATAL CARE EFFECTIVE IN IMPROVING MATERNAL HEALTH IN RURAL UTTAR PRADESH? EVIDENCE FROM A DISTRICT LEVEL HOUSEHOLD SURVEY. </w:t>
      </w:r>
      <w:r w:rsidDel="00000000" w:rsidR="00000000" w:rsidRPr="00000000">
        <w:rPr>
          <w:rFonts w:ascii="Times New Roman" w:cs="Times New Roman" w:eastAsia="Times New Roman" w:hAnsi="Times New Roman"/>
          <w:i w:val="1"/>
          <w:vertAlign w:val="baseline"/>
          <w:rtl w:val="0"/>
        </w:rPr>
        <w:t xml:space="preserve">Journal of Biosocial Science</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38</w:t>
      </w:r>
      <w:r w:rsidDel="00000000" w:rsidR="00000000" w:rsidRPr="00000000">
        <w:rPr>
          <w:rFonts w:ascii="Times New Roman" w:cs="Times New Roman" w:eastAsia="Times New Roman" w:hAnsi="Times New Roman"/>
          <w:vertAlign w:val="baseline"/>
          <w:rtl w:val="0"/>
        </w:rPr>
        <w:t xml:space="preserve">(04), 433. https://doi.org/10.1017/S0021932005026453</w:t>
      </w: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Rao, S. (2014). </w:t>
      </w:r>
      <w:r w:rsidDel="00000000" w:rsidR="00000000" w:rsidRPr="00000000">
        <w:rPr>
          <w:rFonts w:ascii="Times New Roman" w:cs="Times New Roman" w:eastAsia="Times New Roman" w:hAnsi="Times New Roman"/>
          <w:i w:val="1"/>
          <w:vertAlign w:val="baseline"/>
          <w:rtl w:val="0"/>
        </w:rPr>
        <w:t xml:space="preserve">Inter-State Comparisons on Health Outcomes in Major States and a Framework for Resource Devolution for Health.</w:t>
      </w: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Reddy, K. S., Patel, V., Jha, P., Paul, V. K., Kumar, A. S., &amp; Dandona, L. (2011). Towards achievement of universal health care in India by 2020: A call to action. </w:t>
      </w:r>
      <w:r w:rsidDel="00000000" w:rsidR="00000000" w:rsidRPr="00000000">
        <w:rPr>
          <w:rFonts w:ascii="Times New Roman" w:cs="Times New Roman" w:eastAsia="Times New Roman" w:hAnsi="Times New Roman"/>
          <w:i w:val="1"/>
          <w:vertAlign w:val="baseline"/>
          <w:rtl w:val="0"/>
        </w:rPr>
        <w:t xml:space="preserve">The Lancet</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377</w:t>
      </w:r>
      <w:r w:rsidDel="00000000" w:rsidR="00000000" w:rsidRPr="00000000">
        <w:rPr>
          <w:rFonts w:ascii="Times New Roman" w:cs="Times New Roman" w:eastAsia="Times New Roman" w:hAnsi="Times New Roman"/>
          <w:vertAlign w:val="baseline"/>
          <w:rtl w:val="0"/>
        </w:rPr>
        <w:t xml:space="preserve">(9767), 760–768. https://doi.org/10.1016/S0140-6736(10)61960-5</w:t>
      </w: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Revu, S., Kodali, V. R., &amp; Dongabanti, H. D. (2017). Study of impact of JSSK scheme on institutional deliveries and maternal mortality rate: Visakhapatnam district Andhra Pradesh. </w:t>
      </w:r>
      <w:r w:rsidDel="00000000" w:rsidR="00000000" w:rsidRPr="00000000">
        <w:rPr>
          <w:rFonts w:ascii="Times New Roman" w:cs="Times New Roman" w:eastAsia="Times New Roman" w:hAnsi="Times New Roman"/>
          <w:i w:val="1"/>
          <w:vertAlign w:val="baseline"/>
          <w:rtl w:val="0"/>
        </w:rPr>
        <w:t xml:space="preserve">International Journal of Research in Medical Sciences</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6</w:t>
      </w:r>
      <w:r w:rsidDel="00000000" w:rsidR="00000000" w:rsidRPr="00000000">
        <w:rPr>
          <w:rFonts w:ascii="Times New Roman" w:cs="Times New Roman" w:eastAsia="Times New Roman" w:hAnsi="Times New Roman"/>
          <w:vertAlign w:val="baseline"/>
          <w:rtl w:val="0"/>
        </w:rPr>
        <w:t xml:space="preserve">(1), 160. https://doi.org/10.18203/2320-6012.ijrms20175713</w:t>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Singh, P., Kumar, V., &amp; Verma, S. (2016). How Affordable is Childbearing in India? An Evaluation of Maternal Healthcare Expenditures. </w:t>
      </w:r>
      <w:r w:rsidDel="00000000" w:rsidR="00000000" w:rsidRPr="00000000">
        <w:rPr>
          <w:rFonts w:ascii="Times New Roman" w:cs="Times New Roman" w:eastAsia="Times New Roman" w:hAnsi="Times New Roman"/>
          <w:i w:val="1"/>
          <w:vertAlign w:val="baseline"/>
          <w:rtl w:val="0"/>
        </w:rPr>
        <w:t xml:space="preserve">Newborn and Infant Nursing Reviews</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16</w:t>
      </w:r>
      <w:r w:rsidDel="00000000" w:rsidR="00000000" w:rsidRPr="00000000">
        <w:rPr>
          <w:rFonts w:ascii="Times New Roman" w:cs="Times New Roman" w:eastAsia="Times New Roman" w:hAnsi="Times New Roman"/>
          <w:vertAlign w:val="baseline"/>
          <w:rtl w:val="0"/>
        </w:rPr>
        <w:t xml:space="preserve">(4), 175–183. https://doi.org/10.1053/j.nainr.2016.09.012</w:t>
      </w: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SONG, Y., &amp; LU, Y. (2015). Decision tree methods: Applications for classification and prediction. </w:t>
      </w:r>
      <w:r w:rsidDel="00000000" w:rsidR="00000000" w:rsidRPr="00000000">
        <w:rPr>
          <w:rFonts w:ascii="Times New Roman" w:cs="Times New Roman" w:eastAsia="Times New Roman" w:hAnsi="Times New Roman"/>
          <w:i w:val="1"/>
          <w:vertAlign w:val="baseline"/>
          <w:rtl w:val="0"/>
        </w:rPr>
        <w:t xml:space="preserve">Shanghai Archives of Psychiatry</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27</w:t>
      </w:r>
      <w:r w:rsidDel="00000000" w:rsidR="00000000" w:rsidRPr="00000000">
        <w:rPr>
          <w:rFonts w:ascii="Times New Roman" w:cs="Times New Roman" w:eastAsia="Times New Roman" w:hAnsi="Times New Roman"/>
          <w:vertAlign w:val="baseline"/>
          <w:rtl w:val="0"/>
        </w:rPr>
        <w:t xml:space="preserve">(2), 130–135. https://doi.org/10.11919/j.issn.1002-0829.215044</w:t>
      </w: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1"/>
        <w:widowControl w:val="0"/>
        <w:spacing w:line="480" w:lineRule="auto"/>
        <w:ind w:left="720"/>
        <w:jc w:val="both"/>
        <w:rPr/>
      </w:pPr>
      <w:bookmarkStart w:colFirst="0" w:colLast="0" w:name="_oeera7gr6efm" w:id="28"/>
      <w:bookmarkEnd w:id="28"/>
      <w:r w:rsidDel="00000000" w:rsidR="00000000" w:rsidRPr="00000000">
        <w:rPr>
          <w:rtl w:val="0"/>
        </w:rPr>
        <w:t xml:space="preserve">Appendix A</w:t>
      </w:r>
    </w:p>
    <w:p w:rsidR="00000000" w:rsidDel="00000000" w:rsidP="00000000" w:rsidRDefault="00000000" w:rsidRPr="00000000" w14:paraId="00000198">
      <w:pPr>
        <w:jc w:val="center"/>
        <w:rPr>
          <w:b w:val="1"/>
        </w:rPr>
      </w:pPr>
      <w:r w:rsidDel="00000000" w:rsidR="00000000" w:rsidRPr="00000000">
        <w:rPr>
          <w:b w:val="1"/>
          <w:rtl w:val="0"/>
        </w:rPr>
        <w:t xml:space="preserve">VBA Script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line="360" w:lineRule="auto"/>
        <w:rPr/>
      </w:pPr>
      <w:r w:rsidDel="00000000" w:rsidR="00000000" w:rsidRPr="00000000">
        <w:rPr>
          <w:rtl w:val="0"/>
        </w:rPr>
        <w:t xml:space="preserve">Sub GetSheets()</w:t>
      </w:r>
    </w:p>
    <w:p w:rsidR="00000000" w:rsidDel="00000000" w:rsidP="00000000" w:rsidRDefault="00000000" w:rsidRPr="00000000" w14:paraId="0000019B">
      <w:pPr>
        <w:spacing w:line="360" w:lineRule="auto"/>
        <w:rPr/>
      </w:pPr>
      <w:r w:rsidDel="00000000" w:rsidR="00000000" w:rsidRPr="00000000">
        <w:rPr>
          <w:rtl w:val="0"/>
        </w:rPr>
        <w:t xml:space="preserve">Path = ""</w:t>
      </w:r>
    </w:p>
    <w:p w:rsidR="00000000" w:rsidDel="00000000" w:rsidP="00000000" w:rsidRDefault="00000000" w:rsidRPr="00000000" w14:paraId="0000019C">
      <w:pPr>
        <w:spacing w:line="360" w:lineRule="auto"/>
        <w:rPr/>
      </w:pPr>
      <w:r w:rsidDel="00000000" w:rsidR="00000000" w:rsidRPr="00000000">
        <w:rPr>
          <w:rtl w:val="0"/>
        </w:rPr>
        <w:t xml:space="preserve">Filename = Dir(Path &amp; "*.xls")</w:t>
      </w:r>
    </w:p>
    <w:p w:rsidR="00000000" w:rsidDel="00000000" w:rsidP="00000000" w:rsidRDefault="00000000" w:rsidRPr="00000000" w14:paraId="0000019D">
      <w:pPr>
        <w:spacing w:line="360" w:lineRule="auto"/>
        <w:rPr/>
      </w:pPr>
      <w:r w:rsidDel="00000000" w:rsidR="00000000" w:rsidRPr="00000000">
        <w:rPr>
          <w:rtl w:val="0"/>
        </w:rPr>
        <w:t xml:space="preserve">Do While Filename &lt;&gt; ""</w:t>
      </w:r>
    </w:p>
    <w:p w:rsidR="00000000" w:rsidDel="00000000" w:rsidP="00000000" w:rsidRDefault="00000000" w:rsidRPr="00000000" w14:paraId="0000019E">
      <w:pPr>
        <w:spacing w:line="360" w:lineRule="auto"/>
        <w:rPr/>
      </w:pPr>
      <w:r w:rsidDel="00000000" w:rsidR="00000000" w:rsidRPr="00000000">
        <w:rPr>
          <w:rtl w:val="0"/>
        </w:rPr>
        <w:t xml:space="preserve">Workbooks.Open Filename:=Path &amp; Filename, ReadOnly:=True</w:t>
      </w:r>
    </w:p>
    <w:p w:rsidR="00000000" w:rsidDel="00000000" w:rsidP="00000000" w:rsidRDefault="00000000" w:rsidRPr="00000000" w14:paraId="0000019F">
      <w:pPr>
        <w:spacing w:line="360" w:lineRule="auto"/>
        <w:rPr/>
      </w:pPr>
      <w:r w:rsidDel="00000000" w:rsidR="00000000" w:rsidRPr="00000000">
        <w:rPr>
          <w:rtl w:val="0"/>
        </w:rPr>
        <w:t xml:space="preserve">For Each Sheet In ActiveWorkbook.Sheets</w:t>
      </w:r>
    </w:p>
    <w:p w:rsidR="00000000" w:rsidDel="00000000" w:rsidP="00000000" w:rsidRDefault="00000000" w:rsidRPr="00000000" w14:paraId="000001A0">
      <w:pPr>
        <w:spacing w:line="360" w:lineRule="auto"/>
        <w:rPr/>
      </w:pPr>
      <w:r w:rsidDel="00000000" w:rsidR="00000000" w:rsidRPr="00000000">
        <w:rPr>
          <w:rtl w:val="0"/>
        </w:rPr>
        <w:t xml:space="preserve">Sheet.Copy After:=ThisWorkbook.Sheets(1)</w:t>
      </w:r>
    </w:p>
    <w:p w:rsidR="00000000" w:rsidDel="00000000" w:rsidP="00000000" w:rsidRDefault="00000000" w:rsidRPr="00000000" w14:paraId="000001A1">
      <w:pPr>
        <w:spacing w:line="360" w:lineRule="auto"/>
        <w:rPr/>
      </w:pPr>
      <w:r w:rsidDel="00000000" w:rsidR="00000000" w:rsidRPr="00000000">
        <w:rPr>
          <w:rtl w:val="0"/>
        </w:rPr>
        <w:t xml:space="preserve">Next Sheet</w:t>
      </w:r>
    </w:p>
    <w:p w:rsidR="00000000" w:rsidDel="00000000" w:rsidP="00000000" w:rsidRDefault="00000000" w:rsidRPr="00000000" w14:paraId="000001A2">
      <w:pPr>
        <w:spacing w:line="360" w:lineRule="auto"/>
        <w:rPr/>
      </w:pPr>
      <w:r w:rsidDel="00000000" w:rsidR="00000000" w:rsidRPr="00000000">
        <w:rPr>
          <w:rtl w:val="0"/>
        </w:rPr>
        <w:t xml:space="preserve">Workbooks(Filename).Close</w:t>
      </w:r>
    </w:p>
    <w:p w:rsidR="00000000" w:rsidDel="00000000" w:rsidP="00000000" w:rsidRDefault="00000000" w:rsidRPr="00000000" w14:paraId="000001A3">
      <w:pPr>
        <w:spacing w:line="360" w:lineRule="auto"/>
        <w:rPr/>
      </w:pPr>
      <w:r w:rsidDel="00000000" w:rsidR="00000000" w:rsidRPr="00000000">
        <w:rPr>
          <w:rtl w:val="0"/>
        </w:rPr>
        <w:t xml:space="preserve">Filename = Dir()</w:t>
      </w:r>
    </w:p>
    <w:p w:rsidR="00000000" w:rsidDel="00000000" w:rsidP="00000000" w:rsidRDefault="00000000" w:rsidRPr="00000000" w14:paraId="000001A4">
      <w:pPr>
        <w:spacing w:line="360" w:lineRule="auto"/>
        <w:rPr/>
      </w:pPr>
      <w:r w:rsidDel="00000000" w:rsidR="00000000" w:rsidRPr="00000000">
        <w:rPr>
          <w:rtl w:val="0"/>
        </w:rPr>
        <w:t xml:space="preserve">Loop</w:t>
      </w:r>
    </w:p>
    <w:p w:rsidR="00000000" w:rsidDel="00000000" w:rsidP="00000000" w:rsidRDefault="00000000" w:rsidRPr="00000000" w14:paraId="000001A5">
      <w:pPr>
        <w:spacing w:line="360" w:lineRule="auto"/>
        <w:rPr/>
      </w:pPr>
      <w:r w:rsidDel="00000000" w:rsidR="00000000" w:rsidRPr="00000000">
        <w:rPr>
          <w:rtl w:val="0"/>
        </w:rPr>
        <w:t xml:space="preserve">End Sub</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1"/>
        <w:rPr/>
      </w:pPr>
      <w:bookmarkStart w:colFirst="0" w:colLast="0" w:name="_sk5zi28h3rwc" w:id="29"/>
      <w:bookmarkEnd w:id="29"/>
      <w:r w:rsidDel="00000000" w:rsidR="00000000" w:rsidRPr="00000000">
        <w:rPr>
          <w:rtl w:val="0"/>
        </w:rPr>
        <w:t xml:space="preserve">Appendix B</w:t>
      </w:r>
    </w:p>
    <w:p w:rsidR="00000000" w:rsidDel="00000000" w:rsidP="00000000" w:rsidRDefault="00000000" w:rsidRPr="00000000" w14:paraId="000001A9">
      <w:pPr>
        <w:jc w:val="center"/>
        <w:rPr>
          <w:b w:val="1"/>
        </w:rPr>
      </w:pPr>
      <w:r w:rsidDel="00000000" w:rsidR="00000000" w:rsidRPr="00000000">
        <w:rPr>
          <w:b w:val="1"/>
          <w:rtl w:val="0"/>
        </w:rPr>
        <w:t xml:space="preserve">Python script</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 -*- coding: utf-8 -*-</w:t>
      </w:r>
    </w:p>
    <w:p w:rsidR="00000000" w:rsidDel="00000000" w:rsidP="00000000" w:rsidRDefault="00000000" w:rsidRPr="00000000" w14:paraId="000001AC">
      <w:pPr>
        <w:rPr/>
      </w:pPr>
      <w:r w:rsidDel="00000000" w:rsidR="00000000" w:rsidRPr="00000000">
        <w:rPr>
          <w:rtl w:val="0"/>
        </w:rPr>
        <w:t xml:space="preserve">"""</w:t>
      </w:r>
    </w:p>
    <w:p w:rsidR="00000000" w:rsidDel="00000000" w:rsidP="00000000" w:rsidRDefault="00000000" w:rsidRPr="00000000" w14:paraId="000001AD">
      <w:pPr>
        <w:rPr/>
      </w:pPr>
      <w:r w:rsidDel="00000000" w:rsidR="00000000" w:rsidRPr="00000000">
        <w:rPr>
          <w:rtl w:val="0"/>
        </w:rPr>
        <w:t xml:space="preserve">Created on Fri Aug  7 16:40:46 2020</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@author: AbhishekKumar</w:t>
      </w:r>
    </w:p>
    <w:p w:rsidR="00000000" w:rsidDel="00000000" w:rsidP="00000000" w:rsidRDefault="00000000" w:rsidRPr="00000000" w14:paraId="000001B0">
      <w:pPr>
        <w:rPr/>
      </w:pPr>
      <w:r w:rsidDel="00000000" w:rsidR="00000000" w:rsidRPr="00000000">
        <w:rPr>
          <w:rtl w:val="0"/>
        </w:rPr>
        <w:t xml:space="preserve">"""</w:t>
      </w:r>
    </w:p>
    <w:p w:rsidR="00000000" w:rsidDel="00000000" w:rsidP="00000000" w:rsidRDefault="00000000" w:rsidRPr="00000000" w14:paraId="000001B1">
      <w:pPr>
        <w:spacing w:line="360" w:lineRule="auto"/>
        <w:rPr/>
      </w:pPr>
      <w:r w:rsidDel="00000000" w:rsidR="00000000" w:rsidRPr="00000000">
        <w:rPr>
          <w:rtl w:val="0"/>
        </w:rPr>
        <w:t xml:space="preserve">import os</w:t>
      </w:r>
    </w:p>
    <w:p w:rsidR="00000000" w:rsidDel="00000000" w:rsidP="00000000" w:rsidRDefault="00000000" w:rsidRPr="00000000" w14:paraId="000001B2">
      <w:pPr>
        <w:spacing w:line="360" w:lineRule="auto"/>
        <w:rPr/>
      </w:pPr>
      <w:r w:rsidDel="00000000" w:rsidR="00000000" w:rsidRPr="00000000">
        <w:rPr>
          <w:rtl w:val="0"/>
        </w:rPr>
        <w:t xml:space="preserve">import pandas as pd</w:t>
      </w:r>
    </w:p>
    <w:p w:rsidR="00000000" w:rsidDel="00000000" w:rsidP="00000000" w:rsidRDefault="00000000" w:rsidRPr="00000000" w14:paraId="000001B3">
      <w:pPr>
        <w:spacing w:line="360" w:lineRule="auto"/>
        <w:rPr/>
      </w:pPr>
      <w:r w:rsidDel="00000000" w:rsidR="00000000" w:rsidRPr="00000000">
        <w:rPr>
          <w:rtl w:val="0"/>
        </w:rPr>
      </w:r>
    </w:p>
    <w:p w:rsidR="00000000" w:rsidDel="00000000" w:rsidP="00000000" w:rsidRDefault="00000000" w:rsidRPr="00000000" w14:paraId="000001B4">
      <w:pPr>
        <w:spacing w:line="360" w:lineRule="auto"/>
        <w:rPr/>
      </w:pPr>
      <w:r w:rsidDel="00000000" w:rsidR="00000000" w:rsidRPr="00000000">
        <w:rPr>
          <w:rtl w:val="0"/>
        </w:rPr>
        <w:t xml:space="preserve">path = os.getcwd()</w:t>
      </w:r>
    </w:p>
    <w:p w:rsidR="00000000" w:rsidDel="00000000" w:rsidP="00000000" w:rsidRDefault="00000000" w:rsidRPr="00000000" w14:paraId="000001B5">
      <w:pPr>
        <w:spacing w:line="360" w:lineRule="auto"/>
        <w:rPr/>
      </w:pPr>
      <w:r w:rsidDel="00000000" w:rsidR="00000000" w:rsidRPr="00000000">
        <w:rPr>
          <w:rtl w:val="0"/>
        </w:rPr>
        <w:t xml:space="preserve">#path = "E:\\BITS\\sem 8\\2018-2019\\Arunachal Pradesh\\"</w:t>
      </w:r>
    </w:p>
    <w:p w:rsidR="00000000" w:rsidDel="00000000" w:rsidP="00000000" w:rsidRDefault="00000000" w:rsidRPr="00000000" w14:paraId="000001B6">
      <w:pPr>
        <w:spacing w:line="360" w:lineRule="auto"/>
        <w:rPr/>
      </w:pPr>
      <w:r w:rsidDel="00000000" w:rsidR="00000000" w:rsidRPr="00000000">
        <w:rPr>
          <w:rtl w:val="0"/>
        </w:rPr>
        <w:t xml:space="preserve">#os.chdir("E:\\BITS\\sem 8\\2018-2019\\Arunachal Pradesh\\")</w:t>
      </w:r>
    </w:p>
    <w:p w:rsidR="00000000" w:rsidDel="00000000" w:rsidP="00000000" w:rsidRDefault="00000000" w:rsidRPr="00000000" w14:paraId="000001B7">
      <w:pPr>
        <w:spacing w:line="360" w:lineRule="auto"/>
        <w:rPr/>
      </w:pPr>
      <w:r w:rsidDel="00000000" w:rsidR="00000000" w:rsidRPr="00000000">
        <w:rPr>
          <w:rtl w:val="0"/>
        </w:rPr>
        <w:t xml:space="preserve">files = os.listdir(path)</w:t>
      </w:r>
    </w:p>
    <w:p w:rsidR="00000000" w:rsidDel="00000000" w:rsidP="00000000" w:rsidRDefault="00000000" w:rsidRPr="00000000" w14:paraId="000001B8">
      <w:pPr>
        <w:spacing w:line="360" w:lineRule="auto"/>
        <w:rPr/>
      </w:pPr>
      <w:r w:rsidDel="00000000" w:rsidR="00000000" w:rsidRPr="00000000">
        <w:rPr>
          <w:rtl w:val="0"/>
        </w:rPr>
        <w:t xml:space="preserve">files</w:t>
      </w:r>
    </w:p>
    <w:p w:rsidR="00000000" w:rsidDel="00000000" w:rsidP="00000000" w:rsidRDefault="00000000" w:rsidRPr="00000000" w14:paraId="000001B9">
      <w:pPr>
        <w:spacing w:line="360" w:lineRule="auto"/>
        <w:rPr/>
      </w:pPr>
      <w:r w:rsidDel="00000000" w:rsidR="00000000" w:rsidRPr="00000000">
        <w:rPr>
          <w:rtl w:val="0"/>
        </w:rPr>
      </w:r>
    </w:p>
    <w:p w:rsidR="00000000" w:rsidDel="00000000" w:rsidP="00000000" w:rsidRDefault="00000000" w:rsidRPr="00000000" w14:paraId="000001BA">
      <w:pPr>
        <w:spacing w:line="360" w:lineRule="auto"/>
        <w:rPr/>
      </w:pPr>
      <w:r w:rsidDel="00000000" w:rsidR="00000000" w:rsidRPr="00000000">
        <w:rPr>
          <w:rtl w:val="0"/>
        </w:rPr>
        <w:t xml:space="preserve">data = pd.read_excel('dadra and nagar haveli.xlsx', 'Sheet1 (2)')</w:t>
      </w:r>
    </w:p>
    <w:p w:rsidR="00000000" w:rsidDel="00000000" w:rsidP="00000000" w:rsidRDefault="00000000" w:rsidRPr="00000000" w14:paraId="000001BB">
      <w:pPr>
        <w:spacing w:line="360" w:lineRule="auto"/>
        <w:rPr/>
      </w:pPr>
      <w:r w:rsidDel="00000000" w:rsidR="00000000" w:rsidRPr="00000000">
        <w:rPr>
          <w:rtl w:val="0"/>
        </w:rPr>
        <w:t xml:space="preserve">final = data.iloc[:, [2, 54]]</w:t>
      </w:r>
    </w:p>
    <w:p w:rsidR="00000000" w:rsidDel="00000000" w:rsidP="00000000" w:rsidRDefault="00000000" w:rsidRPr="00000000" w14:paraId="000001BC">
      <w:pPr>
        <w:spacing w:line="360" w:lineRule="auto"/>
        <w:rPr/>
      </w:pPr>
      <w:r w:rsidDel="00000000" w:rsidR="00000000" w:rsidRPr="00000000">
        <w:rPr>
          <w:rtl w:val="0"/>
        </w:rPr>
        <w:t xml:space="preserve">final = final.transpose()</w:t>
      </w:r>
    </w:p>
    <w:p w:rsidR="00000000" w:rsidDel="00000000" w:rsidP="00000000" w:rsidRDefault="00000000" w:rsidRPr="00000000" w14:paraId="000001BD">
      <w:pPr>
        <w:spacing w:line="360" w:lineRule="auto"/>
        <w:rPr/>
      </w:pPr>
      <w:r w:rsidDel="00000000" w:rsidR="00000000" w:rsidRPr="00000000">
        <w:rPr>
          <w:rtl w:val="0"/>
        </w:rPr>
      </w:r>
    </w:p>
    <w:p w:rsidR="00000000" w:rsidDel="00000000" w:rsidP="00000000" w:rsidRDefault="00000000" w:rsidRPr="00000000" w14:paraId="000001BE">
      <w:pPr>
        <w:spacing w:line="360" w:lineRule="auto"/>
        <w:rPr/>
      </w:pPr>
      <w:r w:rsidDel="00000000" w:rsidR="00000000" w:rsidRPr="00000000">
        <w:rPr>
          <w:rtl w:val="0"/>
        </w:rPr>
        <w:t xml:space="preserve">for f in files:</w:t>
      </w:r>
    </w:p>
    <w:p w:rsidR="00000000" w:rsidDel="00000000" w:rsidP="00000000" w:rsidRDefault="00000000" w:rsidRPr="00000000" w14:paraId="000001BF">
      <w:pPr>
        <w:spacing w:line="360" w:lineRule="auto"/>
        <w:rPr/>
      </w:pPr>
      <w:r w:rsidDel="00000000" w:rsidR="00000000" w:rsidRPr="00000000">
        <w:rPr>
          <w:rtl w:val="0"/>
        </w:rPr>
        <w:t xml:space="preserve">    xls=pd.ExcelFile(f)</w:t>
      </w:r>
    </w:p>
    <w:p w:rsidR="00000000" w:rsidDel="00000000" w:rsidP="00000000" w:rsidRDefault="00000000" w:rsidRPr="00000000" w14:paraId="000001C0">
      <w:pPr>
        <w:spacing w:line="360" w:lineRule="auto"/>
        <w:rPr/>
      </w:pPr>
      <w:r w:rsidDel="00000000" w:rsidR="00000000" w:rsidRPr="00000000">
        <w:rPr>
          <w:rtl w:val="0"/>
        </w:rPr>
        <w:t xml:space="preserve">    res = len(xls.sheet_names)</w:t>
      </w:r>
    </w:p>
    <w:p w:rsidR="00000000" w:rsidDel="00000000" w:rsidP="00000000" w:rsidRDefault="00000000" w:rsidRPr="00000000" w14:paraId="000001C1">
      <w:pPr>
        <w:spacing w:line="360" w:lineRule="auto"/>
        <w:rPr/>
      </w:pPr>
      <w:r w:rsidDel="00000000" w:rsidR="00000000" w:rsidRPr="00000000">
        <w:rPr>
          <w:rtl w:val="0"/>
        </w:rPr>
        <w:t xml:space="preserve">    for i in range(res):</w:t>
      </w:r>
    </w:p>
    <w:p w:rsidR="00000000" w:rsidDel="00000000" w:rsidP="00000000" w:rsidRDefault="00000000" w:rsidRPr="00000000" w14:paraId="000001C2">
      <w:pPr>
        <w:spacing w:line="360" w:lineRule="auto"/>
        <w:rPr/>
      </w:pPr>
      <w:r w:rsidDel="00000000" w:rsidR="00000000" w:rsidRPr="00000000">
        <w:rPr>
          <w:rtl w:val="0"/>
        </w:rPr>
        <w:t xml:space="preserve">        sheet = xls.parse(i)</w:t>
      </w:r>
    </w:p>
    <w:p w:rsidR="00000000" w:rsidDel="00000000" w:rsidP="00000000" w:rsidRDefault="00000000" w:rsidRPr="00000000" w14:paraId="000001C3">
      <w:pPr>
        <w:spacing w:line="360" w:lineRule="auto"/>
        <w:rPr/>
      </w:pPr>
      <w:r w:rsidDel="00000000" w:rsidR="00000000" w:rsidRPr="00000000">
        <w:rPr>
          <w:rtl w:val="0"/>
        </w:rPr>
        <w:t xml:space="preserve">        data = sheet.iloc[:, [54]]</w:t>
      </w:r>
    </w:p>
    <w:p w:rsidR="00000000" w:rsidDel="00000000" w:rsidP="00000000" w:rsidRDefault="00000000" w:rsidRPr="00000000" w14:paraId="000001C4">
      <w:pPr>
        <w:spacing w:line="360" w:lineRule="auto"/>
        <w:rPr/>
      </w:pPr>
      <w:r w:rsidDel="00000000" w:rsidR="00000000" w:rsidRPr="00000000">
        <w:rPr>
          <w:rtl w:val="0"/>
        </w:rPr>
        <w:t xml:space="preserve">        data = data.transpose()</w:t>
      </w:r>
    </w:p>
    <w:p w:rsidR="00000000" w:rsidDel="00000000" w:rsidP="00000000" w:rsidRDefault="00000000" w:rsidRPr="00000000" w14:paraId="000001C5">
      <w:pPr>
        <w:spacing w:line="360" w:lineRule="auto"/>
        <w:rPr/>
      </w:pPr>
      <w:r w:rsidDel="00000000" w:rsidR="00000000" w:rsidRPr="00000000">
        <w:rPr>
          <w:rtl w:val="0"/>
        </w:rPr>
        <w:t xml:space="preserve">        frames = [final, data]</w:t>
      </w:r>
    </w:p>
    <w:p w:rsidR="00000000" w:rsidDel="00000000" w:rsidP="00000000" w:rsidRDefault="00000000" w:rsidRPr="00000000" w14:paraId="000001C6">
      <w:pPr>
        <w:spacing w:line="360" w:lineRule="auto"/>
        <w:rPr/>
      </w:pPr>
      <w:r w:rsidDel="00000000" w:rsidR="00000000" w:rsidRPr="00000000">
        <w:rPr>
          <w:rtl w:val="0"/>
        </w:rPr>
        <w:t xml:space="preserve">        final = pd.concat(frames)</w:t>
      </w:r>
    </w:p>
    <w:p w:rsidR="00000000" w:rsidDel="00000000" w:rsidP="00000000" w:rsidRDefault="00000000" w:rsidRPr="00000000" w14:paraId="000001C7">
      <w:pPr>
        <w:spacing w:line="360" w:lineRule="auto"/>
        <w:rPr/>
      </w:pPr>
      <w:r w:rsidDel="00000000" w:rsidR="00000000" w:rsidRPr="00000000">
        <w:rPr>
          <w:rtl w:val="0"/>
        </w:rPr>
      </w:r>
    </w:p>
    <w:p w:rsidR="00000000" w:rsidDel="00000000" w:rsidP="00000000" w:rsidRDefault="00000000" w:rsidRPr="00000000" w14:paraId="000001C8">
      <w:pPr>
        <w:spacing w:line="360" w:lineRule="auto"/>
        <w:rPr/>
      </w:pPr>
      <w:r w:rsidDel="00000000" w:rsidR="00000000" w:rsidRPr="00000000">
        <w:rPr>
          <w:rtl w:val="0"/>
        </w:rPr>
      </w:r>
    </w:p>
    <w:p w:rsidR="00000000" w:rsidDel="00000000" w:rsidP="00000000" w:rsidRDefault="00000000" w:rsidRPr="00000000" w14:paraId="000001C9">
      <w:pPr>
        <w:spacing w:line="360" w:lineRule="auto"/>
        <w:rPr/>
      </w:pPr>
      <w:r w:rsidDel="00000000" w:rsidR="00000000" w:rsidRPr="00000000">
        <w:rPr>
          <w:rtl w:val="0"/>
        </w:rPr>
      </w:r>
    </w:p>
    <w:p w:rsidR="00000000" w:rsidDel="00000000" w:rsidP="00000000" w:rsidRDefault="00000000" w:rsidRPr="00000000" w14:paraId="000001CA">
      <w:pPr>
        <w:spacing w:line="360" w:lineRule="auto"/>
        <w:rPr/>
      </w:pPr>
      <w:r w:rsidDel="00000000" w:rsidR="00000000" w:rsidRPr="00000000">
        <w:rPr>
          <w:rtl w:val="0"/>
        </w:rPr>
        <w:t xml:space="preserve">for f in files:</w:t>
      </w:r>
    </w:p>
    <w:p w:rsidR="00000000" w:rsidDel="00000000" w:rsidP="00000000" w:rsidRDefault="00000000" w:rsidRPr="00000000" w14:paraId="000001CB">
      <w:pPr>
        <w:spacing w:line="360" w:lineRule="auto"/>
        <w:rPr/>
      </w:pPr>
      <w:r w:rsidDel="00000000" w:rsidR="00000000" w:rsidRPr="00000000">
        <w:rPr>
          <w:rtl w:val="0"/>
        </w:rPr>
        <w:t xml:space="preserve">    xls = pd.ExcelFile(f)</w:t>
      </w:r>
    </w:p>
    <w:p w:rsidR="00000000" w:rsidDel="00000000" w:rsidP="00000000" w:rsidRDefault="00000000" w:rsidRPr="00000000" w14:paraId="000001CC">
      <w:pPr>
        <w:spacing w:line="360" w:lineRule="auto"/>
        <w:rPr/>
      </w:pPr>
      <w:r w:rsidDel="00000000" w:rsidR="00000000" w:rsidRPr="00000000">
        <w:rPr>
          <w:rtl w:val="0"/>
        </w:rPr>
        <w:t xml:space="preserve">    res = len(xls.sheet_names)</w:t>
      </w:r>
    </w:p>
    <w:p w:rsidR="00000000" w:rsidDel="00000000" w:rsidP="00000000" w:rsidRDefault="00000000" w:rsidRPr="00000000" w14:paraId="000001CD">
      <w:pPr>
        <w:spacing w:line="360" w:lineRule="auto"/>
        <w:rPr/>
      </w:pPr>
      <w:r w:rsidDel="00000000" w:rsidR="00000000" w:rsidRPr="00000000">
        <w:rPr>
          <w:rtl w:val="0"/>
        </w:rPr>
        <w:t xml:space="preserve">    for i in range(res):</w:t>
      </w:r>
    </w:p>
    <w:p w:rsidR="00000000" w:rsidDel="00000000" w:rsidP="00000000" w:rsidRDefault="00000000" w:rsidRPr="00000000" w14:paraId="000001CE">
      <w:pPr>
        <w:spacing w:line="360" w:lineRule="auto"/>
        <w:rPr/>
      </w:pPr>
      <w:r w:rsidDel="00000000" w:rsidR="00000000" w:rsidRPr="00000000">
        <w:rPr>
          <w:rtl w:val="0"/>
        </w:rPr>
        <w:t xml:space="preserve">        count+=1</w:t>
      </w:r>
    </w:p>
    <w:p w:rsidR="00000000" w:rsidDel="00000000" w:rsidP="00000000" w:rsidRDefault="00000000" w:rsidRPr="00000000" w14:paraId="000001CF">
      <w:pPr>
        <w:spacing w:line="360" w:lineRule="auto"/>
        <w:rPr/>
      </w:pPr>
      <w:r w:rsidDel="00000000" w:rsidR="00000000" w:rsidRPr="00000000">
        <w:rPr>
          <w:rtl w:val="0"/>
        </w:rPr>
        <w:t xml:space="preserve">        sheet = xls.parse(i, header=None)</w:t>
      </w:r>
    </w:p>
    <w:p w:rsidR="00000000" w:rsidDel="00000000" w:rsidP="00000000" w:rsidRDefault="00000000" w:rsidRPr="00000000" w14:paraId="000001D0">
      <w:pPr>
        <w:spacing w:line="360" w:lineRule="auto"/>
        <w:rPr/>
      </w:pPr>
      <w:r w:rsidDel="00000000" w:rsidR="00000000" w:rsidRPr="00000000">
        <w:rPr>
          <w:rtl w:val="0"/>
        </w:rPr>
        <w:t xml:space="preserve">        mystring = sheet.iloc[0][0]</w:t>
      </w:r>
    </w:p>
    <w:p w:rsidR="00000000" w:rsidDel="00000000" w:rsidP="00000000" w:rsidRDefault="00000000" w:rsidRPr="00000000" w14:paraId="000001D1">
      <w:pPr>
        <w:spacing w:line="360" w:lineRule="auto"/>
        <w:rPr/>
      </w:pPr>
      <w:r w:rsidDel="00000000" w:rsidR="00000000" w:rsidRPr="00000000">
        <w:rPr>
          <w:rtl w:val="0"/>
        </w:rPr>
        <w:t xml:space="preserve">        keyword = '-&gt; '</w:t>
      </w:r>
    </w:p>
    <w:p w:rsidR="00000000" w:rsidDel="00000000" w:rsidP="00000000" w:rsidRDefault="00000000" w:rsidRPr="00000000" w14:paraId="000001D2">
      <w:pPr>
        <w:spacing w:line="360" w:lineRule="auto"/>
        <w:rPr/>
      </w:pPr>
      <w:r w:rsidDel="00000000" w:rsidR="00000000" w:rsidRPr="00000000">
        <w:rPr>
          <w:rtl w:val="0"/>
        </w:rPr>
        <w:t xml:space="preserve">        before_keyword, keyword, after_keyword = mystring.partition(keyword)</w:t>
      </w:r>
    </w:p>
    <w:p w:rsidR="00000000" w:rsidDel="00000000" w:rsidP="00000000" w:rsidRDefault="00000000" w:rsidRPr="00000000" w14:paraId="000001D3">
      <w:pPr>
        <w:spacing w:line="360" w:lineRule="auto"/>
        <w:rPr/>
      </w:pPr>
      <w:r w:rsidDel="00000000" w:rsidR="00000000" w:rsidRPr="00000000">
        <w:rPr>
          <w:rtl w:val="0"/>
        </w:rPr>
        <w:t xml:space="preserve">        keywordd = '- '</w:t>
      </w:r>
    </w:p>
    <w:p w:rsidR="00000000" w:rsidDel="00000000" w:rsidP="00000000" w:rsidRDefault="00000000" w:rsidRPr="00000000" w14:paraId="000001D4">
      <w:pPr>
        <w:spacing w:line="360" w:lineRule="auto"/>
        <w:rPr/>
      </w:pPr>
      <w:r w:rsidDel="00000000" w:rsidR="00000000" w:rsidRPr="00000000">
        <w:rPr>
          <w:rtl w:val="0"/>
        </w:rPr>
        <w:t xml:space="preserve">        before_keywordd, keywordd, after_keywordd = before_keyword.partition(keywordd)</w:t>
      </w:r>
    </w:p>
    <w:p w:rsidR="00000000" w:rsidDel="00000000" w:rsidP="00000000" w:rsidRDefault="00000000" w:rsidRPr="00000000" w14:paraId="000001D5">
      <w:pPr>
        <w:spacing w:line="360" w:lineRule="auto"/>
        <w:rPr/>
      </w:pPr>
      <w:r w:rsidDel="00000000" w:rsidR="00000000" w:rsidRPr="00000000">
        <w:rPr>
          <w:rtl w:val="0"/>
        </w:rPr>
        <w:t xml:space="preserve">        temp = [after_keywordd, after_keyword]</w:t>
      </w:r>
    </w:p>
    <w:p w:rsidR="00000000" w:rsidDel="00000000" w:rsidP="00000000" w:rsidRDefault="00000000" w:rsidRPr="00000000" w14:paraId="000001D6">
      <w:pPr>
        <w:spacing w:line="360" w:lineRule="auto"/>
        <w:rPr/>
      </w:pPr>
      <w:r w:rsidDel="00000000" w:rsidR="00000000" w:rsidRPr="00000000">
        <w:rPr>
          <w:rtl w:val="0"/>
        </w:rPr>
        <w:t xml:space="preserve">        tempdf = pd.DataFrame([temp])</w:t>
      </w:r>
    </w:p>
    <w:p w:rsidR="00000000" w:rsidDel="00000000" w:rsidP="00000000" w:rsidRDefault="00000000" w:rsidRPr="00000000" w14:paraId="000001D7">
      <w:pPr>
        <w:spacing w:line="360" w:lineRule="auto"/>
        <w:rPr/>
      </w:pPr>
      <w:r w:rsidDel="00000000" w:rsidR="00000000" w:rsidRPr="00000000">
        <w:rPr>
          <w:rtl w:val="0"/>
        </w:rPr>
        <w:t xml:space="preserve">        frames = [df, tempdf]</w:t>
      </w:r>
    </w:p>
    <w:p w:rsidR="00000000" w:rsidDel="00000000" w:rsidP="00000000" w:rsidRDefault="00000000" w:rsidRPr="00000000" w14:paraId="000001D8">
      <w:pPr>
        <w:spacing w:line="360" w:lineRule="auto"/>
        <w:rPr/>
      </w:pPr>
      <w:r w:rsidDel="00000000" w:rsidR="00000000" w:rsidRPr="00000000">
        <w:rPr>
          <w:rtl w:val="0"/>
        </w:rPr>
        <w:t xml:space="preserve">        df = pd.concat(frames)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rPr/>
      </w:pPr>
      <w:bookmarkStart w:colFirst="0" w:colLast="0" w:name="_dzy6y7r3ccxe" w:id="30"/>
      <w:bookmarkEnd w:id="30"/>
      <w:r w:rsidDel="00000000" w:rsidR="00000000" w:rsidRPr="00000000">
        <w:rPr>
          <w:rtl w:val="0"/>
        </w:rPr>
        <w:t xml:space="preserve">Appendix C</w:t>
      </w:r>
    </w:p>
    <w:p w:rsidR="00000000" w:rsidDel="00000000" w:rsidP="00000000" w:rsidRDefault="00000000" w:rsidRPr="00000000" w14:paraId="000001DC">
      <w:pPr>
        <w:jc w:val="center"/>
        <w:rPr>
          <w:b w:val="1"/>
        </w:rPr>
      </w:pPr>
      <w:r w:rsidDel="00000000" w:rsidR="00000000" w:rsidRPr="00000000">
        <w:rPr>
          <w:b w:val="1"/>
          <w:rtl w:val="0"/>
        </w:rPr>
        <w:t xml:space="preserve">Data Description</w:t>
      </w:r>
    </w:p>
    <w:p w:rsidR="00000000" w:rsidDel="00000000" w:rsidP="00000000" w:rsidRDefault="00000000" w:rsidRPr="00000000" w14:paraId="000001DD">
      <w:pPr>
        <w:rPr/>
      </w:pPr>
      <w:r w:rsidDel="00000000" w:rsidR="00000000" w:rsidRPr="00000000">
        <w:rPr/>
        <w:drawing>
          <wp:inline distB="114300" distT="114300" distL="114300" distR="114300">
            <wp:extent cx="6953250" cy="2309812"/>
            <wp:effectExtent b="2321719" l="-2321718" r="-2321718" t="2321719"/>
            <wp:docPr id="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rot="16200000">
                      <a:off x="0" y="0"/>
                      <a:ext cx="6953250" cy="2309812"/>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rPr/>
      </w:pPr>
      <w:bookmarkStart w:colFirst="0" w:colLast="0" w:name="_j66ylyfdhqf" w:id="31"/>
      <w:bookmarkEnd w:id="31"/>
      <w:r w:rsidDel="00000000" w:rsidR="00000000" w:rsidRPr="00000000">
        <w:rPr>
          <w:rtl w:val="0"/>
        </w:rPr>
        <w:t xml:space="preserve">Appendix D</w:t>
      </w:r>
    </w:p>
    <w:p w:rsidR="00000000" w:rsidDel="00000000" w:rsidP="00000000" w:rsidRDefault="00000000" w:rsidRPr="00000000" w14:paraId="000001E0">
      <w:pPr>
        <w:jc w:val="center"/>
        <w:rPr>
          <w:b w:val="1"/>
        </w:rPr>
      </w:pPr>
      <w:r w:rsidDel="00000000" w:rsidR="00000000" w:rsidRPr="00000000">
        <w:rPr>
          <w:b w:val="1"/>
          <w:rtl w:val="0"/>
        </w:rPr>
        <w:t xml:space="preserve">Analysis using Python</w:t>
      </w:r>
    </w:p>
    <w:p w:rsidR="00000000" w:rsidDel="00000000" w:rsidP="00000000" w:rsidRDefault="00000000" w:rsidRPr="00000000" w14:paraId="000001E1">
      <w:pPr>
        <w:rPr/>
      </w:pPr>
      <w:hyperlink r:id="rId32">
        <w:r w:rsidDel="00000000" w:rsidR="00000000" w:rsidRPr="00000000">
          <w:rPr>
            <w:color w:val="1155cc"/>
            <w:u w:val="single"/>
            <w:rtl w:val="0"/>
          </w:rPr>
          <w:t xml:space="preserve">https://drive.google.com/file/d/11TG7mlLD2Wa2_GUc6qk0DCmwqtqTMohc/view?usp=sharing</w:t>
        </w:r>
      </w:hyperlink>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DJ9Dul37e5iJJaVXFxCYXchdZtGQYQLT/view?usp=sharing" TargetMode="External"/><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hyperlink" Target="https://drive.google.com/file/d/1KoYp7bvfPGz1ugQ7HJdsB2lv_z2C6zrp/view?usp=sharing"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0.png"/><Relationship Id="rId25" Type="http://schemas.openxmlformats.org/officeDocument/2006/relationships/image" Target="media/image14.png"/><Relationship Id="rId28" Type="http://schemas.openxmlformats.org/officeDocument/2006/relationships/hyperlink" Target="https://drive.google.com/file/d/132ftOoFc5PZY8fn8tqUqi7dyJJOehXOQ/view?usp=sharing"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nrhm-mis.nic.in/SitePages/Home.aspx" TargetMode="External"/><Relationship Id="rId29" Type="http://schemas.openxmlformats.org/officeDocument/2006/relationships/image" Target="media/image13.png"/><Relationship Id="rId7" Type="http://schemas.openxmlformats.org/officeDocument/2006/relationships/hyperlink" Target="http://censusindia.gov.in/" TargetMode="External"/><Relationship Id="rId8" Type="http://schemas.openxmlformats.org/officeDocument/2006/relationships/hyperlink" Target="http://www.epwrfits.in/" TargetMode="External"/><Relationship Id="rId31" Type="http://schemas.openxmlformats.org/officeDocument/2006/relationships/image" Target="media/image4.png"/><Relationship Id="rId30" Type="http://schemas.openxmlformats.org/officeDocument/2006/relationships/hyperlink" Target="https://doi.org/10.11919/j.issn.1002-0829.215044" TargetMode="External"/><Relationship Id="rId11" Type="http://schemas.openxmlformats.org/officeDocument/2006/relationships/image" Target="media/image11.png"/><Relationship Id="rId10" Type="http://schemas.openxmlformats.org/officeDocument/2006/relationships/hyperlink" Target="https://drive.google.com/file/d/1NizS7_RmvgiuXuIuJI9tRC3QhgVJpgmX/view?usp=sharing" TargetMode="External"/><Relationship Id="rId32" Type="http://schemas.openxmlformats.org/officeDocument/2006/relationships/hyperlink" Target="https://drive.google.com/file/d/11TG7mlLD2Wa2_GUc6qk0DCmwqtqTMohc/view?usp=sharing" TargetMode="External"/><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hyperlink" Target="https://drive.google.com/file/d/1ggxekfHTANKDX02T4bSjLyNJcYq3kLP1/view?usp=sharing" TargetMode="External"/><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hyperlink" Target="https://drive.google.com/file/d/18O95txM-n5XST3VS9MUKlxarPc-Mo6Ga/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