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none"/>
              <w:bottom w:val="none"/>
              <w:right w:val="none"/>
            </w:tcBorders>
            <w:shd w:fill="1B3A6B" w:val="clear"/>
            <w:tcMar>
              <w:top w:type="dxa" w:w="300"/>
              <w:left w:type="dxa" w:w="400"/>
              <w:bottom w:type="dxa" w:w="300"/>
              <w:right w:type="dxa" w:w="400"/>
            </w:tcMar>
          </w:tcPr>
          <w:p>
            <w:pPr>
              <w:spacing w:after="80" w:before="0"/>
              <w:jc w:val="center"/>
            </w:pPr>
            <w:r>
              <w:rPr>
                <w:rFonts w:ascii="Arial" w:cs="Arial" w:eastAsia="Arial" w:hAnsi="Arial"/>
                <w:b/>
                <w:bCs/>
                <w:color w:val="FFFFFF"/>
                <w:spacing w:val="80"/>
                <w:sz w:val="56"/>
                <w:szCs w:val="56"/>
              </w:rPr>
              <w:t xml:space="preserve">SANJEEV KUMAR</w:t>
            </w:r>
          </w:p>
          <w:p>
            <w:pPr>
              <w:spacing w:after="120" w:before="0"/>
              <w:jc w:val="center"/>
            </w:pPr>
            <w:r>
              <w:rPr>
                <w:rFonts w:ascii="Arial" w:cs="Arial" w:eastAsia="Arial" w:hAnsi="Arial"/>
                <w:color w:val="D0E4F5"/>
                <w:sz w:val="20"/>
                <w:szCs w:val="20"/>
              </w:rPr>
              <w:t xml:space="preserve">Data Analytics Professional  •  Team Lead  •  Assistant Professor</w:t>
            </w:r>
          </w:p>
          <w:p>
            <w:pPr>
              <w:spacing w:after="0" w:before="0"/>
              <w:jc w:val="center"/>
            </w:pPr>
            <w:r>
              <w:rPr>
                <w:rFonts w:ascii="Arial" w:cs="Arial" w:eastAsia="Arial" w:hAnsi="Arial"/>
                <w:color w:val="D0E4F5"/>
                <w:sz w:val="18"/>
                <w:szCs w:val="18"/>
              </w:rPr>
              <w:t xml:space="preserve">📍 Patna, Bihar, India     </w:t>
            </w:r>
            <w:r>
              <w:rPr>
                <w:rFonts w:ascii="Arial" w:cs="Arial" w:eastAsia="Arial" w:hAnsi="Arial"/>
                <w:color w:val="D0E4F5"/>
                <w:sz w:val="18"/>
                <w:szCs w:val="18"/>
              </w:rPr>
              <w:t xml:space="preserve">📞 +91 90601 45989     </w:t>
            </w:r>
            <w:hyperlink w:history="1" r:id="rIdanx7gzmnj7gn4obq_c4cc">
              <w:r>
                <w:rPr>
                  <w:rFonts w:ascii="Arial" w:cs="Arial" w:eastAsia="Arial" w:hAnsi="Arial"/>
                  <w:color w:val="87CEEB"/>
                  <w:sz w:val="18"/>
                  <w:szCs w:val="18"/>
                  <w:u w:val="single" w:color="87CEEB"/>
                </w:rPr>
                <w:t xml:space="preserve">✉ snjvkumar23@gmail.com</w:t>
              </w:r>
            </w:hyperlink>
            <w:r>
              <w:rPr>
                <w:rFonts w:ascii="Arial" w:cs="Arial" w:eastAsia="Arial" w:hAnsi="Arial"/>
                <w:color w:val="D0E4F5"/>
                <w:sz w:val="18"/>
                <w:szCs w:val="18"/>
              </w:rPr>
              <w:t xml:space="preserve">     </w:t>
            </w:r>
            <w:hyperlink w:history="1" r:id="rIdy-h_zhizf9wiu-6aemca_">
              <w:r>
                <w:rPr>
                  <w:rFonts w:ascii="Arial" w:cs="Arial" w:eastAsia="Arial" w:hAnsi="Arial"/>
                  <w:color w:val="87CEEB"/>
                  <w:sz w:val="18"/>
                  <w:szCs w:val="18"/>
                  <w:u w:val="single" w:color="87CEEB"/>
                </w:rPr>
                <w:t xml:space="preserve">🔗 LinkedIn Profile</w:t>
              </w:r>
            </w:hyperlink>
          </w:p>
        </w:tc>
      </w:tr>
    </w:tbl>
    <w:p>
      <w:pPr>
        <w:spacing w:after="100" w:before="0"/>
      </w:pPr>
      <w:r>
        <w:t xml:space="preserve"/>
      </w:r>
    </w:p>
    <w:p>
      <w:pPr>
        <w:pBdr>
          <w:bottom w:val="single" w:color="2E75B6" w:sz="12" w:space="4"/>
        </w:pBdr>
        <w:spacing w:after="0" w:before="280"/>
      </w:pPr>
      <w:r>
        <w:rPr>
          <w:rFonts w:ascii="Arial" w:cs="Arial" w:eastAsia="Arial" w:hAnsi="Arial"/>
          <w:b/>
          <w:bCs/>
          <w:color w:val="1B3A6B"/>
          <w:spacing w:val="40"/>
          <w:sz w:val="22"/>
          <w:szCs w:val="22"/>
        </w:rPr>
        <w:t xml:space="preserve">PROFESSIONAL SUMMARY</w:t>
      </w:r>
    </w:p>
    <w:p>
      <w:pPr>
        <w:spacing w:after="60" w:before="0"/>
      </w:pPr>
      <w:r>
        <w:t xml:space="preserve"/>
      </w: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single" w:color="2E75B6" w:sz="6"/>
              <w:left w:val="single" w:color="2E75B6" w:sz="18"/>
              <w:bottom w:val="single" w:color="2E75B6" w:sz="6"/>
              <w:right w:val="none"/>
            </w:tcBorders>
            <w:shd w:fill="EBF3FA" w:val="clear"/>
            <w:tcMar>
              <w:top w:type="dxa" w:w="160"/>
              <w:left w:type="dxa" w:w="240"/>
              <w:bottom w:type="dxa" w:w="160"/>
              <w:right w:type="dxa" w:w="240"/>
            </w:tcMar>
          </w:tcPr>
          <w:p>
            <w:pPr>
              <w:spacing w:after="0" w:before="0"/>
            </w:pPr>
            <w:r>
              <w:rPr>
                <w:rFonts w:ascii="Arial" w:cs="Arial" w:eastAsia="Arial" w:hAnsi="Arial"/>
                <w:color w:val="1A1A2E"/>
                <w:sz w:val="19"/>
                <w:szCs w:val="19"/>
              </w:rPr>
              <w:t xml:space="preserve">Results-driven Data Analytics Professional and Academic Leader with 7+ years of progressive experience spanning data operations, analytics, team leadership, and higher education. Proven track record managing large-scale learning operations (7,000+ sessions daily), building impactful BI dashboards, and mentoring cross-functional teams. Currently contributing as Assistant Professor at CIMAGE Group of Institutions, Patna, while maintaining deep expertise in Python, SQL, Power BI, and Tableau. Adept at transforming complex datasets into strategic insights that drive operational excellence and data-backed decision-making.</w:t>
            </w:r>
          </w:p>
        </w:tc>
      </w:tr>
    </w:tbl>
    <w:p>
      <w:pPr>
        <w:spacing w:after="100" w:before="0"/>
      </w:pPr>
      <w:r>
        <w:t xml:space="preserve"/>
      </w:r>
    </w:p>
    <w:p>
      <w:pPr>
        <w:pBdr>
          <w:bottom w:val="single" w:color="2E75B6" w:sz="12" w:space="4"/>
        </w:pBdr>
        <w:spacing w:after="0" w:before="280"/>
      </w:pPr>
      <w:r>
        <w:rPr>
          <w:rFonts w:ascii="Arial" w:cs="Arial" w:eastAsia="Arial" w:hAnsi="Arial"/>
          <w:b/>
          <w:bCs/>
          <w:color w:val="1B3A6B"/>
          <w:spacing w:val="40"/>
          <w:sz w:val="22"/>
          <w:szCs w:val="22"/>
        </w:rPr>
        <w:t xml:space="preserve">PROFESSIONAL EXPERIENCE</w:t>
      </w:r>
    </w:p>
    <w:p>
      <w:pPr>
        <w:spacing w:after="60" w:before="0"/>
      </w:pPr>
      <w:r>
        <w:t xml:space="preserve"/>
      </w:r>
    </w:p>
    <w:tbl>
      <w:tblPr>
        <w:tblW w:type="dxa" w:w="9360"/>
        <w:tblBorders>
          <w:top w:val="none"/>
          <w:left w:val="none"/>
          <w:bottom w:val="none"/>
          <w:right w:val="none"/>
          <w:insideH w:val="single" w:color="auto" w:sz="4"/>
          <w:insideV w:val="single" w:color="auto" w:sz="4"/>
        </w:tblBorders>
      </w:tblPr>
      <w:tblGrid>
        <w:gridCol w:w="6400"/>
        <w:gridCol w:w="2960"/>
      </w:tblGrid>
      <w:tr>
        <w:tc>
          <w:tcPr>
            <w:tcW w:type="dxa" w:w="6400"/>
            <w:tcBorders>
              <w:top w:val="none"/>
              <w:left w:val="none"/>
              <w:bottom w:val="none"/>
              <w:right w:val="none"/>
            </w:tcBorders>
            <w:tcMar>
              <w:top w:type="dxa" w:w="0"/>
              <w:left w:type="dxa" w:w="0"/>
              <w:bottom w:type="dxa" w:w="0"/>
              <w:right w:type="dxa" w:w="0"/>
            </w:tcMar>
          </w:tcPr>
          <w:p>
            <w:pPr>
              <w:spacing w:after="30" w:before="0"/>
            </w:pPr>
            <w:r>
              <w:rPr>
                <w:rFonts w:ascii="Arial" w:cs="Arial" w:eastAsia="Arial" w:hAnsi="Arial"/>
                <w:b/>
                <w:bCs/>
                <w:color w:val="1B3A6B"/>
                <w:sz w:val="21"/>
                <w:szCs w:val="21"/>
              </w:rPr>
              <w:t xml:space="preserve">Assistant Professor – Computer Science &amp; Data Analytics</w:t>
            </w:r>
          </w:p>
          <w:p>
            <w:pPr>
              <w:spacing w:after="0" w:before="0"/>
            </w:pPr>
            <w:r>
              <w:rPr>
                <w:rFonts w:ascii="Arial" w:cs="Arial" w:eastAsia="Arial" w:hAnsi="Arial"/>
                <w:b/>
                <w:bCs/>
                <w:color w:val="2E75B6"/>
                <w:sz w:val="19"/>
                <w:szCs w:val="19"/>
              </w:rPr>
              <w:t xml:space="preserve">CIMAGE Group of Institutions</w:t>
            </w:r>
            <w:r>
              <w:rPr>
                <w:rFonts w:ascii="Arial" w:cs="Arial" w:eastAsia="Arial" w:hAnsi="Arial"/>
                <w:color w:val="555555"/>
                <w:sz w:val="17"/>
                <w:szCs w:val="17"/>
              </w:rPr>
              <w:t xml:space="preserve">  |  Patna, Bihar</w:t>
            </w:r>
          </w:p>
        </w:tc>
        <w:tc>
          <w:tcPr>
            <w:tcW w:type="dxa" w:w="2960"/>
            <w:tcBorders>
              <w:top w:val="none"/>
              <w:left w:val="none"/>
              <w:bottom w:val="none"/>
              <w:right w:val="none"/>
            </w:tcBorders>
            <w:shd w:fill="1B3A6B" w:val="clear"/>
            <w:tcMar>
              <w:top w:type="dxa" w:w="60"/>
              <w:left w:type="dxa" w:w="0"/>
              <w:bottom w:type="dxa" w:w="0"/>
              <w:right w:type="dxa" w:w="0"/>
            </w:tcMar>
            <w:vAlign w:val="top"/>
          </w:tcPr>
          <w:p>
            <w:pPr>
              <w:spacing w:after="0" w:before="0"/>
              <w:jc w:val="center"/>
            </w:pPr>
            <w:r>
              <w:rPr>
                <w:rFonts w:ascii="Arial" w:cs="Arial" w:eastAsia="Arial" w:hAnsi="Arial"/>
                <w:b/>
                <w:bCs/>
                <w:color w:val="FFFFFF"/>
                <w:sz w:val="17"/>
                <w:szCs w:val="17"/>
              </w:rPr>
              <w:t xml:space="preserve">Jan 2025 – Present</w:t>
            </w:r>
          </w:p>
        </w:tc>
      </w:tr>
    </w:tbl>
    <w:p>
      <w:pPr>
        <w:spacing w:after="60" w:before="0"/>
      </w:pPr>
      <w:r>
        <w:t xml:space="preserve"/>
      </w:r>
    </w:p>
    <w:p>
      <w:pPr>
        <w:pStyle w:val="ListParagraph"/>
        <w:numPr>
          <w:ilvl w:val="0"/>
          <w:numId w:val="2"/>
        </w:numPr>
        <w:spacing w:after="40" w:before="40"/>
      </w:pPr>
      <w:r>
        <w:rPr>
          <w:rFonts w:ascii="Arial" w:cs="Arial" w:eastAsia="Arial" w:hAnsi="Arial"/>
          <w:color w:val="1A1A2E"/>
          <w:sz w:val="18"/>
          <w:szCs w:val="18"/>
        </w:rPr>
        <w:t xml:space="preserve">Deliver undergraduate and postgraduate coursework in Data Analytics, Python Programming, Database Management Systems, and BI tools (Power BI, Tableau).</w:t>
      </w:r>
    </w:p>
    <w:p>
      <w:pPr>
        <w:pStyle w:val="ListParagraph"/>
        <w:numPr>
          <w:ilvl w:val="0"/>
          <w:numId w:val="2"/>
        </w:numPr>
        <w:spacing w:after="40" w:before="40"/>
      </w:pPr>
      <w:r>
        <w:rPr>
          <w:rFonts w:ascii="Arial" w:cs="Arial" w:eastAsia="Arial" w:hAnsi="Arial"/>
          <w:color w:val="1A1A2E"/>
          <w:sz w:val="18"/>
          <w:szCs w:val="18"/>
        </w:rPr>
        <w:t xml:space="preserve">Design and continuously update curriculum incorporating industry-relevant projects, case studies, and hands-on lab sessions aligned with current data science and analytics trends.</w:t>
      </w:r>
    </w:p>
    <w:p>
      <w:pPr>
        <w:pStyle w:val="ListParagraph"/>
        <w:numPr>
          <w:ilvl w:val="0"/>
          <w:numId w:val="2"/>
        </w:numPr>
        <w:spacing w:after="40" w:before="40"/>
      </w:pPr>
      <w:r>
        <w:rPr>
          <w:rFonts w:ascii="Arial" w:cs="Arial" w:eastAsia="Arial" w:hAnsi="Arial"/>
          <w:color w:val="1A1A2E"/>
          <w:sz w:val="18"/>
          <w:szCs w:val="18"/>
        </w:rPr>
        <w:t xml:space="preserve">Mentor students on applied analytics projects, capstone research, and career readiness for data-driven roles across industries.</w:t>
      </w:r>
    </w:p>
    <w:p>
      <w:pPr>
        <w:pStyle w:val="ListParagraph"/>
        <w:numPr>
          <w:ilvl w:val="0"/>
          <w:numId w:val="2"/>
        </w:numPr>
        <w:spacing w:after="40" w:before="40"/>
      </w:pPr>
      <w:r>
        <w:rPr>
          <w:rFonts w:ascii="Arial" w:cs="Arial" w:eastAsia="Arial" w:hAnsi="Arial"/>
          <w:color w:val="1A1A2E"/>
          <w:sz w:val="18"/>
          <w:szCs w:val="18"/>
        </w:rPr>
        <w:t xml:space="preserve">Conduct workshops and seminars on emerging technologies including AI/ML applications, SQL query optimization, and advanced data visualization techniques.</w:t>
      </w:r>
    </w:p>
    <w:p>
      <w:pPr>
        <w:pStyle w:val="ListParagraph"/>
        <w:numPr>
          <w:ilvl w:val="0"/>
          <w:numId w:val="2"/>
        </w:numPr>
        <w:spacing w:after="40" w:before="40"/>
      </w:pPr>
      <w:r>
        <w:rPr>
          <w:rFonts w:ascii="Arial" w:cs="Arial" w:eastAsia="Arial" w:hAnsi="Arial"/>
          <w:color w:val="1A1A2E"/>
          <w:sz w:val="18"/>
          <w:szCs w:val="18"/>
        </w:rPr>
        <w:t xml:space="preserve">Collaborate with department faculty to align academic outcomes with industry standards and improve student placement readiness.</w:t>
      </w:r>
    </w:p>
    <w:p>
      <w:pPr>
        <w:spacing w:after="100" w:before="0"/>
      </w:pPr>
      <w:r>
        <w:t xml:space="preserve"/>
      </w:r>
    </w:p>
    <w:tbl>
      <w:tblPr>
        <w:tblW w:type="dxa" w:w="9360"/>
        <w:tblBorders>
          <w:top w:val="none"/>
          <w:left w:val="none"/>
          <w:bottom w:val="none"/>
          <w:right w:val="none"/>
          <w:insideH w:val="single" w:color="auto" w:sz="4"/>
          <w:insideV w:val="single" w:color="auto" w:sz="4"/>
        </w:tblBorders>
      </w:tblPr>
      <w:tblGrid>
        <w:gridCol w:w="6400"/>
        <w:gridCol w:w="2960"/>
      </w:tblGrid>
      <w:tr>
        <w:tc>
          <w:tcPr>
            <w:tcW w:type="dxa" w:w="6400"/>
            <w:tcBorders>
              <w:top w:val="none"/>
              <w:left w:val="none"/>
              <w:bottom w:val="none"/>
              <w:right w:val="none"/>
            </w:tcBorders>
            <w:tcMar>
              <w:top w:type="dxa" w:w="0"/>
              <w:left w:type="dxa" w:w="0"/>
              <w:bottom w:type="dxa" w:w="0"/>
              <w:right w:type="dxa" w:w="0"/>
            </w:tcMar>
          </w:tcPr>
          <w:p>
            <w:pPr>
              <w:spacing w:after="30" w:before="0"/>
            </w:pPr>
            <w:r>
              <w:rPr>
                <w:rFonts w:ascii="Arial" w:cs="Arial" w:eastAsia="Arial" w:hAnsi="Arial"/>
                <w:b/>
                <w:bCs/>
                <w:color w:val="1B3A6B"/>
                <w:sz w:val="21"/>
                <w:szCs w:val="21"/>
              </w:rPr>
              <w:t xml:space="preserve">Team Lead – Data Analytics &amp; Operations</w:t>
            </w:r>
          </w:p>
          <w:p>
            <w:pPr>
              <w:spacing w:after="0" w:before="0"/>
            </w:pPr>
            <w:r>
              <w:rPr>
                <w:rFonts w:ascii="Arial" w:cs="Arial" w:eastAsia="Arial" w:hAnsi="Arial"/>
                <w:b/>
                <w:bCs/>
                <w:color w:val="2E75B6"/>
                <w:sz w:val="19"/>
                <w:szCs w:val="19"/>
              </w:rPr>
              <w:t xml:space="preserve">Focus Edumatics Pvt. Ltd.</w:t>
            </w:r>
            <w:r>
              <w:rPr>
                <w:rFonts w:ascii="Arial" w:cs="Arial" w:eastAsia="Arial" w:hAnsi="Arial"/>
                <w:color w:val="555555"/>
                <w:sz w:val="17"/>
                <w:szCs w:val="17"/>
              </w:rPr>
              <w:t xml:space="preserve">  |  Bangalore, Karnataka</w:t>
            </w:r>
          </w:p>
        </w:tc>
        <w:tc>
          <w:tcPr>
            <w:tcW w:type="dxa" w:w="2960"/>
            <w:tcBorders>
              <w:top w:val="none"/>
              <w:left w:val="none"/>
              <w:bottom w:val="none"/>
              <w:right w:val="none"/>
            </w:tcBorders>
            <w:shd w:fill="1B3A6B" w:val="clear"/>
            <w:tcMar>
              <w:top w:type="dxa" w:w="60"/>
              <w:left w:type="dxa" w:w="0"/>
              <w:bottom w:type="dxa" w:w="0"/>
              <w:right w:type="dxa" w:w="0"/>
            </w:tcMar>
            <w:vAlign w:val="top"/>
          </w:tcPr>
          <w:p>
            <w:pPr>
              <w:spacing w:after="0" w:before="0"/>
              <w:jc w:val="center"/>
            </w:pPr>
            <w:r>
              <w:rPr>
                <w:rFonts w:ascii="Arial" w:cs="Arial" w:eastAsia="Arial" w:hAnsi="Arial"/>
                <w:b/>
                <w:bCs/>
                <w:color w:val="FFFFFF"/>
                <w:sz w:val="17"/>
                <w:szCs w:val="17"/>
              </w:rPr>
              <w:t xml:space="preserve">Jan 2023 – Jan 2025</w:t>
            </w:r>
          </w:p>
        </w:tc>
      </w:tr>
    </w:tbl>
    <w:p>
      <w:pPr>
        <w:spacing w:after="60" w:before="0"/>
      </w:pPr>
      <w:r>
        <w:t xml:space="preserve"/>
      </w:r>
    </w:p>
    <w:p>
      <w:pPr>
        <w:pStyle w:val="ListParagraph"/>
        <w:numPr>
          <w:ilvl w:val="0"/>
          <w:numId w:val="2"/>
        </w:numPr>
        <w:spacing w:after="40" w:before="40"/>
      </w:pPr>
      <w:r>
        <w:rPr>
          <w:rFonts w:ascii="Arial" w:cs="Arial" w:eastAsia="Arial" w:hAnsi="Arial"/>
          <w:b/>
          <w:bCs/>
          <w:color w:val="1A1A2E"/>
          <w:sz w:val="18"/>
          <w:szCs w:val="18"/>
        </w:rPr>
        <w:t xml:space="preserve">LMS &amp; Content Management: </w:t>
      </w:r>
      <w:r>
        <w:rPr>
          <w:rFonts w:ascii="Arial" w:cs="Arial" w:eastAsia="Arial" w:hAnsi="Arial"/>
          <w:color w:val="1A1A2E"/>
          <w:sz w:val="18"/>
          <w:szCs w:val="18"/>
        </w:rPr>
        <w:t xml:space="preserve">Designed, maintained, and integrated academic content into tutoring platforms and interactive whiteboards aligned with national curriculum standards.</w:t>
      </w:r>
    </w:p>
    <w:p>
      <w:pPr>
        <w:pStyle w:val="ListParagraph"/>
        <w:numPr>
          <w:ilvl w:val="0"/>
          <w:numId w:val="2"/>
        </w:numPr>
        <w:spacing w:after="40" w:before="40"/>
      </w:pPr>
      <w:r>
        <w:rPr>
          <w:rFonts w:ascii="Arial" w:cs="Arial" w:eastAsia="Arial" w:hAnsi="Arial"/>
          <w:b/>
          <w:bCs/>
          <w:color w:val="1A1A2E"/>
          <w:sz w:val="18"/>
          <w:szCs w:val="18"/>
        </w:rPr>
        <w:t xml:space="preserve">Data Analysis &amp; Insights: </w:t>
      </w:r>
      <w:r>
        <w:rPr>
          <w:rFonts w:ascii="Arial" w:cs="Arial" w:eastAsia="Arial" w:hAnsi="Arial"/>
          <w:color w:val="1A1A2E"/>
          <w:sz w:val="18"/>
          <w:szCs w:val="18"/>
        </w:rPr>
        <w:t xml:space="preserve">Leveraged Python and SQL to analyze student performance metrics, track learning outcomes, and deliver data-backed recommendations that improved program effectiveness.</w:t>
      </w:r>
    </w:p>
    <w:p>
      <w:pPr>
        <w:pStyle w:val="ListParagraph"/>
        <w:numPr>
          <w:ilvl w:val="0"/>
          <w:numId w:val="2"/>
        </w:numPr>
        <w:spacing w:after="40" w:before="40"/>
      </w:pPr>
      <w:r>
        <w:rPr>
          <w:rFonts w:ascii="Arial" w:cs="Arial" w:eastAsia="Arial" w:hAnsi="Arial"/>
          <w:b/>
          <w:bCs/>
          <w:color w:val="1A1A2E"/>
          <w:sz w:val="18"/>
          <w:szCs w:val="18"/>
        </w:rPr>
        <w:t xml:space="preserve">Quality Assurance: </w:t>
      </w:r>
      <w:r>
        <w:rPr>
          <w:rFonts w:ascii="Arial" w:cs="Arial" w:eastAsia="Arial" w:hAnsi="Arial"/>
          <w:color w:val="1A1A2E"/>
          <w:sz w:val="18"/>
          <w:szCs w:val="18"/>
        </w:rPr>
        <w:t xml:space="preserve">Led SOP audits and monitored omnichannel communications (calls, emails, chats) to ensure quality delivery, compliance, and continuous process improvement.</w:t>
      </w:r>
    </w:p>
    <w:p>
      <w:pPr>
        <w:pStyle w:val="ListParagraph"/>
        <w:numPr>
          <w:ilvl w:val="0"/>
          <w:numId w:val="2"/>
        </w:numPr>
        <w:spacing w:after="40" w:before="40"/>
      </w:pPr>
      <w:r>
        <w:rPr>
          <w:rFonts w:ascii="Arial" w:cs="Arial" w:eastAsia="Arial" w:hAnsi="Arial"/>
          <w:b/>
          <w:bCs/>
          <w:color w:val="1A1A2E"/>
          <w:sz w:val="18"/>
          <w:szCs w:val="18"/>
        </w:rPr>
        <w:t xml:space="preserve">BI Reporting &amp; Dashboards: </w:t>
      </w:r>
      <w:r>
        <w:rPr>
          <w:rFonts w:ascii="Arial" w:cs="Arial" w:eastAsia="Arial" w:hAnsi="Arial"/>
          <w:color w:val="1A1A2E"/>
          <w:sz w:val="18"/>
          <w:szCs w:val="18"/>
        </w:rPr>
        <w:t xml:space="preserve">Developed weekly executive dashboards and client-facing reports using Power BI and Tableau, tracking KPIs including student engagement, session completion rates, and tutor performance.</w:t>
      </w:r>
    </w:p>
    <w:p>
      <w:pPr>
        <w:pStyle w:val="ListParagraph"/>
        <w:numPr>
          <w:ilvl w:val="0"/>
          <w:numId w:val="2"/>
        </w:numPr>
        <w:spacing w:after="40" w:before="40"/>
      </w:pPr>
      <w:r>
        <w:rPr>
          <w:rFonts w:ascii="Arial" w:cs="Arial" w:eastAsia="Arial" w:hAnsi="Arial"/>
          <w:b/>
          <w:bCs/>
          <w:color w:val="1A1A2E"/>
          <w:sz w:val="18"/>
          <w:szCs w:val="18"/>
        </w:rPr>
        <w:t xml:space="preserve">Team Leadership: </w:t>
      </w:r>
      <w:r>
        <w:rPr>
          <w:rFonts w:ascii="Arial" w:cs="Arial" w:eastAsia="Arial" w:hAnsi="Arial"/>
          <w:color w:val="1A1A2E"/>
          <w:sz w:val="18"/>
          <w:szCs w:val="18"/>
        </w:rPr>
        <w:t xml:space="preserve">Managed a 10+ member cross-functional team — assigned KPIs &amp; KRAs, conducted performance reviews, and implemented structured mentoring programs improving team output by 30%.</w:t>
      </w:r>
    </w:p>
    <w:p>
      <w:pPr>
        <w:spacing w:after="100" w:before="0"/>
      </w:pPr>
      <w:r>
        <w:t xml:space="preserve"/>
      </w:r>
    </w:p>
    <w:tbl>
      <w:tblPr>
        <w:tblW w:type="dxa" w:w="9360"/>
        <w:tblBorders>
          <w:top w:val="none"/>
          <w:left w:val="none"/>
          <w:bottom w:val="none"/>
          <w:right w:val="none"/>
          <w:insideH w:val="single" w:color="auto" w:sz="4"/>
          <w:insideV w:val="single" w:color="auto" w:sz="4"/>
        </w:tblBorders>
      </w:tblPr>
      <w:tblGrid>
        <w:gridCol w:w="6400"/>
        <w:gridCol w:w="2960"/>
      </w:tblGrid>
      <w:tr>
        <w:tc>
          <w:tcPr>
            <w:tcW w:type="dxa" w:w="6400"/>
            <w:tcBorders>
              <w:top w:val="none"/>
              <w:left w:val="none"/>
              <w:bottom w:val="none"/>
              <w:right w:val="none"/>
            </w:tcBorders>
            <w:tcMar>
              <w:top w:type="dxa" w:w="0"/>
              <w:left w:type="dxa" w:w="0"/>
              <w:bottom w:type="dxa" w:w="0"/>
              <w:right w:type="dxa" w:w="0"/>
            </w:tcMar>
          </w:tcPr>
          <w:p>
            <w:pPr>
              <w:spacing w:after="30" w:before="0"/>
            </w:pPr>
            <w:r>
              <w:rPr>
                <w:rFonts w:ascii="Arial" w:cs="Arial" w:eastAsia="Arial" w:hAnsi="Arial"/>
                <w:b/>
                <w:bCs/>
                <w:color w:val="1B3A6B"/>
                <w:sz w:val="21"/>
                <w:szCs w:val="21"/>
              </w:rPr>
              <w:t xml:space="preserve">Team Lead – Data Operations (Tutoring Session Management)</w:t>
            </w:r>
          </w:p>
          <w:p>
            <w:pPr>
              <w:spacing w:after="0" w:before="0"/>
            </w:pPr>
            <w:r>
              <w:rPr>
                <w:rFonts w:ascii="Arial" w:cs="Arial" w:eastAsia="Arial" w:hAnsi="Arial"/>
                <w:b/>
                <w:bCs/>
                <w:color w:val="2E75B6"/>
                <w:sz w:val="19"/>
                <w:szCs w:val="19"/>
              </w:rPr>
              <w:t xml:space="preserve">Focus Edumatics Pvt. Ltd.</w:t>
            </w:r>
            <w:r>
              <w:rPr>
                <w:rFonts w:ascii="Arial" w:cs="Arial" w:eastAsia="Arial" w:hAnsi="Arial"/>
                <w:color w:val="555555"/>
                <w:sz w:val="17"/>
                <w:szCs w:val="17"/>
              </w:rPr>
              <w:t xml:space="preserve">  |  Bangalore, Karnataka</w:t>
            </w:r>
          </w:p>
        </w:tc>
        <w:tc>
          <w:tcPr>
            <w:tcW w:type="dxa" w:w="2960"/>
            <w:tcBorders>
              <w:top w:val="none"/>
              <w:left w:val="none"/>
              <w:bottom w:val="none"/>
              <w:right w:val="none"/>
            </w:tcBorders>
            <w:shd w:fill="1B3A6B" w:val="clear"/>
            <w:tcMar>
              <w:top w:type="dxa" w:w="60"/>
              <w:left w:type="dxa" w:w="0"/>
              <w:bottom w:type="dxa" w:w="0"/>
              <w:right w:type="dxa" w:w="0"/>
            </w:tcMar>
            <w:vAlign w:val="top"/>
          </w:tcPr>
          <w:p>
            <w:pPr>
              <w:spacing w:after="0" w:before="0"/>
              <w:jc w:val="center"/>
            </w:pPr>
            <w:r>
              <w:rPr>
                <w:rFonts w:ascii="Arial" w:cs="Arial" w:eastAsia="Arial" w:hAnsi="Arial"/>
                <w:b/>
                <w:bCs/>
                <w:color w:val="FFFFFF"/>
                <w:sz w:val="17"/>
                <w:szCs w:val="17"/>
              </w:rPr>
              <w:t xml:space="preserve">Jun 2018 – Dec 2022</w:t>
            </w:r>
          </w:p>
        </w:tc>
      </w:tr>
    </w:tbl>
    <w:p>
      <w:pPr>
        <w:spacing w:after="60" w:before="0"/>
      </w:pPr>
      <w:r>
        <w:t xml:space="preserve"/>
      </w:r>
    </w:p>
    <w:p>
      <w:pPr>
        <w:pStyle w:val="ListParagraph"/>
        <w:numPr>
          <w:ilvl w:val="0"/>
          <w:numId w:val="2"/>
        </w:numPr>
        <w:spacing w:after="40" w:before="40"/>
      </w:pPr>
      <w:r>
        <w:rPr>
          <w:rFonts w:ascii="Arial" w:cs="Arial" w:eastAsia="Arial" w:hAnsi="Arial"/>
          <w:color w:val="1A1A2E"/>
          <w:sz w:val="18"/>
          <w:szCs w:val="18"/>
        </w:rPr>
        <w:t xml:space="preserve">Orchestrated scheduling and real-time coordination of 7,000+ online tutoring sessions daily across multiple subjects, grades, and districts, ensuring zero SLA breaches.</w:t>
      </w:r>
    </w:p>
    <w:p>
      <w:pPr>
        <w:pStyle w:val="ListParagraph"/>
        <w:numPr>
          <w:ilvl w:val="0"/>
          <w:numId w:val="2"/>
        </w:numPr>
        <w:spacing w:after="40" w:before="40"/>
      </w:pPr>
      <w:r>
        <w:rPr>
          <w:rFonts w:ascii="Arial" w:cs="Arial" w:eastAsia="Arial" w:hAnsi="Arial"/>
          <w:color w:val="1A1A2E"/>
          <w:sz w:val="18"/>
          <w:szCs w:val="18"/>
        </w:rPr>
        <w:t xml:space="preserve">Built and monitored real-time performance dashboards and session delivery metrics, proactively identifying bottlenecks and implementing corrective actions.</w:t>
      </w:r>
    </w:p>
    <w:p>
      <w:pPr>
        <w:pStyle w:val="ListParagraph"/>
        <w:numPr>
          <w:ilvl w:val="0"/>
          <w:numId w:val="2"/>
        </w:numPr>
        <w:spacing w:after="40" w:before="40"/>
      </w:pPr>
      <w:r>
        <w:rPr>
          <w:rFonts w:ascii="Arial" w:cs="Arial" w:eastAsia="Arial" w:hAnsi="Arial"/>
          <w:color w:val="1A1A2E"/>
          <w:sz w:val="18"/>
          <w:szCs w:val="18"/>
        </w:rPr>
        <w:t xml:space="preserve">Trained and onboarded data operations teams, aligning individual KPIs and KRAs with organizational targets to consistently drive high performance.</w:t>
      </w:r>
    </w:p>
    <w:p>
      <w:pPr>
        <w:pStyle w:val="ListParagraph"/>
        <w:numPr>
          <w:ilvl w:val="0"/>
          <w:numId w:val="2"/>
        </w:numPr>
        <w:spacing w:after="40" w:before="40"/>
      </w:pPr>
      <w:r>
        <w:rPr>
          <w:rFonts w:ascii="Arial" w:cs="Arial" w:eastAsia="Arial" w:hAnsi="Arial"/>
          <w:color w:val="1A1A2E"/>
          <w:sz w:val="18"/>
          <w:szCs w:val="18"/>
        </w:rPr>
        <w:t xml:space="preserve">Led workflow optimization initiatives resulting in measurable improvements in operational efficiency, session accuracy, and on-time delivery rates.</w:t>
      </w:r>
    </w:p>
    <w:p>
      <w:pPr>
        <w:pStyle w:val="ListParagraph"/>
        <w:numPr>
          <w:ilvl w:val="0"/>
          <w:numId w:val="2"/>
        </w:numPr>
        <w:spacing w:after="40" w:before="40"/>
      </w:pPr>
      <w:r>
        <w:rPr>
          <w:rFonts w:ascii="Arial" w:cs="Arial" w:eastAsia="Arial" w:hAnsi="Arial"/>
          <w:color w:val="1A1A2E"/>
          <w:sz w:val="18"/>
          <w:szCs w:val="18"/>
        </w:rPr>
        <w:t xml:space="preserve">Served as primary liaison between academic teams and technology platforms, ensuring seamless data flow and platform reliability.</w:t>
      </w:r>
    </w:p>
    <w:p>
      <w:pPr>
        <w:spacing w:after="100" w:before="0"/>
      </w:pPr>
      <w:r>
        <w:t xml:space="preserve"/>
      </w:r>
    </w:p>
    <w:tbl>
      <w:tblPr>
        <w:tblW w:type="dxa" w:w="9360"/>
        <w:tblBorders>
          <w:top w:val="none"/>
          <w:left w:val="none"/>
          <w:bottom w:val="none"/>
          <w:right w:val="none"/>
          <w:insideH w:val="single" w:color="auto" w:sz="4"/>
          <w:insideV w:val="single" w:color="auto" w:sz="4"/>
        </w:tblBorders>
      </w:tblPr>
      <w:tblGrid>
        <w:gridCol w:w="6400"/>
        <w:gridCol w:w="2960"/>
      </w:tblGrid>
      <w:tr>
        <w:tc>
          <w:tcPr>
            <w:tcW w:type="dxa" w:w="6400"/>
            <w:tcBorders>
              <w:top w:val="none"/>
              <w:left w:val="none"/>
              <w:bottom w:val="none"/>
              <w:right w:val="none"/>
            </w:tcBorders>
            <w:tcMar>
              <w:top w:type="dxa" w:w="0"/>
              <w:left w:type="dxa" w:w="0"/>
              <w:bottom w:type="dxa" w:w="0"/>
              <w:right w:type="dxa" w:w="0"/>
            </w:tcMar>
          </w:tcPr>
          <w:p>
            <w:pPr>
              <w:spacing w:after="30" w:before="0"/>
            </w:pPr>
            <w:r>
              <w:rPr>
                <w:rFonts w:ascii="Arial" w:cs="Arial" w:eastAsia="Arial" w:hAnsi="Arial"/>
                <w:b/>
                <w:bCs/>
                <w:color w:val="1B3A6B"/>
                <w:sz w:val="21"/>
                <w:szCs w:val="21"/>
              </w:rPr>
              <w:t xml:space="preserve">Online Tutor &amp; Educational Content Developer</w:t>
            </w:r>
          </w:p>
          <w:p>
            <w:pPr>
              <w:spacing w:after="0" w:before="0"/>
            </w:pPr>
            <w:r>
              <w:rPr>
                <w:rFonts w:ascii="Arial" w:cs="Arial" w:eastAsia="Arial" w:hAnsi="Arial"/>
                <w:b/>
                <w:bCs/>
                <w:color w:val="2E75B6"/>
                <w:sz w:val="19"/>
                <w:szCs w:val="19"/>
              </w:rPr>
              <w:t xml:space="preserve">Freelance</w:t>
            </w:r>
            <w:r>
              <w:rPr>
                <w:rFonts w:ascii="Arial" w:cs="Arial" w:eastAsia="Arial" w:hAnsi="Arial"/>
                <w:color w:val="555555"/>
                <w:sz w:val="17"/>
                <w:szCs w:val="17"/>
              </w:rPr>
              <w:t xml:space="preserve">  |  Online Platforms</w:t>
            </w:r>
          </w:p>
        </w:tc>
        <w:tc>
          <w:tcPr>
            <w:tcW w:type="dxa" w:w="2960"/>
            <w:tcBorders>
              <w:top w:val="none"/>
              <w:left w:val="none"/>
              <w:bottom w:val="none"/>
              <w:right w:val="none"/>
            </w:tcBorders>
            <w:shd w:fill="1B3A6B" w:val="clear"/>
            <w:tcMar>
              <w:top w:type="dxa" w:w="60"/>
              <w:left w:type="dxa" w:w="0"/>
              <w:bottom w:type="dxa" w:w="0"/>
              <w:right w:type="dxa" w:w="0"/>
            </w:tcMar>
            <w:vAlign w:val="top"/>
          </w:tcPr>
          <w:p>
            <w:pPr>
              <w:spacing w:after="0" w:before="0"/>
              <w:jc w:val="center"/>
            </w:pPr>
            <w:r>
              <w:rPr>
                <w:rFonts w:ascii="Arial" w:cs="Arial" w:eastAsia="Arial" w:hAnsi="Arial"/>
                <w:b/>
                <w:bCs/>
                <w:color w:val="FFFFFF"/>
                <w:sz w:val="17"/>
                <w:szCs w:val="17"/>
              </w:rPr>
              <w:t xml:space="preserve">2015 – 2018</w:t>
            </w:r>
          </w:p>
        </w:tc>
      </w:tr>
    </w:tbl>
    <w:p>
      <w:pPr>
        <w:spacing w:after="60" w:before="0"/>
      </w:pPr>
      <w:r>
        <w:t xml:space="preserve"/>
      </w:r>
    </w:p>
    <w:p>
      <w:pPr>
        <w:pStyle w:val="ListParagraph"/>
        <w:numPr>
          <w:ilvl w:val="0"/>
          <w:numId w:val="2"/>
        </w:numPr>
        <w:spacing w:after="40" w:before="40"/>
      </w:pPr>
      <w:r>
        <w:rPr>
          <w:rFonts w:ascii="Arial" w:cs="Arial" w:eastAsia="Arial" w:hAnsi="Arial"/>
          <w:color w:val="1A1A2E"/>
          <w:sz w:val="18"/>
          <w:szCs w:val="18"/>
        </w:rPr>
        <w:t xml:space="preserve">Delivered personalized online Math tutoring for K–12 students and provided structured performance feedback and regular progress reports.</w:t>
      </w:r>
    </w:p>
    <w:p>
      <w:pPr>
        <w:pStyle w:val="ListParagraph"/>
        <w:numPr>
          <w:ilvl w:val="0"/>
          <w:numId w:val="2"/>
        </w:numPr>
        <w:spacing w:after="40" w:before="40"/>
      </w:pPr>
      <w:r>
        <w:rPr>
          <w:rFonts w:ascii="Arial" w:cs="Arial" w:eastAsia="Arial" w:hAnsi="Arial"/>
          <w:color w:val="1A1A2E"/>
          <w:sz w:val="18"/>
          <w:szCs w:val="18"/>
        </w:rPr>
        <w:t xml:space="preserve">Developed curriculum-aligned content including worksheets, assessments, and concept explainers tailored to individual student learning profiles.</w:t>
      </w:r>
    </w:p>
    <w:p>
      <w:pPr>
        <w:pStyle w:val="ListParagraph"/>
        <w:numPr>
          <w:ilvl w:val="0"/>
          <w:numId w:val="2"/>
        </w:numPr>
        <w:spacing w:after="40" w:before="40"/>
      </w:pPr>
      <w:r>
        <w:rPr>
          <w:rFonts w:ascii="Arial" w:cs="Arial" w:eastAsia="Arial" w:hAnsi="Arial"/>
          <w:color w:val="1A1A2E"/>
          <w:sz w:val="18"/>
          <w:szCs w:val="18"/>
        </w:rPr>
        <w:t xml:space="preserve">Utilized Excel to evaluate student performance data, identify learning gaps, and optimize content delivery strategies based on analytical insights.</w:t>
      </w:r>
    </w:p>
    <w:p>
      <w:pPr>
        <w:spacing w:after="100" w:before="0"/>
      </w:pPr>
      <w:r>
        <w:t xml:space="preserve"/>
      </w:r>
    </w:p>
    <w:p>
      <w:pPr>
        <w:pBdr>
          <w:bottom w:val="single" w:color="2E75B6" w:sz="12" w:space="4"/>
        </w:pBdr>
        <w:spacing w:after="0" w:before="280"/>
      </w:pPr>
      <w:r>
        <w:rPr>
          <w:rFonts w:ascii="Arial" w:cs="Arial" w:eastAsia="Arial" w:hAnsi="Arial"/>
          <w:b/>
          <w:bCs/>
          <w:color w:val="1B3A6B"/>
          <w:spacing w:val="40"/>
          <w:sz w:val="22"/>
          <w:szCs w:val="22"/>
        </w:rPr>
        <w:t xml:space="preserve">TECHNICAL SKILLS</w:t>
      </w:r>
    </w:p>
    <w:p>
      <w:pPr>
        <w:spacing w:after="60" w:before="0"/>
      </w:pPr>
      <w:r>
        <w:t xml:space="preserve"/>
      </w: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single" w:color="C5D8EE" w:sz="2"/>
              <w:left w:val="single" w:color="C5D8EE" w:sz="2"/>
              <w:bottom w:val="single" w:color="C5D8EE" w:sz="2"/>
              <w:right w:val="single" w:color="C5D8EE" w:sz="2"/>
            </w:tcBorders>
            <w:shd w:fill="F5F7FA" w:val="clear"/>
            <w:tcMar>
              <w:top w:type="dxa" w:w="160"/>
              <w:left w:type="dxa" w:w="240"/>
              <w:bottom w:type="dxa" w:w="160"/>
              <w:right w:type="dxa" w:w="240"/>
            </w:tcMar>
          </w:tcPr>
          <w:p>
            <w:pPr>
              <w:spacing w:after="55" w:before="55"/>
            </w:pPr>
            <w:r>
              <w:rPr>
                <w:rFonts w:ascii="Arial" w:cs="Arial" w:eastAsia="Arial" w:hAnsi="Arial"/>
                <w:b/>
                <w:bCs/>
                <w:color w:val="1B3A6B"/>
                <w:sz w:val="19"/>
                <w:szCs w:val="19"/>
              </w:rPr>
              <w:t xml:space="preserve">Programming &amp; Query:  </w:t>
            </w:r>
            <w:r>
              <w:rPr>
                <w:rFonts w:ascii="Arial" w:cs="Arial" w:eastAsia="Arial" w:hAnsi="Arial"/>
                <w:color w:val="1A1A2E"/>
                <w:sz w:val="18"/>
                <w:szCs w:val="18"/>
              </w:rPr>
              <w:t xml:space="preserve">Python   •   SQL   •   Advanced Excel</w:t>
            </w:r>
          </w:p>
          <w:p>
            <w:pPr>
              <w:spacing w:after="55" w:before="55"/>
            </w:pPr>
            <w:r>
              <w:rPr>
                <w:rFonts w:ascii="Arial" w:cs="Arial" w:eastAsia="Arial" w:hAnsi="Arial"/>
                <w:b/>
                <w:bCs/>
                <w:color w:val="1B3A6B"/>
                <w:sz w:val="19"/>
                <w:szCs w:val="19"/>
              </w:rPr>
              <w:t xml:space="preserve">BI &amp; Visualization:  </w:t>
            </w:r>
            <w:r>
              <w:rPr>
                <w:rFonts w:ascii="Arial" w:cs="Arial" w:eastAsia="Arial" w:hAnsi="Arial"/>
                <w:color w:val="1A1A2E"/>
                <w:sz w:val="18"/>
                <w:szCs w:val="18"/>
              </w:rPr>
              <w:t xml:space="preserve">Power BI   •   Tableau   •   Excel Dashboards</w:t>
            </w:r>
          </w:p>
          <w:p>
            <w:pPr>
              <w:spacing w:after="55" w:before="55"/>
            </w:pPr>
            <w:r>
              <w:rPr>
                <w:rFonts w:ascii="Arial" w:cs="Arial" w:eastAsia="Arial" w:hAnsi="Arial"/>
                <w:b/>
                <w:bCs/>
                <w:color w:val="1B3A6B"/>
                <w:sz w:val="19"/>
                <w:szCs w:val="19"/>
              </w:rPr>
              <w:t xml:space="preserve">Databases:  </w:t>
            </w:r>
            <w:r>
              <w:rPr>
                <w:rFonts w:ascii="Arial" w:cs="Arial" w:eastAsia="Arial" w:hAnsi="Arial"/>
                <w:color w:val="1A1A2E"/>
                <w:sz w:val="18"/>
                <w:szCs w:val="18"/>
              </w:rPr>
              <w:t xml:space="preserve">SQL Server   •   Snowflake   •   Relational Data Modeling</w:t>
            </w:r>
          </w:p>
          <w:p>
            <w:pPr>
              <w:spacing w:after="55" w:before="55"/>
            </w:pPr>
            <w:r>
              <w:rPr>
                <w:rFonts w:ascii="Arial" w:cs="Arial" w:eastAsia="Arial" w:hAnsi="Arial"/>
                <w:b/>
                <w:bCs/>
                <w:color w:val="1B3A6B"/>
                <w:sz w:val="19"/>
                <w:szCs w:val="19"/>
              </w:rPr>
              <w:t xml:space="preserve">Cloud &amp; Analytics:  </w:t>
            </w:r>
            <w:r>
              <w:rPr>
                <w:rFonts w:ascii="Arial" w:cs="Arial" w:eastAsia="Arial" w:hAnsi="Arial"/>
                <w:color w:val="1A1A2E"/>
                <w:sz w:val="18"/>
                <w:szCs w:val="18"/>
              </w:rPr>
              <w:t xml:space="preserve">AWS (Fundamentals)   •   Exploratory Data Analysis   •   Statistics</w:t>
            </w:r>
          </w:p>
          <w:p>
            <w:pPr>
              <w:spacing w:after="55" w:before="55"/>
            </w:pPr>
            <w:r>
              <w:rPr>
                <w:rFonts w:ascii="Arial" w:cs="Arial" w:eastAsia="Arial" w:hAnsi="Arial"/>
                <w:b/>
                <w:bCs/>
                <w:color w:val="1B3A6B"/>
                <w:sz w:val="19"/>
                <w:szCs w:val="19"/>
              </w:rPr>
              <w:t xml:space="preserve">EdTech &amp; LMS:  </w:t>
            </w:r>
            <w:r>
              <w:rPr>
                <w:rFonts w:ascii="Arial" w:cs="Arial" w:eastAsia="Arial" w:hAnsi="Arial"/>
                <w:color w:val="1A1A2E"/>
                <w:sz w:val="18"/>
                <w:szCs w:val="18"/>
              </w:rPr>
              <w:t xml:space="preserve">Content Mapping   •   Session Scheduling   •   Whiteboard Platforms</w:t>
            </w:r>
          </w:p>
          <w:p>
            <w:pPr>
              <w:spacing w:after="55" w:before="55"/>
            </w:pPr>
            <w:r>
              <w:rPr>
                <w:rFonts w:ascii="Arial" w:cs="Arial" w:eastAsia="Arial" w:hAnsi="Arial"/>
                <w:b/>
                <w:bCs/>
                <w:color w:val="1B3A6B"/>
                <w:sz w:val="19"/>
                <w:szCs w:val="19"/>
              </w:rPr>
              <w:t xml:space="preserve">Quality &amp; Process:  </w:t>
            </w:r>
            <w:r>
              <w:rPr>
                <w:rFonts w:ascii="Arial" w:cs="Arial" w:eastAsia="Arial" w:hAnsi="Arial"/>
                <w:color w:val="1A1A2E"/>
                <w:sz w:val="18"/>
                <w:szCs w:val="18"/>
              </w:rPr>
              <w:t xml:space="preserve">SOP Audits   •   Call/Chat/Email QA   •   KPI &amp; KRA Frameworks</w:t>
            </w:r>
          </w:p>
        </w:tc>
      </w:tr>
    </w:tbl>
    <w:p>
      <w:pPr>
        <w:spacing w:after="100" w:before="0"/>
      </w:pPr>
      <w:r>
        <w:t xml:space="preserve"/>
      </w:r>
    </w:p>
    <w:p>
      <w:pPr>
        <w:pBdr>
          <w:bottom w:val="single" w:color="2E75B6" w:sz="12" w:space="4"/>
        </w:pBdr>
        <w:spacing w:after="0" w:before="280"/>
      </w:pPr>
      <w:r>
        <w:rPr>
          <w:rFonts w:ascii="Arial" w:cs="Arial" w:eastAsia="Arial" w:hAnsi="Arial"/>
          <w:b/>
          <w:bCs/>
          <w:color w:val="1B3A6B"/>
          <w:spacing w:val="40"/>
          <w:sz w:val="22"/>
          <w:szCs w:val="22"/>
        </w:rPr>
        <w:t xml:space="preserve">CORE COMPETENCIES</w:t>
      </w:r>
    </w:p>
    <w:p>
      <w:pPr>
        <w:spacing w:after="60" w:before="0"/>
      </w:pPr>
      <w:r>
        <w:t xml:space="preserve"/>
      </w:r>
    </w:p>
    <w:tbl>
      <w:tblPr>
        <w:tblW w:type="dxa" w:w="9360"/>
        <w:tblBorders>
          <w:top w:val="none"/>
          <w:left w:val="none"/>
          <w:bottom w:val="none"/>
          <w:right w:val="none"/>
          <w:insideH w:val="single" w:color="auto" w:sz="4"/>
          <w:insideV w:val="single" w:color="auto" w:sz="4"/>
        </w:tblBorders>
      </w:tblPr>
      <w:tblGrid>
        <w:gridCol w:w="3080"/>
        <w:gridCol w:w="3080"/>
        <w:gridCol w:w="3200"/>
      </w:tblGrid>
      <w:tr>
        <w:tc>
          <w:tcPr>
            <w:tcW w:type="dxa" w:w="3080"/>
            <w:tcBorders>
              <w:top w:val="single" w:color="C5D8EE" w:sz="2"/>
              <w:left w:val="single" w:color="C5D8EE" w:sz="2"/>
              <w:bottom w:val="single" w:color="C5D8EE" w:sz="2"/>
              <w:right w:val="single" w:color="C5D8EE" w:sz="2"/>
            </w:tcBorders>
            <w:shd w:fill="EBF3FA" w:val="clear"/>
            <w:tcMar>
              <w:top w:type="dxa" w:w="100"/>
              <w:left w:type="dxa" w:w="160"/>
              <w:bottom w:type="dxa" w:w="100"/>
              <w:right w:type="dxa" w:w="160"/>
            </w:tcMar>
          </w:tcPr>
          <w:p>
            <w:pPr>
              <w:spacing w:after="50" w:before="50"/>
            </w:pPr>
            <w:r>
              <w:rPr>
                <w:rFonts w:ascii="Arial" w:cs="Arial" w:eastAsia="Arial" w:hAnsi="Arial"/>
                <w:b/>
                <w:bCs/>
                <w:color w:val="2E75B6"/>
                <w:sz w:val="18"/>
                <w:szCs w:val="18"/>
              </w:rPr>
              <w:t xml:space="preserve">✓  </w:t>
            </w:r>
            <w:r>
              <w:rPr>
                <w:rFonts w:ascii="Arial" w:cs="Arial" w:eastAsia="Arial" w:hAnsi="Arial"/>
                <w:color w:val="1A1A2E"/>
                <w:sz w:val="18"/>
                <w:szCs w:val="18"/>
              </w:rPr>
              <w:t xml:space="preserve">Data Analysis &amp; Visualization</w:t>
            </w:r>
          </w:p>
          <w:p>
            <w:pPr>
              <w:spacing w:after="50" w:before="50"/>
            </w:pPr>
            <w:r>
              <w:rPr>
                <w:rFonts w:ascii="Arial" w:cs="Arial" w:eastAsia="Arial" w:hAnsi="Arial"/>
                <w:b/>
                <w:bCs/>
                <w:color w:val="2E75B6"/>
                <w:sz w:val="18"/>
                <w:szCs w:val="18"/>
              </w:rPr>
              <w:t xml:space="preserve">✓  </w:t>
            </w:r>
            <w:r>
              <w:rPr>
                <w:rFonts w:ascii="Arial" w:cs="Arial" w:eastAsia="Arial" w:hAnsi="Arial"/>
                <w:color w:val="1A1A2E"/>
                <w:sz w:val="18"/>
                <w:szCs w:val="18"/>
              </w:rPr>
              <w:t xml:space="preserve">Operational Efficiency &amp; Automation</w:t>
            </w:r>
          </w:p>
          <w:p>
            <w:pPr>
              <w:spacing w:after="50" w:before="50"/>
            </w:pPr>
            <w:r>
              <w:rPr>
                <w:rFonts w:ascii="Arial" w:cs="Arial" w:eastAsia="Arial" w:hAnsi="Arial"/>
                <w:b/>
                <w:bCs/>
                <w:color w:val="2E75B6"/>
                <w:sz w:val="18"/>
                <w:szCs w:val="18"/>
              </w:rPr>
              <w:t xml:space="preserve">✓  </w:t>
            </w:r>
            <w:r>
              <w:rPr>
                <w:rFonts w:ascii="Arial" w:cs="Arial" w:eastAsia="Arial" w:hAnsi="Arial"/>
                <w:color w:val="1A1A2E"/>
                <w:sz w:val="18"/>
                <w:szCs w:val="18"/>
              </w:rPr>
              <w:t xml:space="preserve">Quality Assurance &amp; Compliance</w:t>
            </w:r>
          </w:p>
        </w:tc>
        <w:tc>
          <w:tcPr>
            <w:tcW w:type="dxa" w:w="3080"/>
            <w:tcBorders>
              <w:top w:val="single" w:color="C5D8EE" w:sz="2"/>
              <w:left w:val="single" w:color="C5D8EE" w:sz="2"/>
              <w:bottom w:val="single" w:color="C5D8EE" w:sz="2"/>
              <w:right w:val="single" w:color="C5D8EE" w:sz="2"/>
            </w:tcBorders>
            <w:shd w:fill="EBF3FA" w:val="clear"/>
            <w:tcMar>
              <w:top w:type="dxa" w:w="100"/>
              <w:left w:type="dxa" w:w="160"/>
              <w:bottom w:type="dxa" w:w="100"/>
              <w:right w:type="dxa" w:w="160"/>
            </w:tcMar>
          </w:tcPr>
          <w:p>
            <w:pPr>
              <w:spacing w:after="50" w:before="50"/>
            </w:pPr>
            <w:r>
              <w:rPr>
                <w:rFonts w:ascii="Arial" w:cs="Arial" w:eastAsia="Arial" w:hAnsi="Arial"/>
                <w:b/>
                <w:bCs/>
                <w:color w:val="2E75B6"/>
                <w:sz w:val="18"/>
                <w:szCs w:val="18"/>
              </w:rPr>
              <w:t xml:space="preserve">✓  </w:t>
            </w:r>
            <w:r>
              <w:rPr>
                <w:rFonts w:ascii="Arial" w:cs="Arial" w:eastAsia="Arial" w:hAnsi="Arial"/>
                <w:color w:val="1A1A2E"/>
                <w:sz w:val="18"/>
                <w:szCs w:val="18"/>
              </w:rPr>
              <w:t xml:space="preserve">Team Leadership &amp; Mentoring</w:t>
            </w:r>
          </w:p>
          <w:p>
            <w:pPr>
              <w:spacing w:after="50" w:before="50"/>
            </w:pPr>
            <w:r>
              <w:rPr>
                <w:rFonts w:ascii="Arial" w:cs="Arial" w:eastAsia="Arial" w:hAnsi="Arial"/>
                <w:b/>
                <w:bCs/>
                <w:color w:val="2E75B6"/>
                <w:sz w:val="18"/>
                <w:szCs w:val="18"/>
              </w:rPr>
              <w:t xml:space="preserve">✓  </w:t>
            </w:r>
            <w:r>
              <w:rPr>
                <w:rFonts w:ascii="Arial" w:cs="Arial" w:eastAsia="Arial" w:hAnsi="Arial"/>
                <w:color w:val="1A1A2E"/>
                <w:sz w:val="18"/>
                <w:szCs w:val="18"/>
              </w:rPr>
              <w:t xml:space="preserve">KPI / KRA Strategy &amp; Alignment</w:t>
            </w:r>
          </w:p>
          <w:p>
            <w:pPr>
              <w:spacing w:after="50" w:before="50"/>
            </w:pPr>
            <w:r>
              <w:rPr>
                <w:rFonts w:ascii="Arial" w:cs="Arial" w:eastAsia="Arial" w:hAnsi="Arial"/>
                <w:b/>
                <w:bCs/>
                <w:color w:val="2E75B6"/>
                <w:sz w:val="18"/>
                <w:szCs w:val="18"/>
              </w:rPr>
              <w:t xml:space="preserve">✓  </w:t>
            </w:r>
            <w:r>
              <w:rPr>
                <w:rFonts w:ascii="Arial" w:cs="Arial" w:eastAsia="Arial" w:hAnsi="Arial"/>
                <w:color w:val="1A1A2E"/>
                <w:sz w:val="18"/>
                <w:szCs w:val="18"/>
              </w:rPr>
              <w:t xml:space="preserve">Cross-functional Collaboration</w:t>
            </w:r>
          </w:p>
        </w:tc>
        <w:tc>
          <w:tcPr>
            <w:tcW w:type="dxa" w:w="3200"/>
            <w:tcBorders>
              <w:top w:val="single" w:color="C5D8EE" w:sz="2"/>
              <w:left w:val="single" w:color="C5D8EE" w:sz="2"/>
              <w:bottom w:val="single" w:color="C5D8EE" w:sz="2"/>
              <w:right w:val="single" w:color="C5D8EE" w:sz="2"/>
            </w:tcBorders>
            <w:shd w:fill="EBF3FA" w:val="clear"/>
            <w:tcMar>
              <w:top w:type="dxa" w:w="100"/>
              <w:left w:type="dxa" w:w="160"/>
              <w:bottom w:type="dxa" w:w="100"/>
              <w:right w:type="dxa" w:w="160"/>
            </w:tcMar>
          </w:tcPr>
          <w:p>
            <w:pPr>
              <w:spacing w:after="50" w:before="50"/>
            </w:pPr>
            <w:r>
              <w:rPr>
                <w:rFonts w:ascii="Arial" w:cs="Arial" w:eastAsia="Arial" w:hAnsi="Arial"/>
                <w:b/>
                <w:bCs/>
                <w:color w:val="2E75B6"/>
                <w:sz w:val="18"/>
                <w:szCs w:val="18"/>
              </w:rPr>
              <w:t xml:space="preserve">✓  </w:t>
            </w:r>
            <w:r>
              <w:rPr>
                <w:rFonts w:ascii="Arial" w:cs="Arial" w:eastAsia="Arial" w:hAnsi="Arial"/>
                <w:color w:val="1A1A2E"/>
                <w:sz w:val="18"/>
                <w:szCs w:val="18"/>
              </w:rPr>
              <w:t xml:space="preserve">Curriculum Design &amp; Instruction</w:t>
            </w:r>
          </w:p>
          <w:p>
            <w:pPr>
              <w:spacing w:after="50" w:before="50"/>
            </w:pPr>
            <w:r>
              <w:rPr>
                <w:rFonts w:ascii="Arial" w:cs="Arial" w:eastAsia="Arial" w:hAnsi="Arial"/>
                <w:b/>
                <w:bCs/>
                <w:color w:val="2E75B6"/>
                <w:sz w:val="18"/>
                <w:szCs w:val="18"/>
              </w:rPr>
              <w:t xml:space="preserve">✓  </w:t>
            </w:r>
            <w:r>
              <w:rPr>
                <w:rFonts w:ascii="Arial" w:cs="Arial" w:eastAsia="Arial" w:hAnsi="Arial"/>
                <w:color w:val="1A1A2E"/>
                <w:sz w:val="18"/>
                <w:szCs w:val="18"/>
              </w:rPr>
              <w:t xml:space="preserve">Client Reporting &amp; Presentations</w:t>
            </w:r>
          </w:p>
          <w:p>
            <w:pPr>
              <w:spacing w:after="50" w:before="50"/>
            </w:pPr>
            <w:r>
              <w:rPr>
                <w:rFonts w:ascii="Arial" w:cs="Arial" w:eastAsia="Arial" w:hAnsi="Arial"/>
                <w:b/>
                <w:bCs/>
                <w:color w:val="2E75B6"/>
                <w:sz w:val="18"/>
                <w:szCs w:val="18"/>
              </w:rPr>
              <w:t xml:space="preserve">✓  </w:t>
            </w:r>
            <w:r>
              <w:rPr>
                <w:rFonts w:ascii="Arial" w:cs="Arial" w:eastAsia="Arial" w:hAnsi="Arial"/>
                <w:color w:val="1A1A2E"/>
                <w:sz w:val="18"/>
                <w:szCs w:val="18"/>
              </w:rPr>
              <w:t xml:space="preserve">Stakeholder Communication</w:t>
            </w:r>
          </w:p>
        </w:tc>
      </w:tr>
    </w:tbl>
    <w:p>
      <w:pPr>
        <w:spacing w:after="100" w:before="0"/>
      </w:pPr>
      <w:r>
        <w:t xml:space="preserve"/>
      </w:r>
    </w:p>
    <w:p>
      <w:pPr>
        <w:pBdr>
          <w:bottom w:val="single" w:color="2E75B6" w:sz="12" w:space="4"/>
        </w:pBdr>
        <w:spacing w:after="0" w:before="280"/>
      </w:pPr>
      <w:r>
        <w:rPr>
          <w:rFonts w:ascii="Arial" w:cs="Arial" w:eastAsia="Arial" w:hAnsi="Arial"/>
          <w:b/>
          <w:bCs/>
          <w:color w:val="1B3A6B"/>
          <w:spacing w:val="40"/>
          <w:sz w:val="22"/>
          <w:szCs w:val="22"/>
        </w:rPr>
        <w:t xml:space="preserve">CERTIFICATIONS</w:t>
      </w:r>
    </w:p>
    <w:p>
      <w:pPr>
        <w:spacing w:after="60" w:before="0"/>
      </w:pPr>
      <w:r>
        <w:t xml:space="preserve"/>
      </w:r>
    </w:p>
    <w:tbl>
      <w:tblPr>
        <w:tblW w:type="dxa" w:w="9360"/>
        <w:tblBorders>
          <w:top w:val="none"/>
          <w:left w:val="none"/>
          <w:bottom w:val="none"/>
          <w:right w:val="none"/>
          <w:insideH w:val="single" w:color="auto" w:sz="4"/>
          <w:insideV w:val="single" w:color="auto" w:sz="4"/>
        </w:tblBorders>
      </w:tblPr>
      <w:tblGrid>
        <w:gridCol w:w="7560"/>
        <w:gridCol w:w="1800"/>
      </w:tblGrid>
      <w:tr>
        <w:tc>
          <w:tcPr>
            <w:tcW w:type="dxa" w:w="7560"/>
            <w:tcBorders>
              <w:top w:val="single" w:color="C5D8EE" w:sz="2"/>
              <w:left w:val="single" w:color="2E75B6" w:sz="12"/>
              <w:bottom w:val="single" w:color="C5D8EE" w:sz="2"/>
              <w:right w:val="none"/>
            </w:tcBorders>
            <w:shd w:fill="EBF3FA" w:val="clear"/>
            <w:tcMar>
              <w:top w:type="dxa" w:w="120"/>
              <w:left w:type="dxa" w:w="200"/>
              <w:bottom w:type="dxa" w:w="120"/>
              <w:right w:type="dxa" w:w="160"/>
            </w:tcMar>
          </w:tcPr>
          <w:p>
            <w:pPr>
              <w:spacing w:after="30" w:before="0"/>
            </w:pPr>
            <w:r>
              <w:rPr>
                <w:rFonts w:ascii="Arial" w:cs="Arial" w:eastAsia="Arial" w:hAnsi="Arial"/>
                <w:b/>
                <w:bCs/>
                <w:color w:val="1B3A6B"/>
                <w:sz w:val="20"/>
                <w:szCs w:val="20"/>
              </w:rPr>
              <w:t xml:space="preserve">Master Data Analytics Program</w:t>
            </w:r>
          </w:p>
          <w:p>
            <w:pPr>
              <w:spacing w:after="30" w:before="0"/>
            </w:pPr>
            <w:r>
              <w:rPr>
                <w:rFonts w:ascii="Arial" w:cs="Arial" w:eastAsia="Arial" w:hAnsi="Arial"/>
                <w:color w:val="555555"/>
                <w:sz w:val="18"/>
                <w:szCs w:val="18"/>
              </w:rPr>
              <w:t xml:space="preserve">Udemy  |  Online Certification</w:t>
            </w:r>
          </w:p>
          <w:p>
            <w:pPr>
              <w:spacing w:after="0" w:before="0"/>
            </w:pPr>
            <w:r>
              <w:rPr>
                <w:rFonts w:ascii="Arial" w:cs="Arial" w:eastAsia="Arial" w:hAnsi="Arial"/>
                <w:color w:val="1A1A2E"/>
                <w:sz w:val="18"/>
                <w:szCs w:val="18"/>
              </w:rPr>
              <w:t xml:space="preserve">Covers: Python  •  Statistics  •  Power BI  •  SQL  •  Tableau  •  EDA  •  AWS</w:t>
            </w:r>
          </w:p>
        </w:tc>
        <w:tc>
          <w:tcPr>
            <w:tcW w:type="dxa" w:w="1800"/>
            <w:tcBorders>
              <w:top w:val="single" w:color="C5D8EE" w:sz="2"/>
              <w:left w:val="none"/>
              <w:bottom w:val="single" w:color="C5D8EE" w:sz="2"/>
              <w:right w:val="single" w:color="C5D8EE" w:sz="2"/>
            </w:tcBorders>
            <w:shd w:fill="EBF3FA" w:val="clear"/>
            <w:tcMar>
              <w:top w:type="dxa" w:w="120"/>
              <w:left w:type="dxa" w:w="160"/>
              <w:bottom w:type="dxa" w:w="120"/>
              <w:right w:type="dxa" w:w="160"/>
            </w:tcMar>
            <w:vAlign w:val="center"/>
          </w:tcPr>
          <w:p>
            <w:pPr>
              <w:jc w:val="center"/>
            </w:pPr>
            <w:hyperlink w:history="1" r:id="rId45ofdvh4gtgi-qmtwmumx">
              <w:r>
                <w:rPr>
                  <w:rFonts w:ascii="Arial" w:cs="Arial" w:eastAsia="Arial" w:hAnsi="Arial"/>
                  <w:color w:val="2E75B6"/>
                  <w:sz w:val="18"/>
                  <w:szCs w:val="18"/>
                  <w:u w:val="single" w:color="2E75B6"/>
                </w:rPr>
                <w:t xml:space="preserve">🎓 View Certificate</w:t>
              </w:r>
            </w:hyperlink>
          </w:p>
        </w:tc>
      </w:tr>
    </w:tbl>
    <w:p>
      <w:pPr>
        <w:spacing w:after="100" w:before="0"/>
      </w:pPr>
      <w:r>
        <w:t xml:space="preserve"/>
      </w:r>
    </w:p>
    <w:p>
      <w:pPr>
        <w:pBdr>
          <w:bottom w:val="single" w:color="2E75B6" w:sz="12" w:space="4"/>
        </w:pBdr>
        <w:spacing w:after="0" w:before="280"/>
      </w:pPr>
      <w:r>
        <w:rPr>
          <w:rFonts w:ascii="Arial" w:cs="Arial" w:eastAsia="Arial" w:hAnsi="Arial"/>
          <w:b/>
          <w:bCs/>
          <w:color w:val="1B3A6B"/>
          <w:spacing w:val="40"/>
          <w:sz w:val="22"/>
          <w:szCs w:val="22"/>
        </w:rPr>
        <w:t xml:space="preserve">EDUCATION</w:t>
      </w:r>
    </w:p>
    <w:p>
      <w:pPr>
        <w:spacing w:after="60" w:before="0"/>
      </w:pPr>
      <w:r>
        <w:t xml:space="preserve"/>
      </w:r>
    </w:p>
    <w:tbl>
      <w:tblPr>
        <w:tblW w:type="dxa" w:w="9360"/>
        <w:tblBorders>
          <w:top w:val="none"/>
          <w:left w:val="none"/>
          <w:bottom w:val="none"/>
          <w:right w:val="none"/>
          <w:insideH w:val="single" w:color="auto" w:sz="4"/>
          <w:insideV w:val="single" w:color="auto" w:sz="4"/>
        </w:tblBorders>
      </w:tblPr>
      <w:tblGrid>
        <w:gridCol w:w="7200"/>
        <w:gridCol w:w="2160"/>
      </w:tblGrid>
      <w:tr>
        <w:tc>
          <w:tcPr>
            <w:tcW w:type="dxa" w:w="7200"/>
            <w:tcBorders>
              <w:top w:val="single" w:color="C5D8EE" w:sz="2"/>
              <w:left w:val="single" w:color="1B3A6B" w:sz="12"/>
              <w:bottom w:val="single" w:color="C5D8EE" w:sz="2"/>
              <w:right w:val="none"/>
            </w:tcBorders>
            <w:shd w:fill="FFFFFF" w:val="clear"/>
            <w:tcMar>
              <w:top w:type="dxa" w:w="120"/>
              <w:left w:type="dxa" w:w="200"/>
              <w:bottom w:type="dxa" w:w="120"/>
              <w:right w:type="dxa" w:w="160"/>
            </w:tcMar>
          </w:tcPr>
          <w:p>
            <w:pPr>
              <w:spacing w:after="30" w:before="0"/>
            </w:pPr>
            <w:r>
              <w:rPr>
                <w:rFonts w:ascii="Arial" w:cs="Arial" w:eastAsia="Arial" w:hAnsi="Arial"/>
                <w:b/>
                <w:bCs/>
                <w:color w:val="1B3A6B"/>
                <w:sz w:val="20"/>
                <w:szCs w:val="20"/>
              </w:rPr>
              <w:t xml:space="preserve">Master of Computer Applications (MCA)</w:t>
            </w:r>
          </w:p>
          <w:p>
            <w:pPr>
              <w:spacing w:after="0" w:before="0"/>
            </w:pPr>
            <w:r>
              <w:rPr>
                <w:rFonts w:ascii="Arial" w:cs="Arial" w:eastAsia="Arial" w:hAnsi="Arial"/>
                <w:color w:val="555555"/>
                <w:sz w:val="18"/>
                <w:szCs w:val="18"/>
              </w:rPr>
              <w:t xml:space="preserve">Visvesvaraya Technological University</w:t>
            </w:r>
          </w:p>
        </w:tc>
        <w:tc>
          <w:tcPr>
            <w:tcW w:type="dxa" w:w="2160"/>
            <w:tcBorders>
              <w:top w:val="single" w:color="C5D8EE" w:sz="2"/>
              <w:left w:val="none"/>
              <w:bottom w:val="single" w:color="C5D8EE" w:sz="2"/>
              <w:right w:val="single" w:color="C5D8EE" w:sz="2"/>
            </w:tcBorders>
            <w:shd w:fill="D0E4F5" w:val="clear"/>
            <w:tcMar>
              <w:top w:type="dxa" w:w="120"/>
              <w:left w:type="dxa" w:w="160"/>
              <w:bottom w:type="dxa" w:w="120"/>
              <w:right w:type="dxa" w:w="160"/>
            </w:tcMar>
            <w:vAlign w:val="center"/>
          </w:tcPr>
          <w:p>
            <w:pPr>
              <w:jc w:val="center"/>
            </w:pPr>
            <w:r>
              <w:rPr>
                <w:rFonts w:ascii="Arial" w:cs="Arial" w:eastAsia="Arial" w:hAnsi="Arial"/>
                <w:b/>
                <w:bCs/>
                <w:color w:val="1B3A6B"/>
                <w:sz w:val="20"/>
                <w:szCs w:val="20"/>
              </w:rPr>
              <w:t xml:space="preserve">2014</w:t>
            </w:r>
          </w:p>
        </w:tc>
      </w:tr>
      <w:tr>
        <w:tc>
          <w:tcPr>
            <w:tcW w:type="dxa" w:w="7200"/>
            <w:tcBorders>
              <w:top w:val="none"/>
              <w:left w:val="single" w:color="1B3A6B" w:sz="12"/>
              <w:bottom w:val="single" w:color="C5D8EE" w:sz="2"/>
              <w:right w:val="none"/>
            </w:tcBorders>
            <w:shd w:fill="F5F7FA" w:val="clear"/>
            <w:tcMar>
              <w:top w:type="dxa" w:w="100"/>
              <w:left w:type="dxa" w:w="200"/>
              <w:bottom w:type="dxa" w:w="100"/>
              <w:right w:type="dxa" w:w="160"/>
            </w:tcMar>
          </w:tcPr>
          <w:p>
            <w:pPr>
              <w:spacing w:after="30" w:before="0"/>
            </w:pPr>
            <w:r>
              <w:rPr>
                <w:rFonts w:ascii="Arial" w:cs="Arial" w:eastAsia="Arial" w:hAnsi="Arial"/>
                <w:b/>
                <w:bCs/>
                <w:color w:val="1B3A6B"/>
                <w:sz w:val="20"/>
                <w:szCs w:val="20"/>
              </w:rPr>
              <w:t xml:space="preserve">Bachelor of Computer Applications (BCA)</w:t>
            </w:r>
          </w:p>
          <w:p>
            <w:pPr>
              <w:spacing w:after="0" w:before="0"/>
            </w:pPr>
            <w:r>
              <w:rPr>
                <w:rFonts w:ascii="Arial" w:cs="Arial" w:eastAsia="Arial" w:hAnsi="Arial"/>
                <w:color w:val="555555"/>
                <w:sz w:val="18"/>
                <w:szCs w:val="18"/>
              </w:rPr>
              <w:t xml:space="preserve">Gulbarga University</w:t>
            </w:r>
          </w:p>
        </w:tc>
        <w:tc>
          <w:tcPr>
            <w:tcW w:type="dxa" w:w="2160"/>
            <w:tcBorders>
              <w:top w:val="none"/>
              <w:left w:val="none"/>
              <w:bottom w:val="single" w:color="C5D8EE" w:sz="2"/>
              <w:right w:val="single" w:color="C5D8EE" w:sz="2"/>
            </w:tcBorders>
            <w:shd w:fill="EBF3FA" w:val="clear"/>
            <w:tcMar>
              <w:top w:type="dxa" w:w="100"/>
              <w:left w:type="dxa" w:w="160"/>
              <w:bottom w:type="dxa" w:w="100"/>
              <w:right w:type="dxa" w:w="160"/>
            </w:tcMar>
            <w:vAlign w:val="center"/>
          </w:tcPr>
          <w:p>
            <w:pPr>
              <w:jc w:val="center"/>
            </w:pPr>
            <w:r>
              <w:rPr>
                <w:rFonts w:ascii="Arial" w:cs="Arial" w:eastAsia="Arial" w:hAnsi="Arial"/>
                <w:b/>
                <w:bCs/>
                <w:color w:val="1B3A6B"/>
                <w:sz w:val="20"/>
                <w:szCs w:val="20"/>
              </w:rPr>
              <w:t xml:space="preserve">2011</w:t>
            </w:r>
          </w:p>
        </w:tc>
      </w:tr>
    </w:tbl>
    <w:p>
      <w:pPr>
        <w:spacing w:after="100" w:before="0"/>
      </w:pPr>
      <w:r>
        <w:t xml:space="preserve"/>
      </w:r>
    </w:p>
    <w:p>
      <w:pPr>
        <w:pBdr>
          <w:bottom w:val="single" w:color="2E75B6" w:sz="12" w:space="4"/>
        </w:pBdr>
        <w:spacing w:after="0" w:before="280"/>
      </w:pPr>
      <w:r>
        <w:rPr>
          <w:rFonts w:ascii="Arial" w:cs="Arial" w:eastAsia="Arial" w:hAnsi="Arial"/>
          <w:b/>
          <w:bCs/>
          <w:color w:val="1B3A6B"/>
          <w:spacing w:val="40"/>
          <w:sz w:val="22"/>
          <w:szCs w:val="22"/>
        </w:rPr>
        <w:t xml:space="preserve">LANGUAGES</w:t>
      </w:r>
    </w:p>
    <w:p>
      <w:pPr>
        <w:spacing w:after="60" w:before="0"/>
      </w:pPr>
      <w:r>
        <w:t xml:space="preserve"/>
      </w:r>
    </w:p>
    <w:tbl>
      <w:tblPr>
        <w:tblW w:type="dxa" w:w="9360"/>
        <w:tblBorders>
          <w:top w:val="none"/>
          <w:left w:val="none"/>
          <w:bottom w:val="none"/>
          <w:right w:val="none"/>
          <w:insideH w:val="single" w:color="auto" w:sz="4"/>
          <w:insideV w:val="single" w:color="auto" w:sz="4"/>
        </w:tblBorders>
      </w:tblPr>
      <w:tblGrid>
        <w:gridCol w:w="3120"/>
        <w:gridCol w:w="3120"/>
        <w:gridCol w:w="3120"/>
      </w:tblGrid>
      <w:tr>
        <w:tc>
          <w:tcPr>
            <w:tcW w:type="dxa" w:w="3120"/>
            <w:tcBorders>
              <w:top w:val="single" w:color="2E75B6" w:sz="6"/>
              <w:left w:val="single" w:color="C5D8EE" w:sz="2"/>
              <w:bottom w:val="single" w:color="C5D8EE" w:sz="2"/>
              <w:right w:val="single" w:color="C5D8EE" w:sz="2"/>
            </w:tcBorders>
            <w:shd w:fill="EBF3FA" w:val="clear"/>
            <w:tcMar>
              <w:top w:type="dxa" w:w="120"/>
              <w:left w:type="dxa" w:w="160"/>
              <w:bottom w:type="dxa" w:w="120"/>
              <w:right w:type="dxa" w:w="160"/>
            </w:tcMar>
          </w:tcPr>
          <w:p>
            <w:pPr>
              <w:spacing w:after="30" w:before="0"/>
              <w:jc w:val="center"/>
            </w:pPr>
            <w:r>
              <w:rPr>
                <w:rFonts w:ascii="Arial" w:cs="Arial" w:eastAsia="Arial" w:hAnsi="Arial"/>
                <w:b/>
                <w:bCs/>
                <w:color w:val="1B3A6B"/>
                <w:sz w:val="20"/>
                <w:szCs w:val="20"/>
              </w:rPr>
              <w:t xml:space="preserve">Hindi</w:t>
            </w:r>
          </w:p>
          <w:p>
            <w:pPr>
              <w:spacing w:after="0" w:before="0"/>
              <w:jc w:val="center"/>
            </w:pPr>
            <w:r>
              <w:rPr>
                <w:rFonts w:ascii="Arial" w:cs="Arial" w:eastAsia="Arial" w:hAnsi="Arial"/>
                <w:color w:val="555555"/>
                <w:sz w:val="17"/>
                <w:szCs w:val="17"/>
              </w:rPr>
              <w:t xml:space="preserve">Native / Mother Tongue</w:t>
            </w:r>
          </w:p>
        </w:tc>
        <w:tc>
          <w:tcPr>
            <w:tcW w:type="dxa" w:w="3120"/>
            <w:tcBorders>
              <w:top w:val="single" w:color="2E75B6" w:sz="6"/>
              <w:left w:val="single" w:color="C5D8EE" w:sz="2"/>
              <w:bottom w:val="single" w:color="C5D8EE" w:sz="2"/>
              <w:right w:val="single" w:color="C5D8EE" w:sz="2"/>
            </w:tcBorders>
            <w:shd w:fill="EBF3FA" w:val="clear"/>
            <w:tcMar>
              <w:top w:type="dxa" w:w="120"/>
              <w:left w:type="dxa" w:w="160"/>
              <w:bottom w:type="dxa" w:w="120"/>
              <w:right w:type="dxa" w:w="160"/>
            </w:tcMar>
          </w:tcPr>
          <w:p>
            <w:pPr>
              <w:spacing w:after="30" w:before="0"/>
              <w:jc w:val="center"/>
            </w:pPr>
            <w:r>
              <w:rPr>
                <w:rFonts w:ascii="Arial" w:cs="Arial" w:eastAsia="Arial" w:hAnsi="Arial"/>
                <w:b/>
                <w:bCs/>
                <w:color w:val="1B3A6B"/>
                <w:sz w:val="20"/>
                <w:szCs w:val="20"/>
              </w:rPr>
              <w:t xml:space="preserve">English</w:t>
            </w:r>
          </w:p>
          <w:p>
            <w:pPr>
              <w:spacing w:after="0" w:before="0"/>
              <w:jc w:val="center"/>
            </w:pPr>
            <w:r>
              <w:rPr>
                <w:rFonts w:ascii="Arial" w:cs="Arial" w:eastAsia="Arial" w:hAnsi="Arial"/>
                <w:color w:val="555555"/>
                <w:sz w:val="17"/>
                <w:szCs w:val="17"/>
              </w:rPr>
              <w:t xml:space="preserve">Fluent (Professional)</w:t>
            </w:r>
          </w:p>
        </w:tc>
        <w:tc>
          <w:tcPr>
            <w:tcW w:type="dxa" w:w="3120"/>
            <w:tcBorders>
              <w:top w:val="single" w:color="2E75B6" w:sz="6"/>
              <w:left w:val="single" w:color="C5D8EE" w:sz="2"/>
              <w:bottom w:val="single" w:color="C5D8EE" w:sz="2"/>
              <w:right w:val="single" w:color="C5D8EE" w:sz="2"/>
            </w:tcBorders>
            <w:shd w:fill="EBF3FA" w:val="clear"/>
            <w:tcMar>
              <w:top w:type="dxa" w:w="120"/>
              <w:left w:type="dxa" w:w="160"/>
              <w:bottom w:type="dxa" w:w="120"/>
              <w:right w:type="dxa" w:w="160"/>
            </w:tcMar>
          </w:tcPr>
          <w:p>
            <w:pPr>
              <w:spacing w:after="30" w:before="0"/>
              <w:jc w:val="center"/>
            </w:pPr>
            <w:r>
              <w:rPr>
                <w:rFonts w:ascii="Arial" w:cs="Arial" w:eastAsia="Arial" w:hAnsi="Arial"/>
                <w:b/>
                <w:bCs/>
                <w:color w:val="1B3A6B"/>
                <w:sz w:val="20"/>
                <w:szCs w:val="20"/>
              </w:rPr>
              <w:t xml:space="preserve">Kannada</w:t>
            </w:r>
          </w:p>
          <w:p>
            <w:pPr>
              <w:spacing w:after="0" w:before="0"/>
              <w:jc w:val="center"/>
            </w:pPr>
            <w:r>
              <w:rPr>
                <w:rFonts w:ascii="Arial" w:cs="Arial" w:eastAsia="Arial" w:hAnsi="Arial"/>
                <w:color w:val="555555"/>
                <w:sz w:val="17"/>
                <w:szCs w:val="17"/>
              </w:rPr>
              <w:t xml:space="preserve">Fluent (Professional)</w:t>
            </w:r>
          </w:p>
        </w:tc>
      </w:tr>
    </w:tbl>
    <w:p>
      <w:pPr>
        <w:spacing w:after="120" w:before="0"/>
      </w:pPr>
      <w:r>
        <w:t xml:space="preserve"/>
      </w:r>
    </w:p>
    <w:p>
      <w:pPr>
        <w:pBdr>
          <w:top w:val="single" w:color="C5D8EE" w:sz="4" w:space="8"/>
        </w:pBdr>
        <w:spacing w:after="0" w:before="80"/>
        <w:jc w:val="center"/>
      </w:pPr>
      <w:r>
        <w:rPr>
          <w:rFonts w:ascii="Arial" w:cs="Arial" w:eastAsia="Arial" w:hAnsi="Arial"/>
          <w:color w:val="555555"/>
          <w:sz w:val="16"/>
          <w:szCs w:val="16"/>
        </w:rPr>
        <w:t xml:space="preserve">References available upon request  •  Open to relocation  •  </w:t>
      </w:r>
      <w:hyperlink w:history="1" r:id="rIdton_ejtguvspiajtpk5nm">
        <w:r>
          <w:rPr>
            <w:rFonts w:ascii="Arial" w:cs="Arial" w:eastAsia="Arial" w:hAnsi="Arial"/>
            <w:color w:val="2E75B6"/>
            <w:sz w:val="16"/>
            <w:szCs w:val="16"/>
            <w:u w:val="single" w:color="2E75B6"/>
          </w:rPr>
          <w:t xml:space="preserve">snjvkumar23@gmail.com</w:t>
        </w:r>
      </w:hyperlink>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80"/>
      </w:pPr>
      <w:rPr>
        <w:rFonts w:ascii="Arial" w:cs="Arial" w:eastAsia="Arial" w:hAnsi="Arial"/>
        <w:color w:val="2E75B6"/>
        <w:sz w:val="18"/>
        <w:szCs w:val="18"/>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anx7gzmnj7gn4obq_c4cc" Type="http://schemas.openxmlformats.org/officeDocument/2006/relationships/hyperlink" Target="mailto:snjvkumar23@gmail.com" TargetMode="External"/><Relationship Id="rIdy-h_zhizf9wiu-6aemca_" Type="http://schemas.openxmlformats.org/officeDocument/2006/relationships/hyperlink" Target="https://www.linkedin.com/in/sanjeev-kumar-b3920957" TargetMode="External"/><Relationship Id="rId45ofdvh4gtgi-qmtwmumx" Type="http://schemas.openxmlformats.org/officeDocument/2006/relationships/hyperlink" Target="https://www.udemy.com" TargetMode="External"/><Relationship Id="rIdton_ejtguvspiajtpk5nm" Type="http://schemas.openxmlformats.org/officeDocument/2006/relationships/hyperlink" Target="mailto:snjvkumar23@gmail.com"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2026-06-09T04:25:33.350Z</dcterms:created>
  <dcterms:modified xsi:type="dcterms:W3CDTF">2026-06-09T04:25:33.350Z</dcterms:modified>
</cp:coreProperties>
</file>

<file path=docProps/custom.xml><?xml version="1.0" encoding="utf-8"?>
<Properties xmlns="http://schemas.openxmlformats.org/officeDocument/2006/custom-properties" xmlns:vt="http://schemas.openxmlformats.org/officeDocument/2006/docPropsVTypes"/>
</file>