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>
  <w:body>
    <w:p>
      <w:pPr>
        <w:pStyle w:val="Title"/>
        <w:spacing w:before="240" w:after="120"/>
        <w:jc w:val="center"/>
      </w:pPr>
      <w:r>
        <w:rPr>
          <w:b/>
          <w:color w:val="1F497D"/>
          <w:sz w:val="50"/>
        </w:rPr>
        <w:t>NPCI Operations Unified Workbench</w:t>
      </w:r>
    </w:p>
    <w:p>
      <w:pPr>
        <w:pStyle w:val="Subtitle"/>
        <w:spacing w:before="0" w:after="280"/>
        <w:jc w:val="center"/>
      </w:pPr>
      <w:r>
        <w:rPr>
          <w:i/>
          <w:color w:val="595959"/>
          <w:sz w:val="24"/>
        </w:rPr>
        <w:t>Specialist AI Agents: Operational Roles, Multi-Agent Collaboration &amp; Regulatory Governance
AutomationEdge Intelligent Banking Operations Framework</w:t>
      </w:r>
    </w:p>
    <w:p>
      <w:pPr>
        <w:pStyle w:val="Heading1"/>
        <w:spacing w:before="360" w:after="140"/>
      </w:pPr>
      <w:r>
        <w:rPr>
          <w:b/>
          <w:color w:val="1F497D"/>
          <w:sz w:val="32"/>
        </w:rPr>
        <w:t>1. Executive Overview &amp; Agentic Operating Model</w:t>
      </w:r>
    </w:p>
    <w:p>
      <w:pPr>
        <w:spacing w:before="0" w:after="120" w:line="276" w:lineRule="auto"/>
      </w:pPr>
      <w:r>
        <w:rPr>
          <w:sz w:val="22"/>
        </w:rPr>
        <w:t>In the NPCI Operations Unified Workbench, AI agents are designed as specialist domain autonomous agents rather than generic chatbots. They operate across the 8 primary NPCI clearing and settlement rails: UPI, IMPS, NACH, AePS, RuPay, CTS, BBPS, and NETC / FASTag.</w:t>
      </w:r>
    </w:p>
    <w:p>
      <w:pPr>
        <w:spacing w:before="0" w:after="120" w:line="276" w:lineRule="auto"/>
      </w:pPr>
      <w:r>
        <w:rPr>
          <w:sz w:val="22"/>
        </w:rPr>
        <w:t>Each agent has a strictly bounded mandate: they perform multi-system queries, log extraction, cross-rail correlation, probabilistic matching, and evidence assembly. However, to maintain regulatory compliance and prevent operational risk, material financial actions and customer liability decisions require human dual-authorization (Human-In-The-Loop).</w:t>
      </w:r>
    </w:p>
    <w:p>
      <w:pPr>
        <w:pBdr>
          <w:left w:val="single" w:sz="24" w:space="12" w:color="1F497D"/>
        </w:pBdr>
        <w:shd w:val="clear" w:color="auto" w:fill="F2F5F9"/>
        <w:spacing w:before="160" w:after="160"/>
        <w:ind w:left="360" w:right="360"/>
      </w:pPr>
      <w:r>
        <w:rPr>
          <w:b/>
          <w:color w:val="1F497D"/>
          <w:sz w:val="22"/>
        </w:rPr>
        <w:t xml:space="preserve">CORE AGENTIC GOVERNANCE PRINCIPLE: </w:t>
      </w:r>
      <w:r>
        <w:rPr>
          <w:sz w:val="22"/>
          <w:color w:val="1F497D"/>
        </w:rPr>
        <w:t>Detect  --&gt;  Analyse  --&gt;  Correlate  --&gt;  Recommend (with Evidence)  --&gt;  HITL Approval  --&gt;  Execute &amp; Audit</w:t>
      </w:r>
    </w:p>
    <w:p>
      <w:pPr>
        <w:pStyle w:val="Heading1"/>
        <w:spacing w:before="360" w:after="140"/>
      </w:pPr>
      <w:r>
        <w:rPr>
          <w:b/>
          <w:color w:val="1F497D"/>
          <w:sz w:val="32"/>
        </w:rPr>
        <w:t>2. Detailed Roles of the 6 Specialist AI Agents</w:t>
      </w:r>
    </w:p>
    <w:p>
      <w:pPr>
        <w:spacing w:before="0" w:after="120" w:line="276" w:lineRule="auto"/>
      </w:pPr>
      <w:r>
        <w:rPr>
          <w:sz w:val="22"/>
        </w:rPr>
        <w:t>The architecture partitions operational responsibilities into 6 discrete specialist agents collaborating under an Orchestrator:</w:t>
      </w:r>
    </w:p>
    <w:tbl>
      <w:tblPr>
        <w:tblW w:w="9400" w:type="dxa"/>
        <w:tblBorders>
          <w:top w:val="single" w:sz="6" w:space="0" w:color="D3D3D3"/>
          <w:left w:val="none"/>
          <w:bottom w:val="single" w:sz="12" w:space="0" w:color="1F497D"/>
          <w:right w:val="none"/>
          <w:insideH w:val="single" w:sz="4" w:space="0" w:color="E6E6E6"/>
          <w:insideV w:val="none"/>
        </w:tblBorders>
      </w:tblPr>
      <w:tblGrid>
        <w:gridCol w:w="450"/>
        <w:gridCol w:w="2350"/>
        <w:gridCol w:w="4700"/>
        <w:gridCol w:w="1900"/>
      </w:tblGrid>
      <w:tr>
        <w:trPr>
          <w:tblHeader/>
          <w:cantSplit/>
        </w:trPr>
        <w:tc>
          <w:tcPr>
            <w:tcW w:w="45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Agent Name</w:t>
            </w:r>
          </w:p>
        </w:tc>
        <w:tc>
          <w:tcPr>
            <w:tcW w:w="47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Exact Operational Role &amp; Scope</w:t>
            </w:r>
          </w:p>
        </w:tc>
        <w:tc>
          <w:tcPr>
            <w:tcW w:w="19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Autonomy &amp; HITL Gate</w:t>
            </w:r>
          </w:p>
        </w:tc>
      </w:tr>
      <w:tr>
        <w:trPr>
          <w:cantSplit/>
        </w:trPr>
        <w:tc>
          <w:tcPr>
            <w:tcW w:w="45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5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File Monitoring &amp; Validation Agent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Continuously monitors SFTP directories, NPCI portals, and staging repositories.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Verifies scheduled file arrivals across clearing cycles (e.g., UPI cut-offs, NACH sessions).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Validates file naming conventions, cycle IDs, record counts, and schema integrity.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Performs cryptographic hash checking (SHA-256) to detect duplicate or corrupted files.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Triggers downstream ingestion workflows upon successful validation.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b/>
                <w:color w:val="0B7A42"/>
                <w:sz w:val="19"/>
              </w:rPr>
              <w:t>Fully Autonomous</w:t>
            </w:r>
          </w:p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(No human approval required)</w:t>
            </w:r>
          </w:p>
        </w:tc>
      </w:tr>
      <w:tr>
        <w:trPr>
          <w:cantSplit/>
        </w:trPr>
        <w:tc>
          <w:tcPr>
            <w:tcW w:w="45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35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Reconciliation Agent</w:t>
            </w:r>
          </w:p>
        </w:tc>
        <w:tc>
          <w:tcPr>
            <w:tcW w:w="47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Performs 4-way automated transaction matching: NPCI raw clearing files vs Switch logs vs Core Banking System (CBS) vs General Ledger (GL).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Identifies matched, unmatched, timing difference, and partial-leg transactions.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Identifies the exact structural and mathematical cause of reconciliation breaks.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Validates settlement obligations against RBI RTGS clearing account balances.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Generates daily/cycle reconciliation scorecards.</w:t>
            </w:r>
          </w:p>
        </w:tc>
        <w:tc>
          <w:tcPr>
            <w:tcW w:w="19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b/>
                <w:sz w:val="19"/>
              </w:rPr>
              <w:t>Autonomous Matching</w:t>
            </w:r>
          </w:p>
          <w:p>
            <w:pPr>
              <w:spacing w:before="30" w:after="30" w:line="240" w:lineRule="auto"/>
              <w:jc w:val="center"/>
            </w:pPr>
            <w:r>
              <w:rPr>
                <w:color w:val="C00000"/>
                <w:sz w:val="19"/>
              </w:rPr>
              <w:t>(HITL required for financial postings/adjustments)</w:t>
            </w:r>
          </w:p>
        </w:tc>
      </w:tr>
      <w:tr>
        <w:trPr>
          <w:cantSplit/>
        </w:trPr>
        <w:tc>
          <w:tcPr>
            <w:tcW w:w="45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35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Exception Investigation Agent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Ingests unmatched transactions, system timeouts, drop-offs, and reversal failures.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b/>
                <w:sz w:val="19"/>
              </w:rPr>
              <w:t>Autonomously queries backend systems: CBS transaction logs, payment switch dumps, NPCI response codes, and beneficiary bank status.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Correlates disparate identifiers: RRN, UTR, STAN, and NPCI Transaction ID.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Pinpoints root cause (e.g., beneficiary CBS timeout, balance mismatch, network latency).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Recommends specific remediation action with confidence score and evidence pack.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b/>
                <w:sz w:val="19"/>
              </w:rPr>
              <w:t>Autonomous Investigation</w:t>
            </w:r>
          </w:p>
          <w:p>
            <w:pPr>
              <w:spacing w:before="30" w:after="30" w:line="240" w:lineRule="auto"/>
              <w:jc w:val="center"/>
            </w:pPr>
            <w:r>
              <w:rPr>
                <w:color w:val="C00000"/>
                <w:sz w:val="19"/>
              </w:rPr>
              <w:t>(HITL required for material/high-value cases)</w:t>
            </w:r>
          </w:p>
        </w:tc>
      </w:tr>
      <w:tr>
        <w:trPr>
          <w:cantSplit/>
        </w:trPr>
        <w:tc>
          <w:tcPr>
            <w:tcW w:w="45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35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Dispute &amp; Chargeback Agent</w:t>
            </w:r>
          </w:p>
        </w:tc>
        <w:tc>
          <w:tcPr>
            <w:tcW w:w="47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Ingests customer complaints, UDIR portal cases, ODR filings, and chargeback notices.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Reconstructs the complete lifecycle of disputed transactions across all systems.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Gathers supporting evidence: digital transaction slips, switch acknowledgements, and CBS account statements.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Evaluates dispute reason codes and checks customer liability per RBI guidelines.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Drafts complete representment dossiers and submits responses post-approval.</w:t>
            </w:r>
          </w:p>
        </w:tc>
        <w:tc>
          <w:tcPr>
            <w:tcW w:w="19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b/>
                <w:sz w:val="19"/>
              </w:rPr>
              <w:t>Autonomous Case Prep</w:t>
            </w:r>
          </w:p>
          <w:p>
            <w:pPr>
              <w:spacing w:before="30" w:after="30" w:line="240" w:lineRule="auto"/>
              <w:jc w:val="center"/>
            </w:pPr>
            <w:r>
              <w:rPr>
                <w:color w:val="C00000"/>
                <w:sz w:val="19"/>
              </w:rPr>
              <w:t>(HITL required to submit dispute / debit customer)</w:t>
            </w:r>
          </w:p>
        </w:tc>
      </w:tr>
      <w:tr>
        <w:trPr>
          <w:cantSplit/>
        </w:trPr>
        <w:tc>
          <w:tcPr>
            <w:tcW w:w="45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35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Regulatory &amp; Circular Intelligence Agent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Monitors and ingests incoming circulars and directives from NPCI and RBI portals.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Classifies impacted payment rail (UPI, NACH, etc.) and specific operational processes.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Compares new circular mandates against current bank Standard Operating Procedures (SOPs).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Identifies required changes to business rules, system parameters, or cut-off timers.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Automatically creates implementation action items and assigns them to control owners.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b/>
                <w:sz w:val="19"/>
              </w:rPr>
              <w:t>Autonomous Analysis</w:t>
            </w:r>
          </w:p>
          <w:p>
            <w:pPr>
              <w:spacing w:before="30" w:after="30" w:line="240" w:lineRule="auto"/>
              <w:jc w:val="center"/>
            </w:pPr>
            <w:r>
              <w:rPr>
                <w:color w:val="C00000"/>
                <w:sz w:val="19"/>
              </w:rPr>
              <w:t>(HITL required to ratify compliance changes)</w:t>
            </w:r>
          </w:p>
        </w:tc>
      </w:tr>
      <w:tr>
        <w:trPr>
          <w:cantSplit/>
        </w:trPr>
        <w:tc>
          <w:tcPr>
            <w:tcW w:w="45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35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MIS &amp; Executive Reporting Agent</w:t>
            </w:r>
          </w:p>
        </w:tc>
        <w:tc>
          <w:tcPr>
            <w:tcW w:w="47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Aggregates operational telemetry across all 8 NPCI payment rails.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Compiles daily End-of-Day (EOD) reports, weekly exception ageing, and monthly compliance packs.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Generates natural-language executive commentary highlighting volume trends, auto-match rates, open suspense balances, and SLA breaches.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Formats regulatory filings required by NPCI and RBI inspection teams.</w:t>
            </w:r>
          </w:p>
        </w:tc>
        <w:tc>
          <w:tcPr>
            <w:tcW w:w="19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b/>
                <w:sz w:val="19"/>
              </w:rPr>
              <w:t>Autonomous Generation</w:t>
            </w:r>
          </w:p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(Human review optional before external release)</w:t>
            </w:r>
          </w:p>
        </w:tc>
      </w:tr>
    </w:tbl>
    <w:p>
      <w:pPr>
        <w:pStyle w:val="Heading1"/>
        <w:spacing w:before="360" w:after="140"/>
      </w:pPr>
      <w:r>
        <w:rPr>
          <w:b/>
          <w:color w:val="1F497D"/>
          <w:sz w:val="32"/>
        </w:rPr>
        <w:t>3. Multi-Agent Collaboration Workflow (End-to-End Walkthrough)</w:t>
      </w:r>
    </w:p>
    <w:p>
      <w:pPr>
        <w:spacing w:before="0" w:after="120" w:line="276" w:lineRule="auto"/>
      </w:pPr>
      <w:r>
        <w:rPr>
          <w:sz w:val="22"/>
        </w:rPr>
        <w:t>Specialist agents do not work in isolation. They form a coordinated pipeline under the Orchestrator. The following lifecycle illustrates how agents resolve a critical high-value UPI exception (e.g., customer account debited in CBS, but marked failed at NPCI switch):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Exception Agent:  </w:t>
      </w:r>
      <w:r>
        <w:rPr>
          <w:sz w:val="22"/>
        </w:rPr>
        <w:t>Step 1: Exception Detection</w:t>
      </w:r>
    </w:p>
    <w:p>
      <w:pPr>
        <w:spacing w:before="0" w:after="120" w:line="276" w:lineRule="auto"/>
      </w:pPr>
      <w:r>
        <w:rPr>
          <w:sz w:val="22"/>
        </w:rPr>
        <w:t>Detects a transaction break where CBS status = SUCCESS (debited) but NPCI clearing file status = DEEMED FAIL or TIMEOUT. Classifies case as Priority 1 (P1).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Investigation Agent:  </w:t>
      </w:r>
      <w:r>
        <w:rPr>
          <w:sz w:val="22"/>
        </w:rPr>
        <w:t>Step 2: Cross-System Correlation</w:t>
      </w:r>
    </w:p>
    <w:p>
      <w:pPr>
        <w:spacing w:before="0" w:after="120" w:line="276" w:lineRule="auto"/>
      </w:pPr>
      <w:r>
        <w:rPr>
          <w:sz w:val="22"/>
        </w:rPr>
        <w:t>Takes the transaction RRN and queries UPI Switch logs, CBS journal, and NPCI Raw transaction dumps. Discovers that beneficiary bank timed out at T+15 seconds, but customer's CBS debit was not auto-reversed.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Reconciliation Agent:  </w:t>
      </w:r>
      <w:r>
        <w:rPr>
          <w:sz w:val="22"/>
        </w:rPr>
        <w:t>Step 3: Financial &amp; Ledger Validation</w:t>
      </w:r>
    </w:p>
    <w:p>
      <w:pPr>
        <w:spacing w:before="0" w:after="120" w:line="276" w:lineRule="auto"/>
      </w:pPr>
      <w:r>
        <w:rPr>
          <w:sz w:val="22"/>
        </w:rPr>
        <w:t>Verifies that the funds are currently parked in the bank's UPI Sundry/Suspense account and confirms net settlement discrepancy.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Policy / Risk Agent:  </w:t>
      </w:r>
      <w:r>
        <w:rPr>
          <w:sz w:val="22"/>
        </w:rPr>
        <w:t>Step 4: Policy &amp; Regulatory Check</w:t>
      </w:r>
    </w:p>
    <w:p>
      <w:pPr>
        <w:spacing w:before="0" w:after="120" w:line="276" w:lineRule="auto"/>
      </w:pPr>
      <w:r>
        <w:rPr>
          <w:sz w:val="22"/>
        </w:rPr>
        <w:t>Validates RBI Harmonization of Turnaround Time (TAT) circular. Confirms that auto-reversal must complete within T+1 day, or ₹100/day penalty applies. Confirms transaction exceeds ₹10,000 auto-execution threshold.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Dispute Agent:  </w:t>
      </w:r>
      <w:r>
        <w:rPr>
          <w:sz w:val="22"/>
        </w:rPr>
        <w:t>Step 5: Case Packaging &amp; Recommendation</w:t>
      </w:r>
    </w:p>
    <w:p>
      <w:pPr>
        <w:spacing w:before="0" w:after="120" w:line="276" w:lineRule="auto"/>
      </w:pPr>
      <w:r>
        <w:rPr>
          <w:sz w:val="22"/>
        </w:rPr>
        <w:t>Assembles an Approval Dossier containing: Root Cause Analysis (Beneficiary Timeout), Confidence Score (94%), CBS/Switch/NPCI log links, and recommended ledger entry (Credit Customer / Debit UPI Suspense).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Operations Approver:  </w:t>
      </w:r>
      <w:r>
        <w:rPr>
          <w:sz w:val="22"/>
        </w:rPr>
        <w:t>Step 6: Human Dual-Authorization (HITL)</w:t>
      </w:r>
    </w:p>
    <w:p>
      <w:pPr>
        <w:spacing w:before="0" w:after="120" w:line="276" w:lineRule="auto"/>
      </w:pPr>
      <w:r>
        <w:rPr>
          <w:sz w:val="22"/>
        </w:rPr>
        <w:t>Operations Manager reviews the pre-populated case card in the HITL Approval Workbench and clicks 'Approve &amp; Release'.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Execution Bot &amp; Audit Agent:  </w:t>
      </w:r>
      <w:r>
        <w:rPr>
          <w:sz w:val="22"/>
        </w:rPr>
        <w:t>Step 7: Automated Execution &amp; Audit</w:t>
      </w:r>
    </w:p>
    <w:p>
      <w:pPr>
        <w:spacing w:before="0" w:after="120" w:line="276" w:lineRule="auto"/>
      </w:pPr>
      <w:r>
        <w:rPr>
          <w:sz w:val="22"/>
        </w:rPr>
        <w:t>AutomationEdge execution bot posts the reversal entry into CBS, confirms customer account credit, marks the case resolved, and cryptographically signs the audit trail.</w:t>
      </w:r>
    </w:p>
    <w:p>
      <w:pPr>
        <w:pStyle w:val="Heading1"/>
        <w:spacing w:before="360" w:after="140"/>
      </w:pPr>
      <w:r>
        <w:rPr>
          <w:b/>
          <w:color w:val="1F497D"/>
          <w:sz w:val="32"/>
        </w:rPr>
        <w:t>4. Bounded Autonomy: Permitted vs Forbidden Actions</w:t>
      </w:r>
    </w:p>
    <w:p>
      <w:pPr>
        <w:spacing w:before="0" w:after="120" w:line="276" w:lineRule="auto"/>
      </w:pPr>
      <w:r>
        <w:rPr>
          <w:sz w:val="22"/>
        </w:rPr>
        <w:t>To comply with RBI Master Direction on IT Governance, Risk, Controls and Outsourcing, AutomationEdge operates under an explicit 'Bounded Autonomy' model. Autonomous actions are strictly separated from actions requiring human authorization:</w:t>
      </w:r>
    </w:p>
    <w:tbl>
      <w:tblPr>
        <w:tblW w:w="9400" w:type="dxa"/>
        <w:tblBorders>
          <w:top w:val="single" w:sz="6" w:space="0" w:color="D3D3D3"/>
          <w:left w:val="none"/>
          <w:bottom w:val="single" w:sz="12" w:space="0" w:color="1F497D"/>
          <w:right w:val="none"/>
          <w:insideH w:val="single" w:sz="4" w:space="0" w:color="E6E6E6"/>
          <w:insideV w:val="none"/>
        </w:tblBorders>
      </w:tblPr>
      <w:tblGrid>
        <w:gridCol w:w="4700"/>
        <w:gridCol w:w="4700"/>
      </w:tblGrid>
      <w:tr>
        <w:trPr>
          <w:tblHeader/>
          <w:cantSplit/>
        </w:trPr>
        <w:tc>
          <w:tcPr>
            <w:tcW w:w="47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What AI Agents CAN DO Autonomously</w:t>
            </w:r>
          </w:p>
        </w:tc>
        <w:tc>
          <w:tcPr>
            <w:tcW w:w="47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What AI Agents CANNOT DO (Strictly Forbidden / HITL Required)</w:t>
            </w:r>
          </w:p>
        </w:tc>
      </w:tr>
      <w:tr>
        <w:trPr>
          <w:cantSplit/>
        </w:trPr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Automatically download, de-duplicate, validate, and archive NPCI files from SFTP/portals.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Execute scheduled multi-way mathematical reconciliation across files and ledgers.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Query core banking logs, switch journal files, and external APIs for investigation.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Correlate transaction IDs across distributed database systems.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Compute exposure amounts, exception ageing buckets, and SLA breach timers.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Extract and parse regulatory text from NPCI and RBI circular PDFs.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Pre-compile chargeback evidence bundles and dispute defense dossiers.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Draft daily, weekly, and monthly MIS executive summaries.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posting unapproved financial adjustments or debit/credit entries to CBS.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clearing or writing off GL suspense balances without maker-checker sign-off.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making final customer fraud attribution or legal liability determinations.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unilaterally waiving customer dispute liabilities or approving compensation payouts.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overriding settlement files or modifying bank clearing parameters.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modifying production access-control privileges or system routing rules.</w:t>
            </w:r>
          </w:p>
          <w:p>
            <w:pPr>
              <w:spacing w:before="30" w:after="30" w:line="240" w:lineRule="auto"/>
              <w:jc w:val="left"/>
            </w:pPr>
            <w:r>
              <w:rPr>
                <w:sz w:val="18"/>
                <w:color w:val="1F497D"/>
              </w:rPr>
              <w:t>• </w:t>
            </w:r>
            <w:r>
              <w:rPr>
                <w:sz w:val="19"/>
              </w:rPr>
              <w:t>STRICTLY FORBIDDEN from altering, overwriting, or deleting immutable system audit records.</w:t>
            </w:r>
          </w:p>
        </w:tc>
      </w:tr>
    </w:tbl>
    <w:p>
      <w:pPr>
        <w:pStyle w:val="Heading1"/>
        <w:spacing w:before="360" w:after="140"/>
      </w:pPr>
      <w:r>
        <w:rPr>
          <w:b/>
          <w:color w:val="1F497D"/>
          <w:sz w:val="32"/>
        </w:rPr>
        <w:t>5. Regulatory Governance Alignment (RBI &amp; NPCI Standards)</w:t>
      </w:r>
    </w:p>
    <w:p>
      <w:pPr>
        <w:spacing w:before="0" w:after="120" w:line="276" w:lineRule="auto"/>
      </w:pPr>
      <w:r>
        <w:rPr>
          <w:sz w:val="22"/>
        </w:rPr>
        <w:t>The Agentic Workbench embeds regulatory compliance into every workflow: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IT Governance:  </w:t>
      </w:r>
      <w:r>
        <w:rPr>
          <w:sz w:val="22"/>
        </w:rPr>
        <w:t>RBI IT Governance &amp; Risk Master Direction (2023): Enforces segregation of duties (SoD), automated change tracking, and dual-control for all operational postings.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Outsourcing Controls:  </w:t>
      </w:r>
      <w:r>
        <w:rPr>
          <w:sz w:val="22"/>
        </w:rPr>
        <w:t>RBI Outsourcing Guidelines: The bank retains full ultimate operational and financial accountability; agents execute only within designated limits with human oversight.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Customer Protection:  </w:t>
      </w:r>
      <w:r>
        <w:rPr>
          <w:sz w:val="22"/>
        </w:rPr>
        <w:t>RBI Customer Protection Circular: Zero-liability and limited-liability customer rules are enforced by the Dispute Agent within statutory timelines.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Turnaround Time (TAT):  </w:t>
      </w:r>
      <w:r>
        <w:rPr>
          <w:sz w:val="22"/>
        </w:rPr>
        <w:t>RBI Harmonization of Turnaround Time (TAT): The Workbench tracks auto-reversal timers in real-time, proactively alerting operations before penalty clocks expire.</w:t>
      </w:r>
    </w:p>
    <w:p>
      <w:pPr>
        <w:pStyle w:val="ListBullet"/>
        <w:spacing w:before="40" w:after="80"/>
        <w:ind w:left="720" w:hanging="360"/>
      </w:pPr>
      <w:r>
        <w:rPr>
          <w:rFonts w:ascii="Symbol" w:hAnsi="Symbol"/>
          <w:sz w:val="20"/>
        </w:rPr>
        <w:t>• </w:t>
      </w:r>
      <w:r>
        <w:rPr>
          <w:b/>
        </w:rPr>
        <w:t xml:space="preserve">Explainability:  </w:t>
      </w:r>
      <w:r>
        <w:rPr>
          <w:sz w:val="22"/>
        </w:rPr>
        <w:t>Explainable AI (No 'Black Box'): Every AI recommendation displays transparent confidence scores, factual data references, and traceable system log citations.</w:t>
      </w:r>
    </w:p>
    <w:p>
      <w:pPr>
        <w:pStyle w:val="Heading1"/>
        <w:spacing w:before="360" w:after="140"/>
      </w:pPr>
      <w:r>
        <w:rPr>
          <w:b/>
          <w:color w:val="1F497D"/>
          <w:sz w:val="32"/>
        </w:rPr>
        <w:t>6. Human-In-The-Loop (HITL) Decision Threshold Matrix</w:t>
      </w:r>
    </w:p>
    <w:p>
      <w:pPr>
        <w:spacing w:before="0" w:after="120" w:line="276" w:lineRule="auto"/>
      </w:pPr>
      <w:r>
        <w:rPr>
          <w:sz w:val="22"/>
        </w:rPr>
        <w:t>Representative operational thresholds governing when the platform pauses for human authorization:</w:t>
      </w:r>
    </w:p>
    <w:tbl>
      <w:tblPr>
        <w:tblW w:w="9400" w:type="dxa"/>
        <w:tblBorders>
          <w:top w:val="single" w:sz="6" w:space="0" w:color="D3D3D3"/>
          <w:left w:val="none"/>
          <w:bottom w:val="single" w:sz="12" w:space="0" w:color="1F497D"/>
          <w:right w:val="none"/>
          <w:insideH w:val="single" w:sz="4" w:space="0" w:color="E6E6E6"/>
          <w:insideV w:val="none"/>
        </w:tblBorders>
      </w:tblPr>
      <w:tblGrid>
        <w:gridCol w:w="2400"/>
        <w:gridCol w:w="1200"/>
        <w:gridCol w:w="1800"/>
        <w:gridCol w:w="2000"/>
        <w:gridCol w:w="2000"/>
      </w:tblGrid>
      <w:tr>
        <w:trPr>
          <w:tblHeader/>
          <w:cantSplit/>
        </w:trPr>
        <w:tc>
          <w:tcPr>
            <w:tcW w:w="24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Operational Activity</w:t>
            </w:r>
          </w:p>
        </w:tc>
        <w:tc>
          <w:tcPr>
            <w:tcW w:w="12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w="18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Financial Threshold</w:t>
            </w:r>
          </w:p>
        </w:tc>
        <w:tc>
          <w:tcPr>
            <w:tcW w:w="20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Required Approver</w:t>
            </w:r>
          </w:p>
        </w:tc>
        <w:tc>
          <w:tcPr>
            <w:tcW w:w="2000" w:type="dxa"/>
            <w:shd w:val="clear" w:color="auto" w:fill="1F497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0"/>
              </w:rPr>
              <w:t>Workflow Path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Routine Reversal (T+1 TAT)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&lt; ₹5,000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System / Auto-rule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Straight-Through (STP)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Disputed UPI Adjustment</w:t>
            </w:r>
          </w:p>
        </w:tc>
        <w:tc>
          <w:tcPr>
            <w:tcW w:w="12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8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₹5,000 – ₹25,000</w:t>
            </w:r>
          </w:p>
        </w:tc>
        <w:tc>
          <w:tcPr>
            <w:tcW w:w="20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Operations Supervisor</w:t>
            </w:r>
          </w:p>
        </w:tc>
        <w:tc>
          <w:tcPr>
            <w:tcW w:w="20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Single-Approver Queue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High-Value Exception Adjustment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&gt; ₹25,000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Operations Manager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Maker-Checker Dual Approval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NACH Mandate Override</w:t>
            </w:r>
          </w:p>
        </w:tc>
        <w:tc>
          <w:tcPr>
            <w:tcW w:w="12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8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Any Amount</w:t>
            </w:r>
          </w:p>
        </w:tc>
        <w:tc>
          <w:tcPr>
            <w:tcW w:w="20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Payments Lead</w:t>
            </w:r>
          </w:p>
        </w:tc>
        <w:tc>
          <w:tcPr>
            <w:tcW w:w="20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Senior Sign-off Queue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Suspense GL Write-off / Clear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Critical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Any Amount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Head of Finance / Ops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Executive Approval Gate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Dispute Liability Waiver</w:t>
            </w:r>
          </w:p>
        </w:tc>
        <w:tc>
          <w:tcPr>
            <w:tcW w:w="12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8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&gt; ₹10,000</w:t>
            </w:r>
          </w:p>
        </w:tc>
        <w:tc>
          <w:tcPr>
            <w:tcW w:w="20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Grievance / Dispute Head</w:t>
            </w:r>
          </w:p>
        </w:tc>
        <w:tc>
          <w:tcPr>
            <w:tcW w:w="2000" w:type="dxa"/>
            <w:shd w:val="clear" w:color="auto"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Compliance Review Queue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Regulatory SOP Change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center"/>
            </w:pPr>
            <w:r>
              <w:rPr>
                <w:sz w:val="19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Compliance Officer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auto"/>
              <w:jc w:val="left"/>
            </w:pPr>
            <w:r>
              <w:rPr>
                <w:sz w:val="19"/>
              </w:rPr>
              <w:t>Policy Validation Gate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NPCI Operations Automation Opportunity Assessment | Confidential – Discussion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mall">
    <w:name w:val="Table Small"/>
    <w:rPr>
      <w:rFonts w:ascii="Aptos" w:hAnsi="Apto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