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31.png" ContentType="image/png"/>
  <Override PartName="/word/media/rId38.png" ContentType="image/png"/>
  <Override PartName="/word/media/rId4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ce6d545a11426baf11c6ce4abe7928862f21e9b"/>
    <w:p>
      <w:pPr>
        <w:pStyle w:val="Heading1"/>
      </w:pPr>
      <w:r>
        <w:t xml:space="preserve">Self-Supervised and Uncertainty-Calibrated State-of-Health Estimation From Arbitrary Partial Charging Sessions Across Multiple Lithium-Ion Datasets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[AUTHOR NAMES AND AFFILIATIONS]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[RESULTS PENDING]</w:t>
      </w:r>
    </w:p>
    <w:p>
      <w:pPr>
        <w:pStyle w:val="BodyText"/>
      </w:pPr>
      <w:r>
        <w:rPr>
          <w:b/>
          <w:bCs/>
        </w:rPr>
        <w:t xml:space="preserve">Index Terms:</w:t>
      </w:r>
      <w:r>
        <w:t xml:space="preserve"> </w:t>
      </w:r>
      <w:r>
        <w:t xml:space="preserve">lithium-ion battery, state of health, partial charging, self-supervised learning, conformalized quantile</w:t>
      </w:r>
      <w:r>
        <w:t xml:space="preserve"> </w:t>
      </w:r>
      <w:r>
        <w:t xml:space="preserve">regression, uncertainty quantification, cross-dataset generalization, electric vehicles.</w:t>
      </w:r>
    </w:p>
    <w:p>
      <w:r>
        <w:pict>
          <v:rect style="width:0;height:1.5pt" o:hralign="center" o:hrstd="t" o:hr="t"/>
        </w:pict>
      </w:r>
    </w:p>
    <w:bookmarkEnd w:id="9"/>
    <w:bookmarkStart w:id="16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The traction battery is the most expensive and least observable component of an electric vehicle (EV). Its state of health</w:t>
      </w:r>
      <w:r>
        <w:t xml:space="preserve"> </w:t>
      </w:r>
      <w:r>
        <w:t xml:space="preserve">(SOH), defined here as the ratio of the currently deliverable discharge capacity to the rated capacity, determines the</w:t>
      </w:r>
      <w:r>
        <w:t xml:space="preserve"> </w:t>
      </w:r>
      <w:r>
        <w:t xml:space="preserve">remaining driving range, resale value, warranty status and charging behaviour. Laboratory capacity tests measure SOH</w:t>
      </w:r>
      <w:r>
        <w:t xml:space="preserve"> </w:t>
      </w:r>
      <w:r>
        <w:t xml:space="preserve">directly, but they require a full, controlled charge–discharge cycle that a vehicle in daily use rarely performs. What a</w:t>
      </w:r>
      <w:r>
        <w:t xml:space="preserve"> </w:t>
      </w:r>
      <w:r>
        <w:t xml:space="preserve">battery management system (BMS) does observe frequently is a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charging session: the driver plugs in at an arbitrary</w:t>
      </w:r>
      <w:r>
        <w:t xml:space="preserve"> </w:t>
      </w:r>
      <w:r>
        <w:t xml:space="preserve">state of charge (SOC) and unplugs at another, and the BMS records terminal voltage and the charge accumulated in between.</w:t>
      </w:r>
    </w:p>
    <w:p>
      <w:pPr>
        <w:pStyle w:val="BodyText"/>
      </w:pPr>
      <w:r>
        <w:t xml:space="preserve">Prior work has shown that partial charging and discharging segments carry degradation information. Chinomona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[1]</w:t>
      </w:r>
      <w:r>
        <w:t xml:space="preserve"> </w:t>
      </w:r>
      <w:r>
        <w:t xml:space="preserve">estimated capacity from fixed partial voltage windows of four NASA cells, and reported that the partial-charge window</w:t>
      </w:r>
      <w:r>
        <w:t xml:space="preserve"> </w:t>
      </w:r>
      <w:r>
        <w:t xml:space="preserve">(3.8–4.1 V) gave a markedly larger error (RMSE 0.13054 Ah) than a partial-discharge window (4.0–3.1 V, RMSE 0.06448 Ah).</w:t>
      </w:r>
      <w:r>
        <w:t xml:space="preserve"> </w:t>
      </w:r>
      <w:r>
        <w:t xml:space="preserve">Wang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[7] extracted an indirect health indicator from the constant-current (CC) charging stage. Tian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[13]</w:t>
      </w:r>
      <w:r>
        <w:t xml:space="preserve"> </w:t>
      </w:r>
      <w:r>
        <w:t xml:space="preserve">predicted complete charging curves from 30 points collected within 10 min. These studies, however, mostly use fixed voltage</w:t>
      </w:r>
      <w:r>
        <w:t xml:space="preserve"> </w:t>
      </w:r>
      <w:r>
        <w:t xml:space="preserve">windows, full CC stages, a single chemistry and, often, the same four NASA cells. Three issues relevant to field use remain</w:t>
      </w:r>
      <w:r>
        <w:t xml:space="preserve"> </w:t>
      </w:r>
      <w:r>
        <w:t xml:space="preserve">under-tested: (i) sessions that start and stop at</w:t>
      </w:r>
      <w:r>
        <w:t xml:space="preserve"> </w:t>
      </w:r>
      <w:r>
        <w:rPr>
          <w:i/>
          <w:iCs/>
        </w:rPr>
        <w:t xml:space="preserve">arbitrary</w:t>
      </w:r>
      <w:r>
        <w:t xml:space="preserve"> </w:t>
      </w:r>
      <w:r>
        <w:t xml:space="preserve">points, (ii) generalization to</w:t>
      </w:r>
      <w:r>
        <w:t xml:space="preserve"> </w:t>
      </w:r>
      <w:r>
        <w:rPr>
          <w:i/>
          <w:iCs/>
        </w:rPr>
        <w:t xml:space="preserve">unseen cells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unseen</w:t>
      </w:r>
      <w:r>
        <w:rPr>
          <w:i/>
          <w:iCs/>
        </w:rPr>
        <w:t xml:space="preserve"> </w:t>
      </w:r>
      <w:r>
        <w:rPr>
          <w:i/>
          <w:iCs/>
        </w:rPr>
        <w:t xml:space="preserve">datasets</w:t>
      </w:r>
      <w:r>
        <w:t xml:space="preserve">, and (iii) uncertainty estimates whose coverage is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 held-out cells rather than assumed.</w:t>
      </w:r>
    </w:p>
    <w:p>
      <w:pPr>
        <w:pStyle w:val="BodyText"/>
      </w:pPr>
      <w:r>
        <w:t xml:space="preserve">This paper studies a focused question:</w:t>
      </w:r>
    </w:p>
    <w:p>
      <w:pPr>
        <w:pStyle w:val="BlockText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How accurately, and with what calibrated uncertainty, can SOH be estimated from a single partial</w:t>
      </w:r>
      <w:r>
        <w:t xml:space="preserve"> </w:t>
      </w:r>
      <w:r>
        <w:t xml:space="preserve">charging session of arbitrary start and length, when the evaluation is separated by cell and by dataset, and does</w:t>
      </w:r>
      <w:r>
        <w:t xml:space="preserve"> </w:t>
      </w:r>
      <w:r>
        <w:t xml:space="preserve">self-supervised pre-training on unlabelled sessions improve over feature-based and supervised baselines?</w:t>
      </w:r>
    </w:p>
    <w:p>
      <w:pPr>
        <w:pStyle w:val="FirstParagraph"/>
      </w:pPr>
      <w:r>
        <w:t xml:space="preserve">The contributions are deliberately limited to what the experiments test: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leakage-controlled partial-session benchmark.</w:t>
      </w:r>
      <w:r>
        <w:t xml:space="preserve"> </w:t>
      </w:r>
      <w:r>
        <w:t xml:space="preserve">We construct 81,073 arbitrary partial charging sessions from 361 cells</w:t>
      </w:r>
      <w:r>
        <w:t xml:space="preserve"> </w:t>
      </w:r>
      <w:r>
        <w:t xml:space="preserve">of six public datasets (CALCE, Sandia/SNL, HUST, MATR, NASA, Oxford; LFP, NMC, NCA, LCO, LCO/NCO). Sessions are defined by</w:t>
      </w:r>
      <w:r>
        <w:t xml:space="preserve"> </w:t>
      </w:r>
      <w:r>
        <w:t xml:space="preserve">what a BMS can measure (voltage and accumulated charge since plug-in), never by the cell’s true SOC or capacity, and all</w:t>
      </w:r>
      <w:r>
        <w:t xml:space="preserve"> </w:t>
      </w:r>
      <w:r>
        <w:t xml:space="preserve">evaluation is separated by cell, with a leave-one-dataset-out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empirical comparison of representation choices</w:t>
      </w:r>
      <w:r>
        <w:t xml:space="preserve"> </w:t>
      </w:r>
      <w:r>
        <w:t xml:space="preserve">for this task: handcrafted session features with ridge regression</w:t>
      </w:r>
      <w:r>
        <w:t xml:space="preserve"> </w:t>
      </w:r>
      <w:r>
        <w:t xml:space="preserve">and gradient-boosted trees, raw curves with gradient boosting, a supervised dual-view convolutional encoder, and the same</w:t>
      </w:r>
      <w:r>
        <w:t xml:space="preserve"> </w:t>
      </w:r>
      <w:r>
        <w:t xml:space="preserve">encoder after self-supervised masked-curve pre-training, under full and scarce (10 %) label budgets.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 calibration of conformalized quantile regression (CQR)</w:t>
      </w:r>
      <w:r>
        <w:t xml:space="preserve"> </w:t>
      </w:r>
      <w:r>
        <w:t xml:space="preserve">[17] for SOH intervals on unseen cells and under</w:t>
      </w:r>
      <w:r>
        <w:t xml:space="preserve"> </w:t>
      </w:r>
      <w:r>
        <w:t xml:space="preserve">dataset shift, including where the exchangeability assumption fails.</w:t>
      </w:r>
    </w:p>
    <w:p>
      <w:pPr>
        <w:pStyle w:val="FirstParagraph"/>
      </w:pPr>
      <w:r>
        <w:t xml:space="preserve">The work is motivated by, and evaluated for, the battery-health module of SmartEV, an EV charging and route-planning platform (Fig. 1).</w:t>
      </w:r>
    </w:p>
    <w:p>
      <w:pPr>
        <w:pStyle w:val="CaptionedFigure"/>
      </w:pPr>
      <w:r>
        <w:drawing>
          <wp:inline>
            <wp:extent cx="5302908" cy="3290616"/>
            <wp:effectExtent b="0" l="0" r="0" t="0"/>
            <wp:docPr descr="Fig. 1. SmartEV system architecture. Solid boxes are implemented components; the dashed box is the battery-health module evaluated offline in this paper and proposed for integration." title="" id="11" name="Picture"/>
            <a:graphic>
              <a:graphicData uri="http://schemas.openxmlformats.org/drawingml/2006/picture">
                <pic:pic>
                  <pic:nvPicPr>
                    <pic:cNvPr descr="figures/fig1_system_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08" cy="329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SmartEV system architecture. Solid boxes are implemented components; the dashed box is the battery-health module evaluated offline in this paper and proposed for integration.</w:t>
      </w:r>
    </w:p>
    <w:p>
      <w:pPr>
        <w:pStyle w:val="BodyText"/>
      </w:pPr>
      <w:r>
        <w:t xml:space="preserve">We do not claim that self-supervised pre-training on partial charging data is new: closely related approaches have been</w:t>
      </w:r>
      <w:r>
        <w:t xml:space="preserve"> </w:t>
      </w:r>
      <w:r>
        <w:t xml:space="preserve">proposed recently [19]–[21]. Physics-constrained long-horizon forecasting (e.g., universal differential equations [18])</w:t>
      </w:r>
      <w:r>
        <w:t xml:space="preserve"> </w:t>
      </w:r>
      <w:r>
        <w:t xml:space="preserve">and the downstream SmartEV services (range, charging time, smart charging) are outside the evaluated scope and are discussed</w:t>
      </w:r>
      <w:r>
        <w:t xml:space="preserve"> </w:t>
      </w:r>
      <w:r>
        <w:t xml:space="preserve">as future work.</w:t>
      </w:r>
    </w:p>
    <w:p>
      <w:pPr>
        <w:pStyle w:val="BodyText"/>
      </w:pPr>
      <w:r>
        <w:t xml:space="preserve">The remainder of the paper is organized as follows. Section II formulates the problem. Section III reviews related work and</w:t>
      </w:r>
      <w:r>
        <w:t xml:space="preserve"> </w:t>
      </w:r>
      <w:r>
        <w:t xml:space="preserve">Section IV states the gap. Section V describes the data, Section VI the methods and Section VII the experimental protocol.</w:t>
      </w:r>
      <w:r>
        <w:t xml:space="preserve"> </w:t>
      </w:r>
      <w:r>
        <w:t xml:space="preserve">Section VIII reports results, Section IX discusses SmartEV integration and Section X limitations.</w:t>
      </w:r>
    </w:p>
    <w:p>
      <w:pPr>
        <w:pStyle w:val="CaptionedFigure"/>
      </w:pPr>
      <w:r>
        <w:drawing>
          <wp:inline>
            <wp:extent cx="5302908" cy="1522980"/>
            <wp:effectExtent b="0" l="0" r="0" t="0"/>
            <wp:docPr descr="Fig. 2. Research framework evaluated in this paper: data harmonization, arbitrary partial-session construction, self-supervised masked-curve pre-training, quantile SOH head, split CQR calibration and cell- and dataset-separated evaluation (conceptual diagram)." title="" id="14" name="Picture"/>
            <a:graphic>
              <a:graphicData uri="http://schemas.openxmlformats.org/drawingml/2006/picture">
                <pic:pic>
                  <pic:nvPicPr>
                    <pic:cNvPr descr="figures/fig2_research_framework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08" cy="152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Research framework evaluated in this paper: data harmonization, arbitrary partial-session construction, self-supervised masked-curve pre-training, quantile SOH head, split CQR calibration and cell- and dataset-separated evaluation (conceptual diagram).</w:t>
      </w:r>
    </w:p>
    <w:p>
      <w:r>
        <w:pict>
          <v:rect style="width:0;height:1.5pt" o:hralign="center" o:hrstd="t" o:hr="t"/>
        </w:pict>
      </w:r>
    </w:p>
    <w:bookmarkEnd w:id="16"/>
    <w:bookmarkStart w:id="19" w:name="ii.-background-and-problem-formulation"/>
    <w:p>
      <w:pPr>
        <w:pStyle w:val="Heading2"/>
      </w:pPr>
      <w:r>
        <w:t xml:space="preserve">II. Background and Problem Formulation</w:t>
      </w:r>
    </w:p>
    <w:bookmarkStart w:id="17" w:name="a.-definitions"/>
    <w:p>
      <w:pPr>
        <w:pStyle w:val="Heading3"/>
      </w:pPr>
      <w:r>
        <w:t xml:space="preserve">A. Definitions</w:t>
      </w:r>
    </w:p>
    <w:p>
      <w:pPr>
        <w:pStyle w:val="FirstParagraph"/>
      </w:pPr>
      <w:r>
        <w:t xml:space="preserve">For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cycle</w:t>
      </w:r>
      <w:r>
        <w:t xml:space="preserve"> </w:t>
      </w:r>
      <m:oMath>
        <m:r>
          <m:t>n</m:t>
        </m:r>
      </m:oMath>
      <w:r>
        <w:t xml:space="preserve">, let</w:t>
      </w:r>
      <w:r>
        <w:t xml:space="preserve"> </w:t>
      </w:r>
      <m:oMath>
        <m:sSubSup>
          <m:e>
            <m:r>
              <m:t>Q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p>
        </m:sSubSup>
      </m:oMath>
      <w:r>
        <w:t xml:space="preserve"> </w:t>
      </w:r>
      <w:r>
        <w:t xml:space="preserve">(Ah) be the measured discharge capacity and</w:t>
      </w:r>
      <w:r>
        <w:t xml:space="preserve"> </w:t>
      </w:r>
      <m:oMath>
        <m:sSubSup>
          <m:e>
            <m:r>
              <m:t>Q</m:t>
            </m:r>
          </m:e>
          <m:sub>
            <m:r>
              <m:t>c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(Ah) the manufacturer’s rated capacity. We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num>
            <m:den>
              <m:sSubSup>
                <m:e>
                  <m:r>
                    <m:t>Q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SOH is dimensionless; errors are reported in percentage points of SOH (% SOH). SOH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interchangeably with</w:t>
      </w:r>
      <w:r>
        <w:t xml:space="preserve"> </w:t>
      </w:r>
      <w:r>
        <w:t xml:space="preserve">remaining useful life (RUL); RUL is defined in the dataset (cycles until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0.8</m:t>
        </m:r>
      </m:oMath>
      <w:r>
        <w:t xml:space="preserve">) but is not a prediction target</w:t>
      </w:r>
      <w:r>
        <w:t xml:space="preserve"> </w:t>
      </w:r>
      <w:r>
        <w:t xml:space="preserve">in this paper.</w:t>
      </w:r>
    </w:p>
    <w:bookmarkEnd w:id="17"/>
    <w:bookmarkStart w:id="18" w:name="b.-partial-charging-session"/>
    <w:p>
      <w:pPr>
        <w:pStyle w:val="Heading3"/>
      </w:pPr>
      <w:r>
        <w:t xml:space="preserve">B. Partial charging session</w:t>
      </w:r>
    </w:p>
    <w:p>
      <w:pPr>
        <w:pStyle w:val="FirstParagraph"/>
      </w:pPr>
      <w:r>
        <w:t xml:space="preserve">A charging session of cell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cycle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starts at an unknown fraction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full charge and ends at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w</m:t>
        </m:r>
      </m:oMath>
      <w:r>
        <w:t xml:space="preserve">. The BMS</w:t>
      </w:r>
      <w:r>
        <w:t xml:space="preserve"> </w:t>
      </w:r>
      <w:r>
        <w:t xml:space="preserve">observes terminal voltage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charge accumulated since the session started,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charging current (A) 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plug-in time. The quantities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Sup>
          <m:e>
            <m:r>
              <m:t>Q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p>
        </m:sSubSup>
      </m:oMath>
      <w:r>
        <w:t xml:space="preserve"> </w:t>
      </w:r>
      <w:r>
        <w:t xml:space="preserve">and the</w:t>
      </w:r>
      <w:r>
        <w:t xml:space="preserve"> </w:t>
      </w:r>
      <w:r>
        <w:t xml:space="preserve">true SOC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observed. The estimation task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b"/>
                </m:rP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indexes the samples inside the session and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is context available to a BMS (chemistry, ambient</w:t>
      </w:r>
      <w:r>
        <w:t xml:space="preserve"> </w:t>
      </w:r>
      <w:r>
        <w:t xml:space="preserve">temperature, charging C-rate). The model must also output an interval</w:t>
      </w:r>
      <w:r>
        <w:t xml:space="preserve"> </w:t>
      </w:r>
      <m:oMath>
        <m:r>
          <m:rPr>
            <m:sty m:val="p"/>
          </m:rPr>
          <m:t>[</m:t>
        </m:r>
        <m:acc>
          <m:accPr>
            <m:chr m:val="̂"/>
          </m:accPr>
          <m:e>
            <m:r>
              <m:t>ℓ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in this study) over unseen cells.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iii.-related-work"/>
    <w:p>
      <w:pPr>
        <w:pStyle w:val="Heading2"/>
      </w:pPr>
      <w:r>
        <w:t xml:space="preserve">III. Related Work</w:t>
      </w:r>
    </w:p>
    <w:p>
      <w:pPr>
        <w:pStyle w:val="FirstParagraph"/>
      </w:pPr>
      <w:r>
        <w:t xml:space="preserve">Table I summarizes the studies verified in this work. Metrics are quoted as reported by the original authors; because</w:t>
      </w:r>
      <w:r>
        <w:t xml:space="preserve"> </w:t>
      </w:r>
      <w:r>
        <w:t xml:space="preserve">targets (capacity in Ah, SOH, normalized health indicators, RUL in cycles), datasets and protocols differ, they are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directly comparable</w:t>
      </w:r>
      <w:r>
        <w:t xml:space="preserve"> </w:t>
      </w:r>
      <w:r>
        <w:t xml:space="preserve">with each other or with our results.</w:t>
      </w:r>
    </w:p>
    <w:p>
      <w:pPr>
        <w:pStyle w:val="BodyText"/>
      </w:pPr>
      <w:r>
        <w:rPr>
          <w:b/>
          <w:bCs/>
        </w:rPr>
        <w:t xml:space="preserve">TABLE I. Verified literature comparison</w:t>
      </w:r>
      <w:r>
        <w:t xml:space="preserve"> </w:t>
      </w:r>
      <w:r>
        <w:t xml:space="preserve">(metrics as reported;</w:t>
      </w:r>
      <w:r>
        <w:t xml:space="preserve"> </w:t>
      </w:r>
      <w:r>
        <w:t xml:space="preserve">“as reported in [survey]”</w:t>
      </w:r>
      <w:r>
        <w:t xml:space="preserve"> </w:t>
      </w:r>
      <w:r>
        <w:t xml:space="preserve">marks values taken from the</w:t>
      </w:r>
      <w:r>
        <w:t xml:space="preserve"> </w:t>
      </w:r>
      <w:r>
        <w:t xml:space="preserve">supplied audited survey and spot-checked against the PDF where indicated).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Ref.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Dataset (cells)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Reported metric (unit)</w:t>
            </w:r>
          </w:p>
        </w:tc>
        <w:tc>
          <w:tcPr/>
          <w:p>
            <w:pPr>
              <w:pStyle w:val="Compact"/>
            </w:pPr>
            <w:r>
              <w:t xml:space="preserve">Limitation relevant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 Chinomona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NASA PCoE (B5, B6, B7, B18; LCO-type 18650, 2 Ah)</w:t>
            </w:r>
          </w:p>
        </w:tc>
        <w:tc>
          <w:tcPr/>
          <w:p>
            <w:pPr>
              <w:pStyle w:val="Compact"/>
            </w:pPr>
            <w:r>
              <w:t xml:space="preserve">Capacity / RUL from partial data</w:t>
            </w:r>
          </w:p>
        </w:tc>
        <w:tc>
          <w:tcPr/>
          <w:p>
            <w:pPr>
              <w:pStyle w:val="Compact"/>
            </w:pPr>
            <w:r>
              <w:t xml:space="preserve">Forward feature selection + LSTM</w:t>
            </w:r>
          </w:p>
        </w:tc>
        <w:tc>
          <w:tcPr/>
          <w:p>
            <w:pPr>
              <w:pStyle w:val="Compact"/>
            </w:pPr>
            <w:r>
              <w:t xml:space="preserve">Partial charge 3.8–4.1 V: RMSE 0.13054 Ah; partial discharge 4.0–3.1 V: RMSE 0.06448 Ah (verified in PDF)</w:t>
            </w:r>
          </w:p>
        </w:tc>
        <w:tc>
          <w:tcPr/>
          <w:p>
            <w:pPr>
              <w:pStyle w:val="Compact"/>
            </w:pPr>
            <w:r>
              <w:t xml:space="preserve">Fixed windows tuned on B5; 4 cells; no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 Lyu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MIT-Stanford (124 LFP) + Tongji (57)</w:t>
            </w:r>
          </w:p>
        </w:tc>
        <w:tc>
          <w:tcPr/>
          <w:p>
            <w:pPr>
              <w:pStyle w:val="Compact"/>
            </w:pPr>
            <w:r>
              <w:t xml:space="preserve">Early-cycle RUL</w:t>
            </w:r>
          </w:p>
        </w:tc>
        <w:tc>
          <w:tcPr/>
          <w:p>
            <w:pPr>
              <w:pStyle w:val="Compact"/>
            </w:pPr>
            <w:r>
              <w:t xml:space="preserve">Lebesgue sampling + parallel-state-fusion LSTM</w:t>
            </w:r>
          </w:p>
        </w:tc>
        <w:tc>
          <w:tcPr/>
          <w:p>
            <w:pPr>
              <w:pStyle w:val="Compact"/>
            </w:pPr>
            <w:r>
              <w:t xml:space="preserve">APE 3.59 % (MIT), 6.71 % (Tongji) at cycle 100 (verified in PDF)</w:t>
            </w:r>
          </w:p>
        </w:tc>
        <w:tc>
          <w:tcPr/>
          <w:p>
            <w:pPr>
              <w:pStyle w:val="Compact"/>
            </w:pPr>
            <w:r>
              <w:t xml:space="preserve">Needs run-to-failure reference library; no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 Liu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NASA (B5, B6, B18, B54–B56) + CALCE CS2</w:t>
            </w:r>
          </w:p>
        </w:tc>
        <w:tc>
          <w:tcPr/>
          <w:p>
            <w:pPr>
              <w:pStyle w:val="Compact"/>
            </w:pPr>
            <w:r>
              <w:t xml:space="preserve">Future capacity, RUL</w:t>
            </w:r>
          </w:p>
        </w:tc>
        <w:tc>
          <w:tcPr/>
          <w:p>
            <w:pPr>
              <w:pStyle w:val="Compact"/>
            </w:pPr>
            <w:r>
              <w:t xml:space="preserve">LSTM + GPR hybrid</w:t>
            </w:r>
          </w:p>
        </w:tc>
        <w:tc>
          <w:tcPr/>
          <w:p>
            <w:pPr>
              <w:pStyle w:val="Compact"/>
            </w:pPr>
            <w:r>
              <w:t xml:space="preserve">Capacity RMSE 0.0032; RUL error 3–4 cycles on B5/B6 (as reported in survey; 0.0032 verified in PDF)</w:t>
            </w:r>
          </w:p>
        </w:tc>
        <w:tc>
          <w:tcPr/>
          <w:p>
            <w:pPr>
              <w:pStyle w:val="Compact"/>
            </w:pPr>
            <w:r>
              <w:t xml:space="preserve">Full capacity series; Gaussian residual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 Zhu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NASA random-walk (RW3–RW6) + B5–B18</w:t>
            </w:r>
          </w:p>
        </w:tc>
        <w:tc>
          <w:tcPr/>
          <w:p>
            <w:pPr>
              <w:pStyle w:val="Compact"/>
            </w:pPr>
            <w:r>
              <w:t xml:space="preserve">RUL</w:t>
            </w:r>
          </w:p>
        </w:tc>
        <w:tc>
          <w:tcPr/>
          <w:p>
            <w:pPr>
              <w:pStyle w:val="Compact"/>
            </w:pPr>
            <w:r>
              <w:t xml:space="preserve">DGWO-ELM</w:t>
            </w:r>
          </w:p>
        </w:tc>
        <w:tc>
          <w:tcPr/>
          <w:p>
            <w:pPr>
              <w:pStyle w:val="Compact"/>
            </w:pPr>
            <w:r>
              <w:t xml:space="preserve">Relative RUL error &lt; 3.2 % (as reported in survey; not re-verified)</w:t>
            </w:r>
          </w:p>
        </w:tc>
        <w:tc>
          <w:tcPr/>
          <w:p>
            <w:pPr>
              <w:pStyle w:val="Compact"/>
            </w:pPr>
            <w:r>
              <w:t xml:space="preserve">Random discharge but CC-CV charge; no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 Kong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NASA (B5, B6, B7, B18)</w:t>
            </w:r>
          </w:p>
        </w:tc>
        <w:tc>
          <w:tcPr/>
          <w:p>
            <w:pPr>
              <w:pStyle w:val="Compact"/>
            </w:pPr>
            <w:r>
              <w:t xml:space="preserve">Capacity, RUL</w:t>
            </w:r>
          </w:p>
        </w:tc>
        <w:tc>
          <w:tcPr/>
          <w:p>
            <w:pPr>
              <w:pStyle w:val="Compact"/>
            </w:pPr>
            <w:r>
              <w:t xml:space="preserve">Multi-scale CNN + multi-head attention LSTM + MC dropout</w:t>
            </w:r>
          </w:p>
        </w:tc>
        <w:tc>
          <w:tcPr/>
          <w:p>
            <w:pPr>
              <w:pStyle w:val="Compact"/>
            </w:pPr>
            <w:r>
              <w:t xml:space="preserve">Capacity RMSE 0.0045–0.0112 (verified in PDF)</w:t>
            </w:r>
          </w:p>
        </w:tc>
        <w:tc>
          <w:tcPr/>
          <w:p>
            <w:pPr>
              <w:pStyle w:val="Compact"/>
            </w:pPr>
            <w:r>
              <w:t xml:space="preserve">4 lab cells; MC-dropout intervals not 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 Wei &amp; Wu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NASA (B5, B6, B7, B18)</w:t>
            </w:r>
          </w:p>
        </w:tc>
        <w:tc>
          <w:tcPr/>
          <w:p>
            <w:pPr>
              <w:pStyle w:val="Compact"/>
            </w:pPr>
            <w:r>
              <w:t xml:space="preserve">SOH, RUL</w:t>
            </w:r>
          </w:p>
        </w:tc>
        <w:tc>
          <w:tcPr/>
          <w:p>
            <w:pPr>
              <w:pStyle w:val="Compact"/>
            </w:pPr>
            <w:r>
              <w:t xml:space="preserve">Entropy-graph GCN + LSTM + dual attention</w:t>
            </w:r>
          </w:p>
        </w:tc>
        <w:tc>
          <w:tcPr/>
          <w:p>
            <w:pPr>
              <w:pStyle w:val="Compact"/>
            </w:pPr>
            <w:r>
              <w:t xml:space="preserve">Avg. SOH RMSE 0.0154; RUL RMSE 4.71–5.84 cycles (as reported in survey)</w:t>
            </w:r>
          </w:p>
        </w:tc>
        <w:tc>
          <w:tcPr/>
          <w:p>
            <w:pPr>
              <w:pStyle w:val="Compact"/>
            </w:pPr>
            <w:r>
              <w:t xml:space="preserve">4 cells, one chemistry; no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 Wang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NASA (B5, B6, B7, B18)</w:t>
            </w:r>
          </w:p>
        </w:tc>
        <w:tc>
          <w:tcPr/>
          <w:p>
            <w:pPr>
              <w:pStyle w:val="Compact"/>
            </w:pPr>
            <w:r>
              <w:t xml:space="preserve">Normalized HI, RUL</w:t>
            </w:r>
          </w:p>
        </w:tc>
        <w:tc>
          <w:tcPr/>
          <w:p>
            <w:pPr>
              <w:pStyle w:val="Compact"/>
            </w:pPr>
            <w:r>
              <w:t xml:space="preserve">LTSA health indicator + adaptive self-attention LSTM</w:t>
            </w:r>
          </w:p>
        </w:tc>
        <w:tc>
          <w:tcPr/>
          <w:p>
            <w:pPr>
              <w:pStyle w:val="Compact"/>
            </w:pPr>
            <w:r>
              <w:t xml:space="preserve">HI RMSE 0.020–0.024; RUL error 1–4 cycles (verified in PDF)</w:t>
            </w:r>
          </w:p>
        </w:tc>
        <w:tc>
          <w:tcPr/>
          <w:p>
            <w:pPr>
              <w:pStyle w:val="Compact"/>
            </w:pPr>
            <w:r>
              <w:t xml:space="preserve">HI needs a full CC stage from low SOC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 Severson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MIT-Stanford (124 LFP)</w:t>
            </w:r>
          </w:p>
        </w:tc>
        <w:tc>
          <w:tcPr/>
          <w:p>
            <w:pPr>
              <w:pStyle w:val="Compact"/>
            </w:pPr>
            <w:r>
              <w:t xml:space="preserve">Cycle life</w:t>
            </w:r>
          </w:p>
        </w:tc>
        <w:tc>
          <w:tcPr/>
          <w:p>
            <w:pPr>
              <w:pStyle w:val="Compact"/>
            </w:pPr>
            <w:r>
              <w:t xml:space="preserve">ΔQ(V) features + elastic net</w:t>
            </w:r>
          </w:p>
        </w:tc>
        <w:tc>
          <w:tcPr/>
          <w:p>
            <w:pPr>
              <w:pStyle w:val="Compact"/>
            </w:pPr>
            <w:r>
              <w:t xml:space="preserve">— (feature source for this work)</w:t>
            </w:r>
          </w:p>
        </w:tc>
        <w:tc>
          <w:tcPr/>
          <w:p>
            <w:pPr>
              <w:pStyle w:val="Compact"/>
            </w:pPr>
            <w:r>
              <w:t xml:space="preserve">Full early-life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 Roman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Multiple lab datasets</w:t>
            </w:r>
          </w:p>
        </w:tc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ML pipeline on charging features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feature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 Tian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Lab cells</w:t>
            </w:r>
          </w:p>
        </w:tc>
        <w:tc>
          <w:tcPr/>
          <w:p>
            <w:pPr>
              <w:pStyle w:val="Compact"/>
            </w:pPr>
            <w:r>
              <w:t xml:space="preserve">Full charging curve</w:t>
            </w:r>
          </w:p>
        </w:tc>
        <w:tc>
          <w:tcPr/>
          <w:p>
            <w:pPr>
              <w:pStyle w:val="Compact"/>
            </w:pPr>
            <w:r>
              <w:t xml:space="preserve">DNN from 30 points / 10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Short fixed-start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[14] Zhu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Commercial cells (lab)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Features of voltage relaxation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Needs a rest period after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 Lu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Lab cells</w:t>
            </w:r>
          </w:p>
        </w:tc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Transfer from physics-generated 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Different setting (no new degradation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[19] Wang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Lab database</w:t>
            </w:r>
          </w:p>
        </w:tc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Self-supervised framework with weak labels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Closely related SSL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 Teng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— (preprint)</w:t>
            </w:r>
          </w:p>
        </w:tc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Partial charging as natural masking for SSL pre-training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Closest prior idea; not peer-reviewed at time of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[21] Yao &amp; Kowal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— (preprint)</w:t>
            </w:r>
          </w:p>
        </w:tc>
        <w:tc>
          <w:tcPr/>
          <w:p>
            <w:pPr>
              <w:pStyle w:val="Compact"/>
            </w:pPr>
            <w:r>
              <w:t xml:space="preserve">SOH</w:t>
            </w:r>
          </w:p>
        </w:tc>
        <w:tc>
          <w:tcPr/>
          <w:p>
            <w:pPr>
              <w:pStyle w:val="Compact"/>
            </w:pPr>
            <w:r>
              <w:t xml:space="preserve">Degradation-aligned SSL under label sparsity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 da Silva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— (preprint)</w:t>
            </w:r>
          </w:p>
        </w:tc>
        <w:tc>
          <w:tcPr/>
          <w:p>
            <w:pPr>
              <w:pStyle w:val="Compact"/>
            </w:pPr>
            <w:r>
              <w:t xml:space="preserve">SOH forecasting</w:t>
            </w:r>
          </w:p>
        </w:tc>
        <w:tc>
          <w:tcPr/>
          <w:p>
            <w:pPr>
              <w:pStyle w:val="Compact"/>
            </w:pPr>
            <w:r>
              <w:t xml:space="preserve">Conformalized transfer learning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Conformal intervals for SOH forecasting</w:t>
            </w:r>
          </w:p>
        </w:tc>
      </w:tr>
    </w:tbl>
    <w:bookmarkStart w:id="20" w:name="a.-partial-data-estimation"/>
    <w:p>
      <w:pPr>
        <w:pStyle w:val="Heading3"/>
      </w:pPr>
      <w:r>
        <w:t xml:space="preserve">A. Partial-data estimation</w:t>
      </w:r>
    </w:p>
    <w:p>
      <w:pPr>
        <w:pStyle w:val="FirstParagraph"/>
      </w:pPr>
      <w:r>
        <w:t xml:space="preserve">Chinomona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[1] demonstrated that truncated voltage windows of NASA cells retain capacity information, but their</w:t>
      </w:r>
      <w:r>
        <w:t xml:space="preserve"> </w:t>
      </w:r>
      <w:r>
        <w:t xml:space="preserve">windows were fixed and tuned on a single cell, and partial-</w:t>
      </w:r>
      <w:r>
        <w:rPr>
          <w:i/>
          <w:iCs/>
        </w:rPr>
        <w:t xml:space="preserve">charge</w:t>
      </w:r>
      <w:r>
        <w:t xml:space="preserve"> </w:t>
      </w:r>
      <w:r>
        <w:t xml:space="preserve">windows were notably less accurate than partial-</w:t>
      </w:r>
      <w:r>
        <w:rPr>
          <w:i/>
          <w:iCs/>
        </w:rPr>
        <w:t xml:space="preserve">discharge</w:t>
      </w:r>
      <w:r>
        <w:t xml:space="preserve"> </w:t>
      </w:r>
      <w:r>
        <w:t xml:space="preserve">windows. Wang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[7] derived a health indicator from the CC charging stage, which presupposes charging from a low SOC.</w:t>
      </w:r>
      <w:r>
        <w:t xml:space="preserve"> </w:t>
      </w:r>
      <w:r>
        <w:t xml:space="preserve">Tian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[13] reconstructed full charging curves from short segments, and Zhu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[14] used post-charge voltage</w:t>
      </w:r>
      <w:r>
        <w:t xml:space="preserve"> </w:t>
      </w:r>
      <w:r>
        <w:t xml:space="preserve">relaxation. These methods reduce the data needed per estimate but do not evaluate sessions with arbitrary start and length</w:t>
      </w:r>
      <w:r>
        <w:t xml:space="preserve"> </w:t>
      </w:r>
      <w:r>
        <w:t xml:space="preserve">across several chemistries.</w:t>
      </w:r>
    </w:p>
    <w:bookmarkEnd w:id="20"/>
    <w:bookmarkStart w:id="21" w:name="b.-sequence-models-and-uncertainty"/>
    <w:p>
      <w:pPr>
        <w:pStyle w:val="Heading3"/>
      </w:pPr>
      <w:r>
        <w:t xml:space="preserve">B. Sequence models and uncertainty</w:t>
      </w:r>
    </w:p>
    <w:p>
      <w:pPr>
        <w:pStyle w:val="FirstParagraph"/>
      </w:pPr>
      <w:r>
        <w:t xml:space="preserve">Most RUL studies [2]–[7] model capacity sequences with recurrent or attention architectures. Uncertainty, where provided,</w:t>
      </w:r>
      <w:r>
        <w:t xml:space="preserve"> </w:t>
      </w:r>
      <w:r>
        <w:t xml:space="preserve">comes from Gaussian process regression [3] or Monte Carlo dropout [5]; neither offers finite-sample coverage guarantees, and</w:t>
      </w:r>
      <w:r>
        <w:t xml:space="preserve"> </w:t>
      </w:r>
      <w:r>
        <w:t xml:space="preserve">coverage on unseen cells is rarely reported. Conformal prediction [17] provides marginal coverage under exchangeability and</w:t>
      </w:r>
      <w:r>
        <w:t xml:space="preserve"> </w:t>
      </w:r>
      <w:r>
        <w:t xml:space="preserve">has begun to appear in battery prognostics [22]; its behaviour when calibration and test cells come from different datasets</w:t>
      </w:r>
      <w:r>
        <w:t xml:space="preserve"> </w:t>
      </w:r>
      <w:r>
        <w:t xml:space="preserve">remains an empirical question.</w:t>
      </w:r>
    </w:p>
    <w:bookmarkEnd w:id="21"/>
    <w:bookmarkStart w:id="22" w:name="c.-dataset-diversity-and-benchmarks"/>
    <w:p>
      <w:pPr>
        <w:pStyle w:val="Heading3"/>
      </w:pPr>
      <w:r>
        <w:t xml:space="preserve">C. Dataset diversity and benchmarks</w:t>
      </w:r>
    </w:p>
    <w:p>
      <w:pPr>
        <w:pStyle w:val="FirstParagraph"/>
      </w:pPr>
      <w:r>
        <w:t xml:space="preserve">Five of the seven audited studies ([1], [4]–[7]) evaluate on the same four 2007 NASA cells. Multi-dataset benchmarks such</w:t>
      </w:r>
      <w:r>
        <w:t xml:space="preserve"> </w:t>
      </w:r>
      <w:r>
        <w:t xml:space="preserve">as BatteryML [23] and BatteryLife [24] have since standardized larger collections; we use BatteryLife’s processed release of</w:t>
      </w:r>
      <w:r>
        <w:t xml:space="preserve"> </w:t>
      </w:r>
      <w:r>
        <w:t xml:space="preserve">CALCE, SNL, HUST and MATR [24] together with the original NASA [9] and Oxford [11] files.</w:t>
      </w:r>
    </w:p>
    <w:bookmarkEnd w:id="22"/>
    <w:bookmarkStart w:id="23" w:name="d.-self-supervised-learning"/>
    <w:p>
      <w:pPr>
        <w:pStyle w:val="Heading3"/>
      </w:pPr>
      <w:r>
        <w:t xml:space="preserve">D. Self-supervised learning</w:t>
      </w:r>
    </w:p>
    <w:p>
      <w:pPr>
        <w:pStyle w:val="FirstParagraph"/>
      </w:pPr>
      <w:r>
        <w:t xml:space="preserve">Masked reconstruction is a widely used self-supervised objective [16]. For batteries, self-supervised pre-training with weak</w:t>
      </w:r>
      <w:r>
        <w:t xml:space="preserve"> </w:t>
      </w:r>
      <w:r>
        <w:t xml:space="preserve">labels [19], cycle-order ranking [21], degradation-oriented objectives and treating partial charging as natural masking [20]</w:t>
      </w:r>
      <w:r>
        <w:t xml:space="preserve"> </w:t>
      </w:r>
      <w:r>
        <w:t xml:space="preserve">have been proposed. We therefore treat self-supervision as a baseline-worthy design choice to be tested, not as a novelty.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v.-research-gap-and-contributions"/>
    <w:p>
      <w:pPr>
        <w:pStyle w:val="Heading2"/>
      </w:pPr>
      <w:r>
        <w:t xml:space="preserve">IV. Research Gap and Contributions</w:t>
      </w:r>
    </w:p>
    <w:p>
      <w:pPr>
        <w:pStyle w:val="FirstParagraph"/>
      </w:pPr>
      <w:r>
        <w:rPr>
          <w:b/>
          <w:bCs/>
        </w:rPr>
        <w:t xml:space="preserve">TABLE II. Gap 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What prior work achieved</w:t>
            </w:r>
          </w:p>
        </w:tc>
        <w:tc>
          <w:tcPr/>
          <w:p>
            <w:pPr>
              <w:pStyle w:val="Compact"/>
            </w:pPr>
            <w:r>
              <w:t xml:space="preserve">What remains open</w:t>
            </w:r>
          </w:p>
        </w:tc>
        <w:tc>
          <w:tcPr/>
          <w:p>
            <w:pPr>
              <w:pStyle w:val="Compact"/>
            </w:pPr>
            <w:r>
              <w:t xml:space="preserve">Test in this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Arbitrary sessions</w:t>
            </w:r>
          </w:p>
        </w:tc>
        <w:tc>
          <w:tcPr/>
          <w:p>
            <w:pPr>
              <w:pStyle w:val="Compact"/>
            </w:pPr>
            <w:r>
              <w:t xml:space="preserve">Fixed windows [1], CC-stage HIs [7], short fixed-start segments [13]</w:t>
            </w:r>
          </w:p>
        </w:tc>
        <w:tc>
          <w:tcPr/>
          <w:p>
            <w:pPr>
              <w:pStyle w:val="Compact"/>
            </w:pPr>
            <w:r>
              <w:t xml:space="preserve">Accuracy when start and length are random and only voltage + accumulated charge are observed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0.60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0.40</m:t>
              </m:r>
              <m:r>
                <m:rPr>
                  <m:sty m:val="p"/>
                </m:rPr>
                <m:t>]</m:t>
              </m:r>
            </m:oMath>
            <w:r>
              <w:t xml:space="preserve">; error vs. 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(Fig.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Unseen cells / datasets</w:t>
            </w:r>
          </w:p>
        </w:tc>
        <w:tc>
          <w:tcPr/>
          <w:p>
            <w:pPr>
              <w:pStyle w:val="Compact"/>
            </w:pPr>
            <w:r>
              <w:t xml:space="preserve">Mostly 4 NASA cells [1], [4]–[7]; within-dataset splits</w:t>
            </w:r>
          </w:p>
        </w:tc>
        <w:tc>
          <w:tcPr/>
          <w:p>
            <w:pPr>
              <w:pStyle w:val="Compact"/>
            </w:pPr>
            <w:r>
              <w:t xml:space="preserve">Cell-separated and leave-one-dataset-out error across chemistries</w:t>
            </w:r>
          </w:p>
        </w:tc>
        <w:tc>
          <w:tcPr/>
          <w:p>
            <w:pPr>
              <w:pStyle w:val="Compact"/>
            </w:pPr>
            <w:r>
              <w:t xml:space="preserve">GroupKFold-style cell splits; hold out MATR, HUST, SNL in turn (Table 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Calibrated intervals</w:t>
            </w:r>
          </w:p>
        </w:tc>
        <w:tc>
          <w:tcPr/>
          <w:p>
            <w:pPr>
              <w:pStyle w:val="Compact"/>
            </w:pPr>
            <w:r>
              <w:t xml:space="preserve">GPR [3], MC dropout [5]; coverage rarely measured</w:t>
            </w:r>
          </w:p>
        </w:tc>
        <w:tc>
          <w:tcPr/>
          <w:p>
            <w:pPr>
              <w:pStyle w:val="Compact"/>
            </w:pPr>
            <w:r>
              <w:t xml:space="preserve">Empirical coverage of distribution-free intervals on unseen cells and under shift</w:t>
            </w:r>
          </w:p>
        </w:tc>
        <w:tc>
          <w:tcPr/>
          <w:p>
            <w:pPr>
              <w:pStyle w:val="Compact"/>
            </w:pPr>
            <w:r>
              <w:t xml:space="preserve">Split CQR, coverage and width per source and per held-out dataset (Fig. 9, Fig.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Value of SSL</w:t>
            </w:r>
          </w:p>
        </w:tc>
        <w:tc>
          <w:tcPr/>
          <w:p>
            <w:pPr>
              <w:pStyle w:val="Compact"/>
            </w:pPr>
            <w:r>
              <w:t xml:space="preserve">SSL proposed [19]–[21]</w:t>
            </w:r>
          </w:p>
        </w:tc>
        <w:tc>
          <w:tcPr/>
          <w:p>
            <w:pPr>
              <w:pStyle w:val="Compact"/>
            </w:pPr>
            <w:r>
              <w:t xml:space="preserve">Whether masked-curve pre-training helps on this multi-source, arbitrary-session task, especially with few labels</w:t>
            </w:r>
          </w:p>
        </w:tc>
        <w:tc>
          <w:tcPr/>
          <w:p>
            <w:pPr>
              <w:pStyle w:val="Compact"/>
            </w:pPr>
            <w:r>
              <w:t xml:space="preserve">Supervised vs. SSL encoder at 100 % and 10 % labels (Table V, Fig. 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Hypotheses.</w:t>
      </w:r>
      <w:r>
        <w:t xml:space="preserve"> </w:t>
      </w:r>
      <w:r>
        <w:t xml:space="preserve">H1: a learned dual-view encoder outperforms handcrafted-feature baselines on unseen cells. H2:</w:t>
      </w:r>
      <w:r>
        <w:t xml:space="preserve"> </w:t>
      </w:r>
      <w:r>
        <w:t xml:space="preserve">self-supervised pre-training improves the encoder most when labels are scarce (10 % of training cells). H3: split CQR</w:t>
      </w:r>
      <w:r>
        <w:t xml:space="preserve"> </w:t>
      </w:r>
      <w:r>
        <w:t xml:space="preserve">attains approximately the nominal 90 % coverage on unseen cells from seen datasets, but not necessarily on an unseen dataset.</w:t>
      </w:r>
    </w:p>
    <w:p>
      <w:r>
        <w:pict>
          <v:rect style="width:0;height:1.5pt" o:hralign="center" o:hrstd="t" o:hr="t"/>
        </w:pict>
      </w:r>
    </w:p>
    <w:bookmarkEnd w:id="25"/>
    <w:bookmarkStart w:id="35" w:name="v.-datasets-and-preprocessing"/>
    <w:p>
      <w:pPr>
        <w:pStyle w:val="Heading2"/>
      </w:pPr>
      <w:r>
        <w:t xml:space="preserve">V. Datasets and Preprocessing</w:t>
      </w:r>
    </w:p>
    <w:bookmarkStart w:id="29" w:name="a.-sources"/>
    <w:p>
      <w:pPr>
        <w:pStyle w:val="Heading3"/>
      </w:pPr>
      <w:r>
        <w:t xml:space="preserve">A. Sources</w:t>
      </w:r>
    </w:p>
    <w:p>
      <w:pPr>
        <w:pStyle w:val="FirstParagraph"/>
      </w:pPr>
      <w:r>
        <w:rPr>
          <w:b/>
          <w:bCs/>
        </w:rPr>
        <w:t xml:space="preserve">TABLE III. Datasets used</w:t>
      </w:r>
      <w:r>
        <w:t xml:space="preserve"> </w:t>
      </w:r>
      <w:r>
        <w:t xml:space="preserve">(statistics computed from the processed files; see the data card</w:t>
      </w:r>
      <w:r>
        <w:t xml:space="preserve"> </w:t>
      </w:r>
      <w:r>
        <w:rPr>
          <w:rStyle w:val="VerbatimChar"/>
        </w:rPr>
        <w:t xml:space="preserve">datasets/master/README.md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Cells used</w:t>
            </w:r>
          </w:p>
        </w:tc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Rated capacity (Ah)</w:t>
            </w:r>
          </w:p>
        </w:tc>
        <w:tc>
          <w:tcPr/>
          <w:p>
            <w:pPr>
              <w:pStyle w:val="Compact"/>
            </w:pPr>
            <w:r>
              <w:t xml:space="preserve">Ambient (°C)</w:t>
            </w:r>
          </w:p>
        </w:tc>
        <w:tc>
          <w:tcPr/>
          <w:p>
            <w:pPr>
              <w:pStyle w:val="Compact"/>
            </w:pPr>
            <w:r>
              <w:t xml:space="preserve">Max charge C-rate</w:t>
            </w:r>
          </w:p>
        </w:tc>
        <w:tc>
          <w:tcPr/>
          <w:p>
            <w:pPr>
              <w:pStyle w:val="Compact"/>
            </w:pPr>
            <w:r>
              <w:t xml:space="preserve">Partial sessions</w:t>
            </w:r>
          </w:p>
        </w:tc>
        <w:tc>
          <w:tcPr/>
          <w:p>
            <w:pPr>
              <w:pStyle w:val="Compact"/>
            </w:pPr>
            <w:r>
              <w:t xml:space="preserve">SOH range (sessions)</w:t>
            </w:r>
          </w:p>
        </w:tc>
        <w:tc>
          <w:tcPr/>
          <w:p>
            <w:pPr>
              <w:pStyle w:val="Compact"/>
            </w:pPr>
            <w:r>
              <w:t xml:space="preserve">Licence /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CALCE [10]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LCO (prismatic)</w:t>
            </w:r>
          </w:p>
        </w:tc>
        <w:tc>
          <w:tcPr/>
          <w:p>
            <w:pPr>
              <w:pStyle w:val="Compact"/>
            </w:pPr>
            <w:r>
              <w:t xml:space="preserve">1.1–1.35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3,118</w:t>
            </w:r>
          </w:p>
        </w:tc>
        <w:tc>
          <w:tcPr/>
          <w:p>
            <w:pPr>
              <w:pStyle w:val="Compact"/>
            </w:pPr>
            <w:r>
              <w:t xml:space="preserve">0.50–1.05</w:t>
            </w:r>
          </w:p>
        </w:tc>
        <w:tc>
          <w:tcPr/>
          <w:p>
            <w:pPr>
              <w:pStyle w:val="Compact"/>
            </w:pPr>
            <w:r>
              <w:t xml:space="preserve">Research use; cite CALCE +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SNL [25]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LFP 18, NMC 21, NCA 22 (18650)</w:t>
            </w:r>
          </w:p>
        </w:tc>
        <w:tc>
          <w:tcPr/>
          <w:p>
            <w:pPr>
              <w:pStyle w:val="Compact"/>
            </w:pPr>
            <w:r>
              <w:t xml:space="preserve">1.1 / 3.0 / 3.2</w:t>
            </w:r>
          </w:p>
        </w:tc>
        <w:tc>
          <w:tcPr/>
          <w:p>
            <w:pPr>
              <w:pStyle w:val="Compact"/>
            </w:pPr>
            <w:r>
              <w:t xml:space="preserve">15, 25, 35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14,640</w:t>
            </w:r>
          </w:p>
        </w:tc>
        <w:tc>
          <w:tcPr/>
          <w:p>
            <w:pPr>
              <w:pStyle w:val="Compact"/>
            </w:pPr>
            <w:r>
              <w:t xml:space="preserve">0.50–1.01</w:t>
            </w:r>
          </w:p>
        </w:tc>
        <w:tc>
          <w:tcPr/>
          <w:p>
            <w:pPr>
              <w:pStyle w:val="Compact"/>
            </w:pPr>
            <w:r>
              <w:t xml:space="preserve">CC BY 4.0 (via [24])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HUST [26]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LFP (18650)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18,480</w:t>
            </w:r>
          </w:p>
        </w:tc>
        <w:tc>
          <w:tcPr/>
          <w:p>
            <w:pPr>
              <w:pStyle w:val="Compact"/>
            </w:pPr>
            <w:r>
              <w:t xml:space="preserve">0.81–1.14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 [8], [27]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LFP (18650)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up to 8</w:t>
            </w:r>
          </w:p>
        </w:tc>
        <w:tc>
          <w:tcPr/>
          <w:p>
            <w:pPr>
              <w:pStyle w:val="Compact"/>
            </w:pPr>
            <w:r>
              <w:t xml:space="preserve">40,224</w:t>
            </w:r>
          </w:p>
        </w:tc>
        <w:tc>
          <w:tcPr/>
          <w:p>
            <w:pPr>
              <w:pStyle w:val="Compact"/>
            </w:pPr>
            <w:r>
              <w:t xml:space="preserve">0.50–1.00</w:t>
            </w:r>
          </w:p>
        </w:tc>
        <w:tc>
          <w:tcPr/>
          <w:p>
            <w:pPr>
              <w:pStyle w:val="Compact"/>
            </w:pPr>
            <w:r>
              <w:t xml:space="preserve">CC BY 4.0 (via [24])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NASA PCoE [9]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Undisclosed 18650 (2 Ah)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4, 24, 43–44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3,587</w:t>
            </w:r>
          </w:p>
        </w:tc>
        <w:tc>
          <w:tcPr/>
          <w:p>
            <w:pPr>
              <w:pStyle w:val="Compact"/>
            </w:pPr>
            <w:r>
              <w:t xml:space="preserve">0.50–1.02</w:t>
            </w:r>
          </w:p>
        </w:tc>
        <w:tc>
          <w:tcPr/>
          <w:p>
            <w:pPr>
              <w:pStyle w:val="Compact"/>
            </w:pPr>
            <w:r>
              <w:t xml:space="preserve">Public (US Gov.)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Oxford [11]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LCO/NCO pouch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0.74–1.00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361</w:t>
            </w:r>
          </w:p>
        </w:tc>
        <w:tc>
          <w:tcPr/>
          <w:p>
            <w:pPr>
              <w:pStyle w:val="Compact"/>
            </w:pPr>
            <w:r>
              <w:t xml:space="preserve">5 chemistries + 1 undisclosed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81,073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Of 362 harmonized cells, one NASA cell (B0045) had no valid charge curve and was excluded. VED trip data [28] is part of the</w:t>
      </w:r>
      <w:r>
        <w:t xml:space="preserve"> </w:t>
      </w:r>
      <w:r>
        <w:t xml:space="preserve">SmartEV dataset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here, because it contains no battery-health labels.</w:t>
      </w:r>
    </w:p>
    <w:p>
      <w:pPr>
        <w:pStyle w:val="CaptionedFigure"/>
      </w:pPr>
      <w:r>
        <w:drawing>
          <wp:inline>
            <wp:extent cx="5334000" cy="1855974"/>
            <wp:effectExtent b="0" l="0" r="0" t="0"/>
            <wp:docPr descr="Fig. A. Dataset overview computed from the harmonized files: cells per source and chemistry (left) and SOH distribution of clean cycles per source (right)." title="" id="27" name="Picture"/>
            <a:graphic>
              <a:graphicData uri="http://schemas.openxmlformats.org/drawingml/2006/picture">
                <pic:pic>
                  <pic:nvPicPr>
                    <pic:cNvPr descr="figures/figA_dataset_over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A. Dataset overview computed from the harmonized files: cells per source and chemistry (left) and SOH distribution of clean cycles per source (right).</w:t>
      </w:r>
    </w:p>
    <w:bookmarkEnd w:id="29"/>
    <w:bookmarkStart w:id="30" w:name="b.-harmonization-and-labelling"/>
    <w:p>
      <w:pPr>
        <w:pStyle w:val="Heading3"/>
      </w:pPr>
      <w:r>
        <w:t xml:space="preserve">B. Harmonization and labelling</w:t>
      </w:r>
    </w:p>
    <w:p>
      <w:pPr>
        <w:pStyle w:val="FirstParagraph"/>
      </w:pPr>
      <w:r>
        <w:t xml:space="preserve">All sources were converted to SI units and one row per cell and cycle (400,224 cycles before cleaning). Charge current is</w:t>
      </w:r>
      <w:r>
        <w:t xml:space="preserve"> </w:t>
      </w:r>
      <w:r>
        <w:t xml:space="preserve">positive and discharge current negative in all lab sources. Oxford timestamps (stored in days) were converted to seconds.</w:t>
      </w:r>
      <w:r>
        <w:t xml:space="preserve"> </w:t>
      </w:r>
      <w:r>
        <w:t xml:space="preserve">NASA cells B0025–B0028, which appear twice in the original archive, were included once. SOH follows (1). Outlier cycles were</w:t>
      </w:r>
      <w:r>
        <w:t xml:space="preserve"> </w:t>
      </w:r>
      <w:r>
        <w:t xml:space="preserve">flagged per cell with a Hampel filter on SOH (window 21, threshold 3 scaled MAD, MAD floored at 0.5 % SOH to avoid</w:t>
      </w:r>
      <w:r>
        <w:t xml:space="preserve"> </w:t>
      </w:r>
      <w:r>
        <w:t xml:space="preserve">over-flagging smooth curves), which removed 0.29 % of cycles (11.7 % of NASA cycles, consistent with NASA’s own note on</w:t>
      </w:r>
      <w:r>
        <w:t xml:space="preserve"> </w:t>
      </w:r>
      <w:r>
        <w:t xml:space="preserve">anomalous low-capacity runs). End-of-life labels (80 % rated capacity) agree with BatteryLife’s published life labels within</w:t>
      </w:r>
      <w:r>
        <w:t xml:space="preserve"> </w:t>
      </w:r>
      <w:r>
        <w:t xml:space="preserve">5 cycles for 96.8 % of the labelled cells; they are not used in this SOH study.</w:t>
      </w:r>
    </w:p>
    <w:bookmarkEnd w:id="30"/>
    <w:bookmarkStart w:id="34" w:name="c.-partial-session-construction"/>
    <w:p>
      <w:pPr>
        <w:pStyle w:val="Heading3"/>
      </w:pPr>
      <w:r>
        <w:t xml:space="preserve">C. Partial-session construction</w:t>
      </w:r>
    </w:p>
    <w:p>
      <w:pPr>
        <w:pStyle w:val="FirstParagraph"/>
      </w:pPr>
      <w:r>
        <w:t xml:space="preserve">For each cell, up to 120 clean cycles with</w:t>
      </w:r>
      <w:r>
        <w:t xml:space="preserve"> </w:t>
      </w:r>
      <m:oMath>
        <m:r>
          <m:t>0.5</m:t>
        </m:r>
        <m:r>
          <m:rPr>
            <m:sty m:val="p"/>
          </m:rPr>
          <m:t>≤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≤</m:t>
        </m:r>
        <m:r>
          <m:t>1.2</m:t>
        </m:r>
      </m:oMath>
      <w:r>
        <w:t xml:space="preserve"> </w:t>
      </w:r>
      <w:r>
        <w:t xml:space="preserve">were selected evenly over life, and two sessions</w:t>
      </w:r>
      <w:r>
        <w:t xml:space="preserve"> </w:t>
      </w:r>
      <w:r>
        <w:t xml:space="preserve">were sampled per cycle with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r>
          <m:t>0.05</m:t>
        </m:r>
        <m:r>
          <m:rPr>
            <m:sty m:val="p"/>
          </m:rPr>
          <m:t>,</m:t>
        </m:r>
        <m:r>
          <m:t>0.60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r>
          <m:t>0.15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)</m:t>
        </m:r>
      </m:oMath>
      <w:r>
        <w:t xml:space="preserve">),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fractions of that cycle’s full charge. The charging curve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stored at 64 normalized charge points; for a</w:t>
      </w:r>
      <w:r>
        <w:t xml:space="preserve"> </w:t>
      </w:r>
      <w:r>
        <w:t xml:space="preserve">session, the accumulated charge is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t> </m:t>
        </m:r>
        <m:sSubSup>
          <m:e>
            <m:r>
              <m:t>Q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n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The model never receives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Each session is encoded in two views (Fig. 3):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Charge-domain view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48</m:t>
            </m:r>
          </m:sup>
        </m:sSup>
      </m:oMath>
      <w:r>
        <w:t xml:space="preserve">: terminal voltage at fixed accumulated-charge steps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}</m:t>
        </m:r>
      </m:oMath>
      <w:r>
        <w:t xml:space="preserve">, with a mask after the session ends.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Voltage-domain view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v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64</m:t>
            </m:r>
          </m:sup>
        </m:sSup>
      </m:oMath>
      <w:r>
        <w:t xml:space="preserve">: accumulated charge (normalized by rated capacity) at</w:t>
      </w:r>
      <w:r>
        <w:t xml:space="preserve"> </w:t>
      </w:r>
      <w:r>
        <w:t xml:space="preserve">fixed voltages on a chemistry-specific grid (LFP 3.20–3.60 V; others 3.50–4.20 V), with a mask outside the observed range.</w:t>
      </w:r>
    </w:p>
    <w:p>
      <w:pPr>
        <w:pStyle w:val="FirstParagraph"/>
      </w:pPr>
      <w:r>
        <w:t xml:space="preserve">Normalizing by the</w:t>
      </w:r>
      <w:r>
        <w:t xml:space="preserve"> </w:t>
      </w:r>
      <w:r>
        <w:rPr>
          <w:i/>
          <w:iCs/>
        </w:rPr>
        <w:t xml:space="preserve">rated</w:t>
      </w:r>
      <w:r>
        <w:t xml:space="preserve"> </w:t>
      </w:r>
      <w:r>
        <w:t xml:space="preserve">capacity uses only a datasheet value. Because sessions are defined by the observable start and</w:t>
      </w:r>
      <w:r>
        <w:t xml:space="preserve"> </w:t>
      </w:r>
      <w:r>
        <w:t xml:space="preserve">end, the window-level ratio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C</m:t>
        </m:r>
      </m:oMath>
      <w:r>
        <w:t xml:space="preserve"> </w:t>
      </w:r>
      <w:r>
        <w:t xml:space="preserve">(which would reveal capacity) is not available to the model.</w:t>
      </w:r>
      <w:r>
        <w:t xml:space="preserve"> </w:t>
      </w:r>
      <w:r>
        <w:t xml:space="preserve">Nine handcrafted session features (start and end voltage, voltage span, accumulated charge, charge per volt, maximum and</w:t>
      </w:r>
      <w:r>
        <w:t xml:space="preserve"> </w:t>
      </w:r>
      <w:r>
        <w:t xml:space="preserve">location of incremental capacity</w:t>
      </w:r>
      <w:r>
        <w:t xml:space="preserve"> </w:t>
      </w:r>
      <m:oMath>
        <m:r>
          <m:t>d</m:t>
        </m:r>
        <m:r>
          <m:rPr>
            <m:sty m:val="p"/>
          </m:rPr>
          <m:t>Δ</m:t>
        </m:r>
        <m:r>
          <m:t>Q</m:t>
        </m:r>
        <m:r>
          <m:rPr>
            <m:sty m:val="p"/>
          </m:rPr>
          <m:t>/</m:t>
        </m:r>
        <m:r>
          <m:t>d</m:t>
        </m:r>
        <m:r>
          <m:t>V</m:t>
        </m:r>
      </m:oMath>
      <w:r>
        <w:t xml:space="preserve">, charge at mid-voltage, number of observed voltage bins) and five context</w:t>
      </w:r>
      <w:r>
        <w:t xml:space="preserve"> </w:t>
      </w:r>
      <w:r>
        <w:t xml:space="preserve">variables (chemistry one-hot, ambient temperature, charge C-rate) were computed for the baselines.</w:t>
      </w:r>
    </w:p>
    <w:p>
      <w:pPr>
        <w:pStyle w:val="CaptionedFigure"/>
      </w:pPr>
      <w:r>
        <w:drawing>
          <wp:inline>
            <wp:extent cx="5334000" cy="2067974"/>
            <wp:effectExtent b="0" l="0" r="0" t="0"/>
            <wp:docPr descr="Fig. 3. Measured charging curves at three ages for a Sandia NMC cell (left) and a MATR LFP cell (right); the shaded segment illustrates one partial charging session (window chosen for illustration). The MATR voltage drop near 0.8 reflects its multi-step fast-charging protocol." title="" id="32" name="Picture"/>
            <a:graphic>
              <a:graphicData uri="http://schemas.openxmlformats.org/drawingml/2006/picture">
                <pic:pic>
                  <pic:nvPicPr>
                    <pic:cNvPr descr="figures/fig3_partial_charging_curv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Measured charging curves at three ages for a Sandia NMC cell (left) and a MATR LFP cell (right); the shaded segment illustrates one partial charging session (window chosen for illustration). The MATR voltage drop near 0.8 reflects its multi-step fast-charging protocol.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vi.-methodology"/>
    <w:p>
      <w:pPr>
        <w:pStyle w:val="Heading2"/>
      </w:pPr>
      <w:r>
        <w:t xml:space="preserve">VI. Methodology</w:t>
      </w:r>
    </w:p>
    <w:bookmarkStart w:id="36" w:name="a.-baselines"/>
    <w:p>
      <w:pPr>
        <w:pStyle w:val="Heading3"/>
      </w:pPr>
      <w:r>
        <w:t xml:space="preserve">A. Baselines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Ridge regression</w:t>
      </w:r>
      <w:r>
        <w:t xml:space="preserve"> </w:t>
      </w:r>
      <w:r>
        <w:t xml:space="preserve">on standardized handcrafted features and context.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LightGBM (hand)</w:t>
      </w:r>
      <w:r>
        <w:t xml:space="preserve">: gradient-boosted trees [29] on the same features.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LightGBM (hand + curves)</w:t>
      </w:r>
      <w:r>
        <w:t xml:space="preserve">: additionally the flattened two views (224 + 14 inputs).</w:t>
      </w:r>
    </w:p>
    <w:p>
      <w:pPr>
        <w:pStyle w:val="FirstParagraph"/>
      </w:pPr>
      <w:r>
        <w:t xml:space="preserve">The design choice between handcrafted features and raw views was made on a validation split of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cells only</w:t>
      </w:r>
      <w:r>
        <w:t xml:space="preserve"> </w:t>
      </w:r>
      <w:r>
        <w:t xml:space="preserve">(validation RMSE 4.17 % vs. 4.63 % for the charge-domain view alone), so the test cells were never used for model selection.</w:t>
      </w:r>
    </w:p>
    <w:bookmarkEnd w:id="36"/>
    <w:bookmarkStart w:id="37" w:name="b.-dual-view-convolutional-encoder"/>
    <w:p>
      <w:pPr>
        <w:pStyle w:val="Heading3"/>
      </w:pPr>
      <w:r>
        <w:t xml:space="preserve">B. Dual-view convolutional encoder</w:t>
      </w:r>
    </w:p>
    <w:p>
      <w:pPr>
        <w:pStyle w:val="FirstParagraph"/>
      </w:pPr>
      <w:r>
        <w:t xml:space="preserve">Each view is augmented with a third channel (a</w:t>
      </w:r>
      <w:r>
        <w:t xml:space="preserve"> </w:t>
      </w:r>
      <w:r>
        <w:t xml:space="preserve">“hidden”</w:t>
      </w:r>
      <w:r>
        <w:t xml:space="preserve"> </w:t>
      </w:r>
      <w:r>
        <w:t xml:space="preserve">flag, zero at fine-tuning time) and processed by its own encoder of</w:t>
      </w:r>
      <w:r>
        <w:t xml:space="preserve"> </w:t>
      </w:r>
      <w:r>
        <w:t xml:space="preserve">three 1-D convolutions (kernel 5, dilations 1, 2, 4, 48 channels, batch normalization, GELU, residual connections), keeping</w:t>
      </w:r>
      <w:r>
        <w:t xml:space="preserve"> </w:t>
      </w:r>
      <w:r>
        <w:t xml:space="preserve">the sequence length (Fig. 4). Masked mean and max pooling over observed positions give a 96-dimensional vector per view;</w:t>
      </w:r>
      <w:r>
        <w:t xml:space="preserve"> </w:t>
      </w:r>
      <w:r>
        <w:t xml:space="preserve">the two vectors and the context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t xml:space="preserve">feed an MLP (128 units, dropout 0.1) that outputs three quantiles. Ordering is</w:t>
      </w:r>
      <w:r>
        <w:t xml:space="preserve"> </w:t>
      </w:r>
      <w:r>
        <w:t xml:space="preserve">enforced by construction: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0.05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0.5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b>
              <m:r>
                <m:t>0.95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head outputs. Training minimizes the summed pinball loss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0.95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τ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τ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τ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r</m:t>
              </m:r>
            </m:e>
          </m:d>
          <m:r>
            <m:rPr>
              <m:sty m:val="p"/>
            </m:rPr>
            <m:t>.</m:t>
          </m:r>
        </m:oMath>
      </m:oMathPara>
    </w:p>
    <w:bookmarkEnd w:id="37"/>
    <w:bookmarkStart w:id="41" w:name="X6b841b4541811c8dca90f63c44474091dd7c78d"/>
    <w:p>
      <w:pPr>
        <w:pStyle w:val="Heading3"/>
      </w:pPr>
      <w:r>
        <w:t xml:space="preserve">C. Self-supervised masked-curve pre-training</w:t>
      </w:r>
    </w:p>
    <w:p>
      <w:pPr>
        <w:pStyle w:val="FirstParagraph"/>
      </w:pPr>
      <w:r>
        <w:t xml:space="preserve">Before fine-tuning, both encoders are pre-trained on all training-cell sessions</w:t>
      </w:r>
      <w:r>
        <w:t xml:space="preserve"> </w:t>
      </w:r>
      <w:r>
        <w:rPr>
          <w:b/>
          <w:bCs/>
        </w:rPr>
        <w:t xml:space="preserve">without SOH labels</w:t>
      </w:r>
      <w:r>
        <w:t xml:space="preserve">. For each session, one</w:t>
      </w:r>
      <w:r>
        <w:t xml:space="preserve"> </w:t>
      </w:r>
      <w:r>
        <w:t xml:space="preserve">contiguous block covering 30 % of the observed positions is hidden (value and mask set to 0, hidden flag set to 1) and a</w:t>
      </w:r>
      <w:r>
        <w:t xml:space="preserve"> </w:t>
      </w:r>
      <w:r>
        <w:t xml:space="preserve">1×1-convolution decoder reconstructs the hidden standardized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v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v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set of hidden positions. The pre-trained encoder weights initialize the supervised model, which</w:t>
      </w:r>
      <w:r>
        <w:t xml:space="preserve"> </w:t>
      </w:r>
      <w:r>
        <w:t xml:space="preserve">is then fine-tuned end-to-end with (5). Pre-training uses only training cells; validation, calibration and test cells are</w:t>
      </w:r>
      <w:r>
        <w:t xml:space="preserve"> </w:t>
      </w:r>
      <w:r>
        <w:t xml:space="preserve">never seen.</w:t>
      </w:r>
    </w:p>
    <w:p>
      <w:pPr>
        <w:pStyle w:val="CaptionedFigure"/>
      </w:pPr>
      <w:r>
        <w:drawing>
          <wp:inline>
            <wp:extent cx="5302908" cy="2865527"/>
            <wp:effectExtent b="0" l="0" r="0" t="0"/>
            <wp:docPr descr="Fig. 4. Dual-view partial-curve encoder with ordered quantile head; the dashed decoder is used only during self-supervised pre-training (conceptual diagram)." title="" id="39" name="Picture"/>
            <a:graphic>
              <a:graphicData uri="http://schemas.openxmlformats.org/drawingml/2006/picture">
                <pic:pic>
                  <pic:nvPicPr>
                    <pic:cNvPr descr="figures/fig4_model_architect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08" cy="286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Dual-view partial-curve encoder with ordered quantile head; the dashed decoder is used only during self-supervised pre-training (conceptual diagram).</w:t>
      </w:r>
    </w:p>
    <w:bookmarkEnd w:id="41"/>
    <w:bookmarkStart w:id="42" w:name="Xcf7e083ee8391f43af64905e24f8e61d9489002"/>
    <w:p>
      <w:pPr>
        <w:pStyle w:val="Heading3"/>
      </w:pPr>
      <w:r>
        <w:t xml:space="preserve">D. Split conformalized quantile regression</w:t>
      </w:r>
    </w:p>
    <w:p>
      <w:pPr>
        <w:pStyle w:val="FirstParagraph"/>
      </w:pPr>
      <w:r>
        <w:t xml:space="preserve">Quantile models (the CNNs, and LightGBM with quantile objectives for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,</m:t>
        </m:r>
        <m:r>
          <m:t>0.95</m:t>
        </m:r>
      </m:oMath>
      <w:r>
        <w:t xml:space="preserve">) are fitted on training cells. On the</w:t>
      </w:r>
      <w:r>
        <w:t xml:space="preserve"> </w:t>
      </w:r>
      <w:r>
        <w:t xml:space="preserve">disjoint calibration cells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we compute conformity scores [17]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0.05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interval for a test session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0.05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0.95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the </m:t>
          </m:r>
          <m:r>
            <m:rPr>
              <m:sty m:val="p"/>
            </m:rPr>
            <m:t>⌈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⌉</m:t>
          </m:r>
          <m:r>
            <m:rPr>
              <m:nor/>
              <m:sty m:val="p"/>
            </m:rPr>
            <m:t>-th smallest 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coverage guarantee of (8) holds under exchangeability of calibration and test samples. Sessions from the same cell are</w:t>
      </w:r>
      <w:r>
        <w:t xml:space="preserve"> </w:t>
      </w:r>
      <w:r>
        <w:t xml:space="preserve">dependent, and sessions from an unseen dataset are not exchangeable with the calibration set, so coverage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</w:t>
      </w:r>
      <w:r>
        <w:t xml:space="preserve"> </w:t>
      </w:r>
      <w:r>
        <w:t xml:space="preserve">not assumed (Section VIII-C).</w:t>
      </w:r>
    </w:p>
    <w:p>
      <w:pPr>
        <w:pStyle w:val="BodyText"/>
      </w:pPr>
      <w:r>
        <w:rPr>
          <w:b/>
          <w:bCs/>
        </w:rPr>
        <w:t xml:space="preserve">Algorithm 1 — training and evaluation for one split</w:t>
      </w:r>
    </w:p>
    <w:p>
      <w:pPr>
        <w:pStyle w:val="SourceCode"/>
      </w:pPr>
      <w:r>
        <w:rPr>
          <w:rStyle w:val="VerbatimChar"/>
        </w:rPr>
        <w:t xml:space="preserve">Input: sessions D with cell ids; seed r; label fraction f; model M</w:t>
      </w:r>
      <w:r>
        <w:br/>
      </w:r>
      <w:r>
        <w:rPr>
          <w:rStyle w:val="VerbatimChar"/>
        </w:rPr>
        <w:t xml:space="preserve">1: Split cells (stratified by source) into test 20 %, then calibration 15 %, validation 15 %, train (rest)</w:t>
      </w:r>
      <w:r>
        <w:br/>
      </w:r>
      <w:r>
        <w:rPr>
          <w:rStyle w:val="VerbatimChar"/>
        </w:rPr>
        <w:t xml:space="preserve">2: Fit scalers on train cells only</w:t>
      </w:r>
      <w:r>
        <w:br/>
      </w:r>
      <w:r>
        <w:rPr>
          <w:rStyle w:val="VerbatimChar"/>
        </w:rPr>
        <w:t xml:space="preserve">3: if M = CNN-SSL: pre-train both encoders on all train-cell sessions with L_ssl (Eq. 6)</w:t>
      </w:r>
      <w:r>
        <w:br/>
      </w:r>
      <w:r>
        <w:rPr>
          <w:rStyle w:val="VerbatimChar"/>
        </w:rPr>
        <w:t xml:space="preserve">4: Choose labelled train cells: a random fraction f of train cells (f = 1 or 0.1)</w:t>
      </w:r>
      <w:r>
        <w:br/>
      </w:r>
      <w:r>
        <w:rPr>
          <w:rStyle w:val="VerbatimChar"/>
        </w:rPr>
        <w:t xml:space="preserve">5: Fit M on labelled train cells with early stopping on validation cells (Eq. 5 for CNNs)</w:t>
      </w:r>
      <w:r>
        <w:br/>
      </w:r>
      <w:r>
        <w:rPr>
          <w:rStyle w:val="VerbatimChar"/>
        </w:rPr>
        <w:t xml:space="preserve">6: Predict quantiles on calibration cells; compute Q̂ (Eqs. 7–8)</w:t>
      </w:r>
      <w:r>
        <w:br/>
      </w:r>
      <w:r>
        <w:rPr>
          <w:rStyle w:val="VerbatimChar"/>
        </w:rPr>
        <w:t xml:space="preserve">7: Predict test cells once; report RMSE, MAE, R², coverage and width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vii.-experimental-setup"/>
    <w:p>
      <w:pPr>
        <w:pStyle w:val="Heading2"/>
      </w:pPr>
      <w:r>
        <w:t xml:space="preserve">VII. Experimental Setup</w:t>
      </w:r>
    </w:p>
    <w:p>
      <w:pPr>
        <w:pStyle w:val="FirstParagraph"/>
      </w:pPr>
      <w:r>
        <w:rPr>
          <w:b/>
          <w:bCs/>
        </w:rPr>
        <w:t xml:space="preserve">TABLE IV.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Splits</w:t>
            </w:r>
          </w:p>
        </w:tc>
        <w:tc>
          <w:tcPr/>
          <w:p>
            <w:pPr>
              <w:pStyle w:val="Compact"/>
            </w:pPr>
            <w:r>
              <w:t xml:space="preserve">Cell-level, stratified by source: test 20 %, calibration 15 % of the rest, validation 15 % of the remaining; seeds 0, 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budgets</w:t>
            </w:r>
          </w:p>
        </w:tc>
        <w:tc>
          <w:tcPr/>
          <w:p>
            <w:pPr>
              <w:pStyle w:val="Compact"/>
            </w:pPr>
            <w:r>
              <w:t xml:space="preserve">100 % and 10 % of training cells labelled (SSL always uses all training-cell sessions, unlabelled)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Cross-dataset</w:t>
            </w:r>
          </w:p>
        </w:tc>
        <w:tc>
          <w:tcPr/>
          <w:p>
            <w:pPr>
              <w:pStyle w:val="Compact"/>
            </w:pPr>
            <w:r>
              <w:t xml:space="preserve">Leave-one-source-out for MATR, HUST, SNL (seed 0, 100 % labels); the held-out source is the test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0.60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t>0.15</m:t>
              </m:r>
              <m:r>
                <m:rPr>
                  <m:sty m:val="p"/>
                </m:rPr>
                <m:t>,</m:t>
              </m:r>
              <m:r>
                <m:t>0.40</m:t>
              </m:r>
              <m:r>
                <m:rPr>
                  <m:sty m:val="p"/>
                </m:rPr>
                <m:t>)</m:t>
              </m:r>
            </m:oMath>
            <w:r>
              <w:t xml:space="preserve">; 2 per cycle; ≤ 120 cycles per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2 × (3 dilated conv, 48 ch); MLP 128; AdamW, lr 2×10⁻³, weight decay 10⁻⁴, cosine schedule, batch 512, ≤ 25 epochs, early stopping patience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</w:t>
            </w:r>
          </w:p>
        </w:tc>
        <w:tc>
          <w:tcPr/>
          <w:p>
            <w:pPr>
              <w:pStyle w:val="Compact"/>
            </w:pPr>
            <w:r>
              <w:t xml:space="preserve">10 epochs, contiguous 30 % mask, MSE on hidden 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2000 trees max, lr 0.03, 31 leaves, min 40 samples/leaf, row/column subsampling 0.8, early stopping 100 rounds on validation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α = 1, standardized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Intervals</w:t>
            </w:r>
          </w:p>
        </w:tc>
        <w:tc>
          <w:tcPr/>
          <w:p>
            <w:pPr>
              <w:pStyle w:val="Compact"/>
            </w:pPr>
            <w:r>
              <w:t xml:space="preserve">α = 0.10 (90 % nominal); split CQR on calibration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RMSE, MAE (% SOH); R²; empirical coverage; mean interval width (% SOH)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/ hardware</w:t>
            </w:r>
          </w:p>
        </w:tc>
        <w:tc>
          <w:tcPr/>
          <w:p>
            <w:pPr>
              <w:pStyle w:val="Compact"/>
            </w:pPr>
            <w:r>
              <w:t xml:space="preserve">Python 3.13, PyTorch 2.11 (CPU, 16 threads), LightGBM 4.6, scikit-learn 1.7; Windows 11, 24-core CPU</w:t>
            </w:r>
          </w:p>
        </w:tc>
      </w:tr>
    </w:tbl>
    <w:p>
      <w:pPr>
        <w:pStyle w:val="CaptionedFigure"/>
      </w:pPr>
      <w:r>
        <w:drawing>
          <wp:inline>
            <wp:extent cx="5159173" cy="2159084"/>
            <wp:effectExtent b="0" l="0" r="0" t="0"/>
            <wp:docPr descr="Fig. 5. Cell-separated data partitioning and leakage controls (conceptual diagram)." title="" id="45" name="Picture"/>
            <a:graphic>
              <a:graphicData uri="http://schemas.openxmlformats.org/drawingml/2006/picture">
                <pic:pic>
                  <pic:nvPicPr>
                    <pic:cNvPr descr="figures/fig5_data_workflo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73" cy="2159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Cell-separated data partitioning and leakage controls (conceptual diagram).</w:t>
      </w:r>
    </w:p>
    <w:p>
      <w:pPr>
        <w:pStyle w:val="BodyText"/>
      </w:pPr>
      <w:r>
        <w:t xml:space="preserve">Metrics: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∑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(% SOH); coverage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; width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viii.-results-and-discussion"/>
    <w:p>
      <w:pPr>
        <w:pStyle w:val="Heading2"/>
      </w:pPr>
      <w:r>
        <w:t xml:space="preserve">VIII. Results and Discussion</w:t>
      </w:r>
    </w:p>
    <w:p>
      <w:pPr>
        <w:pStyle w:val="FirstParagraph"/>
      </w:pPr>
      <w:r>
        <w:t xml:space="preserve">[RESULTS PENDING]</w:t>
      </w:r>
    </w:p>
    <w:p>
      <w:r>
        <w:pict>
          <v:rect style="width:0;height:1.5pt" o:hralign="center" o:hrstd="t" o:hr="t"/>
        </w:pict>
      </w:r>
    </w:p>
    <w:bookmarkEnd w:id="48"/>
    <w:bookmarkStart w:id="49" w:name="Xab95046fdfdfd09ecd1ab48d6abf1bd01050e30"/>
    <w:p>
      <w:pPr>
        <w:pStyle w:val="Heading2"/>
      </w:pPr>
      <w:r>
        <w:t xml:space="preserve">IX. SmartEV System Integration and Practical Implications</w:t>
      </w:r>
    </w:p>
    <w:p>
      <w:pPr>
        <w:pStyle w:val="FirstParagraph"/>
      </w:pPr>
      <w:r>
        <w:t xml:space="preserve">SmartEV (Fig. 1) is a web platform for EV charging-station discovery, slot reservation with Redis-based holds and</w:t>
      </w:r>
      <w:r>
        <w:t xml:space="preserve"> </w:t>
      </w:r>
      <w:r>
        <w:t xml:space="preserve">server-verified Razorpay payments, route planning, and a battery dashboard; its FastAPI service currently hosts heuristic</w:t>
      </w:r>
      <w:r>
        <w:t xml:space="preserve"> </w:t>
      </w:r>
      <w:r>
        <w:t xml:space="preserve">recommendation and demand modules. The SOH estimator studied here has been evaluated</w:t>
      </w:r>
      <w:r>
        <w:t xml:space="preserve"> </w:t>
      </w:r>
      <w:r>
        <w:rPr>
          <w:b/>
          <w:bCs/>
        </w:rPr>
        <w:t xml:space="preserve">offline only</w:t>
      </w:r>
      <w:r>
        <w:t xml:space="preserve">; it is not yet</w:t>
      </w:r>
      <w:r>
        <w:t xml:space="preserve"> </w:t>
      </w:r>
      <w:r>
        <w:t xml:space="preserve">deployed in the application.</w:t>
      </w:r>
    </w:p>
    <w:p>
      <w:pPr>
        <w:pStyle w:val="BodyText"/>
      </w:pPr>
      <w:r>
        <w:t xml:space="preserve">A prototype integration would: (i) receive each completed charging session (voltage and accumulated charge, chemistry,</w:t>
      </w:r>
      <w:r>
        <w:t xml:space="preserve"> </w:t>
      </w:r>
      <w:r>
        <w:t xml:space="preserve">ambient temperature, C-rate) from the vehicle or charger; (ii) return the median SOH and the 90 % CQR interval; (iii) smooth</w:t>
      </w:r>
      <w:r>
        <w:t xml:space="preserve"> </w:t>
      </w:r>
      <w:r>
        <w:t xml:space="preserve">successive estimates per vehicle before display; and (iv) show the owner plain-language range information (e.g., estimated</w:t>
      </w:r>
      <w:r>
        <w:t xml:space="preserve"> </w:t>
      </w:r>
      <w:r>
        <w:t xml:space="preserve">full-charge range = SOH × rated range) together with its uncertainty. Interval width should gate decisions: a wide interval</w:t>
      </w:r>
      <w:r>
        <w:t xml:space="preserve"> </w:t>
      </w:r>
      <w:r>
        <w:t xml:space="preserve">should trigger</w:t>
      </w:r>
      <w:r>
        <w:t xml:space="preserve"> </w:t>
      </w:r>
      <w:r>
        <w:t xml:space="preserve">“estimate improving”</w:t>
      </w:r>
      <w:r>
        <w:t xml:space="preserve"> </w:t>
      </w:r>
      <w:r>
        <w:t xml:space="preserve">messaging rather than an alert. Because the evaluated cells are laboratory cells, and</w:t>
      </w:r>
      <w:r>
        <w:t xml:space="preserve"> </w:t>
      </w:r>
      <w:r>
        <w:t xml:space="preserve">coverage under dataset shift was measured to be [RESULTS PENDING], any deployment would require recalibration on field data</w:t>
      </w:r>
      <w:r>
        <w:t xml:space="preserve"> </w:t>
      </w:r>
      <w:r>
        <w:t xml:space="preserve">and monitoring of coverage over time. The estimator does not by itself guarantee battery safety or optimize charging; those</w:t>
      </w:r>
      <w:r>
        <w:t xml:space="preserve"> </w:t>
      </w:r>
      <w:r>
        <w:t xml:space="preserve">functions are out of scope.</w:t>
      </w:r>
    </w:p>
    <w:p>
      <w:r>
        <w:pict>
          <v:rect style="width:0;height:1.5pt" o:hralign="center" o:hrstd="t" o:hr="t"/>
        </w:pict>
      </w:r>
    </w:p>
    <w:bookmarkEnd w:id="49"/>
    <w:bookmarkStart w:id="50" w:name="x.-limitations-and-threats-to-validity"/>
    <w:p>
      <w:pPr>
        <w:pStyle w:val="Heading2"/>
      </w:pPr>
      <w:r>
        <w:t xml:space="preserve">X. Limitations and Threats to Validity</w:t>
      </w:r>
    </w:p>
    <w:p>
      <w:pPr>
        <w:pStyle w:val="FirstParagraph"/>
      </w:pPr>
      <w:r>
        <w:rPr>
          <w:b/>
          <w:bCs/>
        </w:rPr>
        <w:t xml:space="preserve">TABLE VIII. Limitations and deployment implications.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Addressed here?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cells (0.74–3.2 Ah) under controlled protocols</w:t>
            </w:r>
          </w:p>
        </w:tc>
        <w:tc>
          <w:tcPr/>
          <w:p>
            <w:pPr>
              <w:pStyle w:val="Compact"/>
            </w:pPr>
            <w:r>
              <w:t xml:space="preserve">Field packs, cell-to-cell imbalance and BMS SOC/current errors are absent</w:t>
            </w:r>
          </w:p>
        </w:tc>
        <w:tc>
          <w:tcPr/>
          <w:p>
            <w:pPr>
              <w:pStyle w:val="Compact"/>
            </w:pPr>
            <w:r>
              <w:t xml:space="preserve">No — requires fleet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are simulated by cropping measured full charges</w:t>
            </w:r>
          </w:p>
        </w:tc>
        <w:tc>
          <w:tcPr/>
          <w:p>
            <w:pPr>
              <w:pStyle w:val="Compact"/>
            </w:pPr>
            <w:r>
              <w:t xml:space="preserve">Real sessions include rest, temperature transients and current variation</w:t>
            </w:r>
          </w:p>
        </w:tc>
        <w:tc>
          <w:tcPr/>
          <w:p>
            <w:pPr>
              <w:pStyle w:val="Compact"/>
            </w:pPr>
            <w:r>
              <w:t xml:space="preserve">Partially (random start/length)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LFP dominates (264 of 361 cells)</w:t>
            </w:r>
          </w:p>
        </w:tc>
        <w:tc>
          <w:tcPr/>
          <w:p>
            <w:pPr>
              <w:pStyle w:val="Compact"/>
            </w:pPr>
            <w:r>
              <w:t xml:space="preserve">Aggregate metrics weighted towards LFP</w:t>
            </w:r>
          </w:p>
        </w:tc>
        <w:tc>
          <w:tcPr/>
          <w:p>
            <w:pPr>
              <w:pStyle w:val="Compact"/>
            </w:pPr>
            <w:r>
              <w:t xml:space="preserve">Per-source results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sessions within a cell</w:t>
            </w:r>
          </w:p>
        </w:tc>
        <w:tc>
          <w:tcPr/>
          <w:p>
            <w:pPr>
              <w:pStyle w:val="Compact"/>
            </w:pPr>
            <w:r>
              <w:t xml:space="preserve">CQR exchangeability holds at best approximately</w:t>
            </w:r>
          </w:p>
        </w:tc>
        <w:tc>
          <w:tcPr/>
          <w:p>
            <w:pPr>
              <w:pStyle w:val="Compact"/>
            </w:pPr>
            <w:r>
              <w:t xml:space="preserve">Coverage measured, not assumed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Unseen-dataset shift</w:t>
            </w:r>
          </w:p>
        </w:tc>
        <w:tc>
          <w:tcPr/>
          <w:p>
            <w:pPr>
              <w:pStyle w:val="Compact"/>
            </w:pPr>
            <w:r>
              <w:t xml:space="preserve">Coverage can drop when calibration data come from other datasets</w:t>
            </w:r>
          </w:p>
        </w:tc>
        <w:tc>
          <w:tcPr/>
          <w:p>
            <w:pPr>
              <w:pStyle w:val="Compact"/>
            </w:pPr>
            <w:r>
              <w:t xml:space="preserve">Measured in leave-one-dataset-out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ground-truth fleet SOH labels</w:t>
            </w:r>
          </w:p>
        </w:tc>
        <w:tc>
          <w:tcPr/>
          <w:p>
            <w:pPr>
              <w:pStyle w:val="Compact"/>
            </w:pPr>
            <w:r>
              <w:t xml:space="preserve">Cannot validate field accuracy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 temperature per test, not per session</w:t>
            </w:r>
          </w:p>
        </w:tc>
        <w:tc>
          <w:tcPr/>
          <w:p>
            <w:pPr>
              <w:pStyle w:val="Compact"/>
            </w:pPr>
            <w:r>
              <w:t xml:space="preserve">Context is coarse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architecture family; limited hyperparameter search</w:t>
            </w:r>
          </w:p>
        </w:tc>
        <w:tc>
          <w:tcPr/>
          <w:p>
            <w:pPr>
              <w:pStyle w:val="Compact"/>
            </w:pPr>
            <w:r>
              <w:t xml:space="preserve">Results are not an upper bound</w:t>
            </w:r>
          </w:p>
        </w:tc>
        <w:tc>
          <w:tcPr/>
          <w:p>
            <w:pPr>
              <w:pStyle w:val="Compact"/>
            </w:pPr>
            <w:r>
              <w:t xml:space="preserve">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CPU-only training, 3 seeds</w:t>
            </w:r>
          </w:p>
        </w:tc>
        <w:tc>
          <w:tcPr/>
          <w:p>
            <w:pPr>
              <w:pStyle w:val="Compact"/>
            </w:pPr>
            <w:r>
              <w:t xml:space="preserve">Variance estimates are coarse</w:t>
            </w:r>
          </w:p>
        </w:tc>
        <w:tc>
          <w:tcPr/>
          <w:p>
            <w:pPr>
              <w:pStyle w:val="Compact"/>
            </w:pPr>
            <w:r>
              <w:t xml:space="preserve">Seeds reported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i.-conclusion-and-future-work"/>
    <w:p>
      <w:pPr>
        <w:pStyle w:val="Heading2"/>
      </w:pPr>
      <w:r>
        <w:t xml:space="preserve">XI. Conclusion and Future Work</w:t>
      </w:r>
    </w:p>
    <w:p>
      <w:pPr>
        <w:pStyle w:val="FirstParagraph"/>
      </w:pPr>
      <w:r>
        <w:t xml:space="preserve">[RESULTS PENDING]</w:t>
      </w:r>
    </w:p>
    <w:p>
      <w:pPr>
        <w:pStyle w:val="BodyText"/>
      </w:pPr>
      <w:r>
        <w:t xml:space="preserve">Future work: physics-constrained degradation forecasting with explicitly enforced monotonicity (e.g., a universal</w:t>
      </w:r>
      <w:r>
        <w:t xml:space="preserve"> </w:t>
      </w:r>
      <w:r>
        <w:t xml:space="preserve">differential equation with a non-negative learned fade rate [18]); conformal methods for dependent and shifted data; field</w:t>
      </w:r>
      <w:r>
        <w:t xml:space="preserve"> </w:t>
      </w:r>
      <w:r>
        <w:t xml:space="preserve">validation with fleet charging sessions; and integration of the calibrated estimate into SmartEV range and charging services.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B. Chinomona, C. Chung, L.-K. Chang, W.-C. Su, and M.-C. Tsai,</w:t>
      </w:r>
      <w:r>
        <w:t xml:space="preserve"> </w:t>
      </w:r>
      <w:r>
        <w:t xml:space="preserve">“Long short-term memory approach to estimate battery remaining useful life using partial data,”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8, pp. 165419–165431, 2020, doi: 10.1109/ACCESS.2020.3022505.</w:t>
      </w:r>
    </w:p>
    <w:p>
      <w:pPr>
        <w:pStyle w:val="BodyText"/>
      </w:pPr>
      <w:r>
        <w:t xml:space="preserve">[2] G. Lyu, H. Zhang, and Q. Miao,</w:t>
      </w:r>
      <w:r>
        <w:t xml:space="preserve"> </w:t>
      </w:r>
      <w:r>
        <w:t xml:space="preserve">“Parallel state fusion LSTM-based early-cycle stage lithium-ion battery RUL prediction under Lebesgue sampling framework,”</w:t>
      </w:r>
      <w:r>
        <w:t xml:space="preserve"> </w:t>
      </w:r>
      <w:r>
        <w:rPr>
          <w:i/>
          <w:iCs/>
        </w:rPr>
        <w:t xml:space="preserve">Reliab. Eng. Syst. Saf.</w:t>
      </w:r>
      <w:r>
        <w:t xml:space="preserve">, vol. 236, Art. no. 109315, 2023, doi: 10.1016/j.ress.2023.109315.</w:t>
      </w:r>
    </w:p>
    <w:p>
      <w:pPr>
        <w:pStyle w:val="BodyText"/>
      </w:pPr>
      <w:r>
        <w:t xml:space="preserve">[3] K. Liu, Y. Shang, Q. Ouyang, and W. D. Widanage,</w:t>
      </w:r>
      <w:r>
        <w:t xml:space="preserve"> </w:t>
      </w:r>
      <w:r>
        <w:t xml:space="preserve">“A data-driven approach with uncertainty quantification for predicting future capacities and remaining useful life of lithium-ion battery,”</w:t>
      </w:r>
      <w:r>
        <w:t xml:space="preserve"> </w:t>
      </w:r>
      <w:r>
        <w:rPr>
          <w:i/>
          <w:iCs/>
        </w:rPr>
        <w:t xml:space="preserve">IEEE Trans. Ind. Electron.</w:t>
      </w:r>
      <w:r>
        <w:t xml:space="preserve">, vol. 68, no. 4, pp. 3170–3180, 2021, doi: 10.1109/TIE.2020.2973876.</w:t>
      </w:r>
    </w:p>
    <w:p>
      <w:pPr>
        <w:pStyle w:val="BodyText"/>
      </w:pPr>
      <w:r>
        <w:t xml:space="preserve">[4] J. Zhu, T. Tan, L. Wu, and H. Yuan,</w:t>
      </w:r>
      <w:r>
        <w:t xml:space="preserve"> </w:t>
      </w:r>
      <w:r>
        <w:t xml:space="preserve">“RUL prediction of lithium-ion battery based on improved DGWO-ELM method in a random discharge rates environment,”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7, pp. 125176–125187, 2019, doi: 10.1109/ACCESS.2019.2936822.</w:t>
      </w:r>
    </w:p>
    <w:p>
      <w:pPr>
        <w:pStyle w:val="BodyText"/>
      </w:pPr>
      <w:r>
        <w:t xml:space="preserve">[5] Z. Kong, S. Li, and C. Wang,</w:t>
      </w:r>
      <w:r>
        <w:t xml:space="preserve"> </w:t>
      </w:r>
      <w:r>
        <w:t xml:space="preserve">“Estimation and uncertainty quantification of remaining useful life (RUL) of electric vehicle batteries using a temporal deep model,”</w:t>
      </w:r>
      <w:r>
        <w:t xml:space="preserve"> </w:t>
      </w:r>
      <w:r>
        <w:rPr>
          <w:i/>
          <w:iCs/>
        </w:rPr>
        <w:t xml:space="preserve">Sci. Rep.</w:t>
      </w:r>
      <w:r>
        <w:t xml:space="preserve">, vol. 16, Art. no. 18704, 2026, doi: 10.1038/s41598-026-54385-4.</w:t>
      </w:r>
    </w:p>
    <w:p>
      <w:pPr>
        <w:pStyle w:val="BodyText"/>
      </w:pPr>
      <w:r>
        <w:t xml:space="preserve">[6] Y. Wei and D. Wu,</w:t>
      </w:r>
      <w:r>
        <w:t xml:space="preserve"> </w:t>
      </w:r>
      <w:r>
        <w:t xml:space="preserve">“Prediction of state of health and remaining useful life of lithium-ion battery using graph convolutional network with dual attention mechanisms,”</w:t>
      </w:r>
      <w:r>
        <w:t xml:space="preserve"> </w:t>
      </w:r>
      <w:r>
        <w:rPr>
          <w:i/>
          <w:iCs/>
        </w:rPr>
        <w:t xml:space="preserve">Reliab. Eng. Syst. Saf.</w:t>
      </w:r>
      <w:r>
        <w:t xml:space="preserve">, vol. 230, Art. no. 108947, 2023, doi: 10.1016/j.ress.2022.108947.</w:t>
      </w:r>
    </w:p>
    <w:p>
      <w:pPr>
        <w:pStyle w:val="BodyText"/>
      </w:pPr>
      <w:r>
        <w:t xml:space="preserve">[7] Z. Wang, N. Liu, C. Chen, and Y. Guo,</w:t>
      </w:r>
      <w:r>
        <w:t xml:space="preserve"> </w:t>
      </w:r>
      <w:r>
        <w:t xml:space="preserve">“Adaptive self-attention LSTM for RUL prediction of lithium-ion batteries,”</w:t>
      </w:r>
      <w:r>
        <w:t xml:space="preserve"> </w:t>
      </w:r>
      <w:r>
        <w:rPr>
          <w:i/>
          <w:iCs/>
        </w:rPr>
        <w:t xml:space="preserve">Inf. Sci.</w:t>
      </w:r>
      <w:r>
        <w:t xml:space="preserve">, vol. 635, pp. 398–413, 2023, doi: 10.1016/j.ins.2023.01.100.</w:t>
      </w:r>
    </w:p>
    <w:p>
      <w:pPr>
        <w:pStyle w:val="BodyText"/>
      </w:pPr>
      <w:r>
        <w:t xml:space="preserve">[8] K. A. Severson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“Data-driven prediction of battery cycle life before capacity degradation,”</w:t>
      </w:r>
      <w:r>
        <w:t xml:space="preserve"> </w:t>
      </w:r>
      <w:r>
        <w:rPr>
          <w:i/>
          <w:iCs/>
        </w:rPr>
        <w:t xml:space="preserve">Nat. Energy</w:t>
      </w:r>
      <w:r>
        <w:t xml:space="preserve">, vol. 4, pp. 383–391, 2019, doi: 10.1038/s41560-019-0356-8.</w:t>
      </w:r>
    </w:p>
    <w:p>
      <w:pPr>
        <w:pStyle w:val="BodyText"/>
      </w:pPr>
      <w:r>
        <w:t xml:space="preserve">[9] B. Saha and K. Goebel,</w:t>
      </w:r>
      <w:r>
        <w:t xml:space="preserve"> </w:t>
      </w:r>
      <w:r>
        <w:t xml:space="preserve">“Battery data set,”</w:t>
      </w:r>
      <w:r>
        <w:t xml:space="preserve"> </w:t>
      </w:r>
      <w:r>
        <w:t xml:space="preserve">NASA Ames Prognostics Data Repository, NASA Ames Research Center, Moffett Field, CA, USA, 2007.</w:t>
      </w:r>
    </w:p>
    <w:p>
      <w:pPr>
        <w:pStyle w:val="BodyText"/>
      </w:pPr>
      <w:r>
        <w:t xml:space="preserve">[10] Y. Xing, E. W. M. Ma, K.-L. Tsui, and M. Pecht,</w:t>
      </w:r>
      <w:r>
        <w:t xml:space="preserve"> </w:t>
      </w:r>
      <w:r>
        <w:t xml:space="preserve">“An ensemble model for predicting the remaining useful performance of lithium-ion batteries,”</w:t>
      </w:r>
      <w:r>
        <w:t xml:space="preserve"> </w:t>
      </w:r>
      <w:r>
        <w:rPr>
          <w:i/>
          <w:iCs/>
        </w:rPr>
        <w:t xml:space="preserve">Microelectron. Reliab.</w:t>
      </w:r>
      <w:r>
        <w:t xml:space="preserve">, vol. 53, no. 6, pp. 811–820, 2013, doi: 10.1016/j.microrel.2012.12.003.</w:t>
      </w:r>
    </w:p>
    <w:p>
      <w:pPr>
        <w:pStyle w:val="BodyText"/>
      </w:pPr>
      <w:r>
        <w:t xml:space="preserve">[11] C. R. Birkl,</w:t>
      </w:r>
      <w:r>
        <w:t xml:space="preserve"> </w:t>
      </w:r>
      <w:r>
        <w:t xml:space="preserve">“Diagnosis and prognosis of degradation in lithium-ion batteries,”</w:t>
      </w:r>
      <w:r>
        <w:t xml:space="preserve"> </w:t>
      </w:r>
      <w:r>
        <w:t xml:space="preserve">Ph.D. dissertation, Dept. Eng. Sci., Univ. Oxford, Oxford, U.K., 2017. (Oxford Battery Degradation Dataset 1, Univ. Oxford Research Archive.)</w:t>
      </w:r>
    </w:p>
    <w:p>
      <w:pPr>
        <w:pStyle w:val="BodyText"/>
      </w:pPr>
      <w:r>
        <w:t xml:space="preserve">[12] D. Roman, S. Saxena, V. Robu, M. Pecht, and D. Flynn,</w:t>
      </w:r>
      <w:r>
        <w:t xml:space="preserve"> </w:t>
      </w:r>
      <w:r>
        <w:t xml:space="preserve">“Machine learning pipeline for battery state-of-health estimation,”</w:t>
      </w:r>
      <w:r>
        <w:t xml:space="preserve"> </w:t>
      </w:r>
      <w:r>
        <w:rPr>
          <w:i/>
          <w:iCs/>
        </w:rPr>
        <w:t xml:space="preserve">Nat. Mach. Intell.</w:t>
      </w:r>
      <w:r>
        <w:t xml:space="preserve">, vol. 3, pp. 447–456, 2021, doi: 10.1038/s42256-021-00312-3.</w:t>
      </w:r>
    </w:p>
    <w:p>
      <w:pPr>
        <w:pStyle w:val="BodyText"/>
      </w:pPr>
      <w:r>
        <w:t xml:space="preserve">[13] J. Tian, R. Xiong, W. Shen, J. Lu, and X.-G. Yang,</w:t>
      </w:r>
      <w:r>
        <w:t xml:space="preserve"> </w:t>
      </w:r>
      <w:r>
        <w:t xml:space="preserve">“Deep neural network battery charging curve prediction using 30 points collected in 10 min,”</w:t>
      </w:r>
      <w:r>
        <w:t xml:space="preserve"> </w:t>
      </w:r>
      <w:r>
        <w:rPr>
          <w:i/>
          <w:iCs/>
        </w:rPr>
        <w:t xml:space="preserve">Joule</w:t>
      </w:r>
      <w:r>
        <w:t xml:space="preserve">, vol. 5, no. 6, pp. 1521–1534, 2021, doi: 10.1016/j.joule.2021.05.012.</w:t>
      </w:r>
    </w:p>
    <w:p>
      <w:pPr>
        <w:pStyle w:val="BodyText"/>
      </w:pPr>
      <w:r>
        <w:t xml:space="preserve">[14] J. Zhu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“Data-driven capacity estimation of commercial lithium-ion batteries from voltage relaxation,”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, vol. 13, Art. no. 2261, 2022, doi: 10.1038/s41467-022-29837-w.</w:t>
      </w:r>
    </w:p>
    <w:p>
      <w:pPr>
        <w:pStyle w:val="BodyText"/>
      </w:pPr>
      <w:r>
        <w:t xml:space="preserve">[15] J. Lu, R. Xiong, J. Tian, C. Wang, and F. Sun,</w:t>
      </w:r>
      <w:r>
        <w:t xml:space="preserve"> </w:t>
      </w:r>
      <w:r>
        <w:t xml:space="preserve">“Deep learning to estimate lithium-ion battery state of health without additional degradation experiments,”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, vol. 14, Art. no. 2760, 2023, doi: 10.1038/s41467-023-38458-w.</w:t>
      </w:r>
    </w:p>
    <w:p>
      <w:pPr>
        <w:pStyle w:val="BodyText"/>
      </w:pPr>
      <w:r>
        <w:t xml:space="preserve">[16] K. He, X. Chen, S. Xie, Y. Li, P. Dollár, and R. Girshick,</w:t>
      </w:r>
      <w:r>
        <w:t xml:space="preserve"> </w:t>
      </w:r>
      <w:r>
        <w:t xml:space="preserve">“Masked autoencoders are scalable vision learners,”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Comput. Vis. Pattern Recognit. (CVPR)</w:t>
      </w:r>
      <w:r>
        <w:t xml:space="preserve">, 2022, pp. 15979–15988, doi: 10.1109/CVPR52688.2022.01553.</w:t>
      </w:r>
    </w:p>
    <w:p>
      <w:pPr>
        <w:pStyle w:val="BodyText"/>
      </w:pPr>
      <w:r>
        <w:t xml:space="preserve">[17] Y. Romano, E. Patterson, and E. J. Candès,</w:t>
      </w:r>
      <w:r>
        <w:t xml:space="preserve"> </w:t>
      </w:r>
      <w:r>
        <w:t xml:space="preserve">“Conformalized quantile 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Adv. Neural Inf. Process. Syst. (NeurIPS)</w:t>
      </w:r>
      <w:r>
        <w:t xml:space="preserve">, vol. 32, 2019; arXiv:1905.03222.</w:t>
      </w:r>
    </w:p>
    <w:p>
      <w:pPr>
        <w:pStyle w:val="BodyText"/>
      </w:pPr>
      <w:r>
        <w:t xml:space="preserve">[18] C. Rackauckas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“Universal differential equations for scientific machine learning,”</w:t>
      </w:r>
      <w:r>
        <w:t xml:space="preserve"> </w:t>
      </w:r>
      <w:r>
        <w:t xml:space="preserve">arXiv:2001.04385, 2020.</w:t>
      </w:r>
    </w:p>
    <w:p>
      <w:pPr>
        <w:pStyle w:val="BodyText"/>
      </w:pPr>
      <w:r>
        <w:t xml:space="preserve">[19] T. Wang, Z. Ma, S. Zou, Z. Chen, and P. Wang,</w:t>
      </w:r>
      <w:r>
        <w:t xml:space="preserve"> </w:t>
      </w:r>
      <w:r>
        <w:t xml:space="preserve">“Lithium-ion battery state-of-health estimation: A self-supervised framework incorporating weak labels,”</w:t>
      </w:r>
      <w:r>
        <w:t xml:space="preserve"> </w:t>
      </w:r>
      <w:r>
        <w:rPr>
          <w:i/>
          <w:iCs/>
        </w:rPr>
        <w:t xml:space="preserve">Appl. Energy</w:t>
      </w:r>
      <w:r>
        <w:t xml:space="preserve">, vol. 355, Art. no. 122332, 2024, doi: 10.1016/j.apenergy.2023.122332.</w:t>
      </w:r>
    </w:p>
    <w:p>
      <w:pPr>
        <w:pStyle w:val="BodyText"/>
      </w:pPr>
      <w:r>
        <w:t xml:space="preserve">[20] L. Teng, W. Li, and Z. Li,</w:t>
      </w:r>
      <w:r>
        <w:t xml:space="preserve"> </w:t>
      </w:r>
      <w:r>
        <w:t xml:space="preserve">“Partial charging as natural masking: Self-supervised pre-training for lithium-ion battery state of health prediction,”</w:t>
      </w:r>
      <w:r>
        <w:t xml:space="preserve"> </w:t>
      </w:r>
      <w:r>
        <w:t xml:space="preserve">SSRN preprint, 2026, doi: 10.2139/ssrn.7552735.</w:t>
      </w:r>
    </w:p>
    <w:p>
      <w:pPr>
        <w:pStyle w:val="BodyText"/>
      </w:pPr>
      <w:r>
        <w:t xml:space="preserve">[21] J. Yao and J. Kowal,</w:t>
      </w:r>
      <w:r>
        <w:t xml:space="preserve"> </w:t>
      </w:r>
      <w:r>
        <w:t xml:space="preserve">“Degradation-aligned self-supervised learning for state of health estimation of lithium-ion batteries under label sparsity,”</w:t>
      </w:r>
      <w:r>
        <w:t xml:space="preserve"> </w:t>
      </w:r>
      <w:r>
        <w:t xml:space="preserve">arXiv:2608.16612, 2026.</w:t>
      </w:r>
    </w:p>
    <w:p>
      <w:pPr>
        <w:pStyle w:val="BodyText"/>
      </w:pPr>
      <w:r>
        <w:t xml:space="preserve">[22] S. F. da Silva, M. F. Ozkan, F. El Idrissi, and M. Canova,</w:t>
      </w:r>
      <w:r>
        <w:t xml:space="preserve"> </w:t>
      </w:r>
      <w:r>
        <w:t xml:space="preserve">“Conformalized transfer learning for Li-ion battery state of health forecasting under manufacturing and usage variability,”</w:t>
      </w:r>
      <w:r>
        <w:t xml:space="preserve"> </w:t>
      </w:r>
      <w:r>
        <w:t xml:space="preserve">arXiv:2603.24475, 2026.</w:t>
      </w:r>
    </w:p>
    <w:p>
      <w:pPr>
        <w:pStyle w:val="BodyText"/>
      </w:pPr>
      <w:r>
        <w:t xml:space="preserve">[23] H. 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“BatteryML: An open-source platform for machine learning on battery degradation,”</w:t>
      </w:r>
      <w:r>
        <w:t xml:space="preserve"> </w:t>
      </w:r>
      <w:r>
        <w:t xml:space="preserve">arXiv:2310.14714, 2023.</w:t>
      </w:r>
    </w:p>
    <w:p>
      <w:pPr>
        <w:pStyle w:val="BodyText"/>
      </w:pPr>
      <w:r>
        <w:t xml:space="preserve">[24] R. Tan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“BatteryLife: A comprehensive dataset and benchmark for battery life prediction,”</w:t>
      </w:r>
      <w:r>
        <w:t xml:space="preserve"> </w:t>
      </w:r>
      <w:r>
        <w:t xml:space="preserve">arXiv:2502.18807, 2025.</w:t>
      </w:r>
    </w:p>
    <w:p>
      <w:pPr>
        <w:pStyle w:val="BodyText"/>
      </w:pPr>
      <w:r>
        <w:t xml:space="preserve">[25] Y. Preger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“Degradation of commercial lithium-ion cells as a function of chemistry and cycling conditions,”</w:t>
      </w:r>
      <w:r>
        <w:t xml:space="preserve"> </w:t>
      </w:r>
      <w:r>
        <w:rPr>
          <w:i/>
          <w:iCs/>
        </w:rPr>
        <w:t xml:space="preserve">J. Electrochem. Soc.</w:t>
      </w:r>
      <w:r>
        <w:t xml:space="preserve">, vol. 167, no. 12, Art. no. 120532, 2020, doi: 10.1149/1945-7111/abae37.</w:t>
      </w:r>
    </w:p>
    <w:p>
      <w:pPr>
        <w:pStyle w:val="BodyText"/>
      </w:pPr>
      <w:r>
        <w:t xml:space="preserve">[26] G. Ma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“Real-time personalized health status prediction of lithium-ion batteries using deep transfer learning,”</w:t>
      </w:r>
      <w:r>
        <w:t xml:space="preserve"> </w:t>
      </w:r>
      <w:r>
        <w:rPr>
          <w:i/>
          <w:iCs/>
        </w:rPr>
        <w:t xml:space="preserve">Energy Environ. Sci.</w:t>
      </w:r>
      <w:r>
        <w:t xml:space="preserve">, vol. 15, pp. 4083–4094, 2022, doi: 10.1039/D2EE01676A.</w:t>
      </w:r>
    </w:p>
    <w:p>
      <w:pPr>
        <w:pStyle w:val="BodyText"/>
      </w:pPr>
      <w:r>
        <w:t xml:space="preserve">[27] P. M. Attia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“Closed-loop optimization of fast-charging protocols for batteries with machine learning,”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 578, pp. 397–402, 2020, doi: 10.1038/s41586-020-1994-5.</w:t>
      </w:r>
    </w:p>
    <w:p>
      <w:pPr>
        <w:pStyle w:val="BodyText"/>
      </w:pPr>
      <w:r>
        <w:t xml:space="preserve">[28] G. S. Oh, D. J. LeBlanc, and H. Peng,</w:t>
      </w:r>
      <w:r>
        <w:t xml:space="preserve"> </w:t>
      </w:r>
      <w:r>
        <w:t xml:space="preserve">“Vehicle energy dataset (VED), a large-scale dataset for vehicle energy consumption research,”</w:t>
      </w:r>
      <w:r>
        <w:t xml:space="preserve"> </w:t>
      </w:r>
      <w:r>
        <w:t xml:space="preserve">arXiv:1905.02081, 2019.</w:t>
      </w:r>
    </w:p>
    <w:p>
      <w:pPr>
        <w:pStyle w:val="BodyText"/>
      </w:pPr>
      <w:r>
        <w:t xml:space="preserve">[29] G. Ke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“LightGBM: A highly efficient gradient boosting decision tree,”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Adv. Neural Inf. Process. Syst. (NIPS)</w:t>
      </w:r>
      <w:r>
        <w:t xml:space="preserve">, vol. 30, 2017.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2026-10-12T17:10:55Z</dcterms:created>
  <dcterms:modified xsi:type="dcterms:W3CDTF">2026-10-12T17:10:55Z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