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00"/>
        <w:jc w:val="center"/>
      </w:pPr>
      <w:r>
        <w:rPr>
          <w:rFonts w:ascii="Times New Roman" w:hAnsi="Times New Roman"/>
          <w:b w:val="0"/>
          <w:i w:val="0"/>
          <w:sz w:val="44"/>
        </w:rPr>
        <w:t>Self-Supervised and Conformally Calibrated State-of-Health Estimation From Arbitrary Partial Charging Sessions: A Cell- and Dataset-Separated Benchmark</w:t>
      </w:r>
    </w:p>
    <w:p>
      <w:pPr>
        <w:spacing w:after="40"/>
        <w:jc w:val="center"/>
      </w:pPr>
      <w:r>
        <w:rPr>
          <w:rFonts w:ascii="Times New Roman" w:hAnsi="Times New Roman"/>
          <w:b w:val="0"/>
          <w:i w:val="0"/>
          <w:sz w:val="22"/>
        </w:rPr>
        <w:t>[Author Name], [Author Name], and [Author Name]</w:t>
      </w:r>
    </w:p>
    <w:p>
      <w:pPr>
        <w:spacing w:after="240"/>
        <w:jc w:val="center"/>
      </w:pPr>
      <w:r>
        <w:rPr>
          <w:rFonts w:ascii="Times New Roman" w:hAnsi="Times New Roman"/>
          <w:b w:val="0"/>
          <w:i/>
          <w:sz w:val="18"/>
        </w:rPr>
        <w:t>[Department], [Institution], [City], [Country] (e-mail: [address])</w:t>
      </w:r>
    </w:p>
    <w:p>
      <w:pPr>
        <w:jc w:val="both"/>
      </w:pPr>
      <w:r>
        <w:rPr>
          <w:rFonts w:ascii="Times New Roman" w:hAnsi="Times New Roman"/>
          <w:b/>
          <w:i/>
          <w:sz w:val="18"/>
        </w:rPr>
        <w:t>Abstract—</w:t>
      </w:r>
      <w:r>
        <w:rPr>
          <w:rFonts w:ascii="Times New Roman" w:hAnsi="Times New Roman"/>
          <w:b/>
          <w:sz w:val="18"/>
        </w:rPr>
        <w:t>Electric-vehicle battery management systems rarely observe a complete charge–discharge cycle, but they observe many partial charging sessions that start and stop at arbitrary states of charge. This paper asks how accurately, and with what calibrated uncertainty, the state of health (SOH) can be estimated from a single such session when evaluation is separated by cell and by dataset. We construct 81,073 arbitrary partial sessions from 361 cells of six public datasets (CALCE, Sandia, HUST, MATR, NASA and Oxford; LFP, NMC, NCA, LCO and LCO/NCO). Sessions are represented only by quantities a battery management system can measure, terminal voltage and the charge accumulated since plug-in, so the cell capacity cannot leak into the input. We compare ridge regression and gradient-boosted trees on handcrafted session features with a dual-view convolutional encoder trained from scratch and after self-supervised masked-curve pre-training, and we calibrate 90 % prediction intervals with split conformalized quantile regression (CQR). On unseen cells (three seeds), gradient-boosted trees achieved the lowest error, 4.89 ± 0.19 % SOH RMSE (R² = 0.79), while the convolutional encoders reached 5.78–5.81 %; self-supervised pre-training changed RMSE by −0.08 to +0.13 percentage points across seeds and label budgets, which is within seed variability. CQR delivered 0.895 marginal coverage at the 90 % level, but coverage ranged from 0.81 to 0.91 across datasets. When an entire dataset was held out, no model generalized ($R^2\le0$ in all nine model–dataset pairs) and coverage fell to as low as 0.21. These results indicate that arbitrary partial sessions support coarse SOH estimates with honest, but wide, intervals, and that marginal conformal guarantees do not transfer across datasets without recalibration.</w:t>
      </w:r>
    </w:p>
    <w:p>
      <w:pPr>
        <w:spacing w:before="120" w:after="200"/>
        <w:jc w:val="left"/>
        <w:sectPr>
          <w:type w:val="continuous"/>
          <w:pgSz w:w="12240" w:h="15840"/>
          <w:pgMar w:top="1080" w:bottom="1440" w:left="900" w:right="900" w:header="720" w:footer="720" w:gutter="0"/>
          <w:cols w:num="1" w:space="360"/>
        </w:sectPr>
      </w:pPr>
      <w:r>
        <w:rPr>
          <w:rFonts w:ascii="Times New Roman" w:hAnsi="Times New Roman"/>
          <w:b/>
          <w:i/>
          <w:sz w:val="18"/>
        </w:rPr>
        <w:t>Index Terms—</w:t>
      </w:r>
      <w:r>
        <w:rPr>
          <w:rFonts w:ascii="Times New Roman" w:hAnsi="Times New Roman"/>
          <w:b/>
          <w:sz w:val="18"/>
        </w:rPr>
        <w:t>Conformal prediction, electric vehicles, lithium-ion battery, partial charging, self-supervised learning, state of health, uncertainty quantification.</w:t>
      </w:r>
    </w:p>
    <w:bookmarkStart w:id="17" w:name="i.-introduction"/>
    <w:p>
      <w:pPr>
        <w:pStyle w:val="Heading1"/>
      </w:pPr>
      <w:r>
        <w:rPr>
          <w:rFonts w:ascii="Times New Roman" w:hAnsi="Times New Roman"/>
          <w:b w:val="0"/>
          <w:smallCaps/>
          <w:sz w:val="20"/>
        </w:rPr>
        <w:t xml:space="preserve">I. Introduction</w:t>
      </w:r>
    </w:p>
    <w:p>
      <w:pPr>
        <w:pStyle w:val="FirstParagraph"/>
      </w:pPr>
      <w:r>
        <w:t xml:space="preserve">The traction battery is the most expensive and least observable component of an electric vehicle (EV). Its state of health (SOH), the currently deliverable discharge capacity divided by the rated capacity, determines driving range, resale value and warranty decisions. A capacity test measures SOH directly, but it requires a full, controlled cycle that a vehicle in daily use rarely performs. What a battery management system (BMS) does observe frequently is a</w:t>
      </w:r>
      <w:r>
        <w:t xml:space="preserve"> </w:t>
      </w:r>
      <w:r>
        <w:rPr>
          <w:i/>
          <w:iCs/>
        </w:rPr>
        <w:t xml:space="preserve">partial</w:t>
      </w:r>
      <w:r>
        <w:t xml:space="preserve"> </w:t>
      </w:r>
      <w:r>
        <w:t xml:space="preserve">charging session: the driver plugs in at an arbitrary state of charge (SOC), unplugs at another, and the BMS records the terminal voltage and the charge accumulated in between.</w:t>
      </w:r>
    </w:p>
    <w:p>
      <w:pPr>
        <w:pStyle w:val="BodyText"/>
      </w:pPr>
      <w:r>
        <w:t xml:space="preserve">Partial data carry degradation information. Chinomona</w:t>
      </w:r>
      <w:r>
        <w:t xml:space="preserve"> </w:t>
      </w:r>
      <w:r>
        <w:rPr>
          <w:i/>
          <w:iCs/>
        </w:rPr>
        <w:t xml:space="preserve">et al.</w:t>
      </w:r>
      <w:r>
        <w:t xml:space="preserve"> </w:t>
      </w:r>
      <w:r>
        <w:t xml:space="preserve">[1] estimated capacity from fixed partial voltage windows of four NASA cells and found that a partial-charge window (3.8–4.1 V) gave a larger error (RMSE 0.13054 Ah) than a partial-discharge window (4.0–3.1 V, RMSE 0.06448 Ah). Wang</w:t>
      </w:r>
      <w:r>
        <w:t xml:space="preserve"> </w:t>
      </w:r>
      <w:r>
        <w:rPr>
          <w:i/>
          <w:iCs/>
        </w:rPr>
        <w:t xml:space="preserve">et al.</w:t>
      </w:r>
      <w:r>
        <w:t xml:space="preserve"> </w:t>
      </w:r>
      <w:r>
        <w:t xml:space="preserve">[7] derived an indirect health indicator from the constant-current charging stage, and Tian</w:t>
      </w:r>
      <w:r>
        <w:t xml:space="preserve"> </w:t>
      </w:r>
      <w:r>
        <w:rPr>
          <w:i/>
          <w:iCs/>
        </w:rPr>
        <w:t xml:space="preserve">et al.</w:t>
      </w:r>
      <w:r>
        <w:t xml:space="preserve"> </w:t>
      </w:r>
      <w:r>
        <w:t xml:space="preserve">[13] reconstructed charging curves from 30 points collected within 10 min. Three issues that matter for field use remain under-tested in this line of work: sessions that start and stop at arbitrary points; generalization to unseen cells and unseen datasets, since five of the seven audited studies in Section II evaluate on the same four NASA cells; and uncertainty estimates whose coverage is measured on held-out cells rather than assumed.</w:t>
      </w:r>
    </w:p>
    <w:p>
      <w:pPr>
        <w:pStyle w:val="BodyText"/>
      </w:pPr>
      <w:r>
        <w:t xml:space="preserve">This paper addresses the following question.</w:t>
      </w:r>
      <w:r>
        <w:t xml:space="preserve"> </w:t>
      </w:r>
      <w:r>
        <w:rPr>
          <w:i/>
          <w:iCs/>
        </w:rPr>
        <w:t xml:space="preserve">How accurately, and with what calibrated uncertainty, can SOH be estimated from one partial charging session of arbitrary start and length under cell- and dataset-separated evaluation, and does self-supervised pre-training on unlabelled sessions help?</w:t>
      </w:r>
      <w:r>
        <w:t xml:space="preserve"> </w:t>
      </w:r>
      <w:r>
        <w:t xml:space="preserve">The contributions are:</w:t>
      </w:r>
    </w:p>
    <w:p>
      <w:pPr>
        <w:pStyle w:val="Compact"/>
        <w:numPr>
          <w:ilvl w:val="0"/>
          <w:numId w:val="1001"/>
        </w:numPr>
      </w:pPr>
      <w:r>
        <w:t xml:space="preserve">A leakage-controlled benchmark of 81,073 arbitrary partial sessions from 361 cells of six public datasets and five chemistries, in which inputs are restricted to BMS-observable quantities and every evaluation is separated by cell, with a leave-one-dataset-out protocol.</w:t>
      </w:r>
    </w:p>
    <w:p>
      <w:pPr>
        <w:pStyle w:val="Compact"/>
        <w:numPr>
          <w:ilvl w:val="0"/>
          <w:numId w:val="1001"/>
        </w:numPr>
      </w:pPr>
      <w:r>
        <w:t xml:space="preserve">A controlled comparison of handcrafted-feature models, raw-curve gradient boosting, and a dual-view convolutional encoder with and without self-supervised masked-curve pre-training, under full and 10 % label budgets. The comparison shows that, in this setting, gradient-boosted trees outperform the learned encoders and that pre-training yields no measurable gain.</w:t>
      </w:r>
    </w:p>
    <w:p>
      <w:pPr>
        <w:pStyle w:val="Compact"/>
        <w:numPr>
          <w:ilvl w:val="0"/>
          <w:numId w:val="1001"/>
        </w:numPr>
      </w:pPr>
      <w:r>
        <w:t xml:space="preserve">A measurement of split conformalized quantile regression (CQR) [17] for SOH intervals, showing near-nominal marginal coverage on unseen cells of seen datasets, large per-cell and per-dataset variation, and failure of both accuracy and coverage under dataset shift.</w:t>
      </w:r>
    </w:p>
    <w:p>
      <w:pPr>
        <w:pStyle w:val="FirstParagraph"/>
      </w:pPr>
      <w:r>
        <w:t xml:space="preserve">Closely related self-supervised approaches have recently been proposed [19]–[21], including treating partial charging as natural masking [20]; we therefore evaluate self-supervision as a design choice rather than claim it as new. Physics-constrained long-horizon forecasting [18] and downstream services are outside the evaluated scope. The work is part of the battery-health module of SmartEV, an EV charging and route-planning platform (Fig. 1), but all results reported here are offline evaluations. The evaluated pipeline is summarized in Fig. 2.</w:t>
      </w:r>
    </w:p>
    <w:bookmarkStart w:id="12" w:name="fig1_system_architecture"/>
    <w:p>
      <w:pPr>
        <w:sectPr>
          <w:type w:val="continuous"/>
          <w:pgSz w:w="12240" w:h="15840"/>
          <w:pgMar w:top="1080" w:bottom="1440" w:left="900" w:right="900" w:header="720" w:footer="720" w:gutter="0"/>
          <w:cols w:num="2" w:space="360"/>
        </w:sectPr>
      </w:pPr>
    </w:p>
    <w:p>
      <w:pPr>
        <w:pStyle w:val="CaptionedFigure"/>
      </w:pPr>
      <w:r>
        <w:drawing>
          <wp:inline>
            <wp:extent cx="6400800" cy="3971891"/>
            <wp:effectExtent b="0" l="0" r="0" t="0"/>
            <wp:docPr descr="Fig. 1. SmartEV system architecture. Solid boxes are implemented components; the dashed box is the battery-health module evaluated offline in this paper and proposed for integration." title="" id="10" name="Picture"/>
            <a:graphic>
              <a:graphicData uri="http://schemas.openxmlformats.org/drawingml/2006/picture">
                <pic:pic>
                  <pic:nvPicPr>
                    <pic:cNvPr descr="../figures/fig1_system_architecture.png" id="11" name="Picture"/>
                    <pic:cNvPicPr>
                      <a:picLocks noChangeArrowheads="1" noChangeAspect="1"/>
                    </pic:cNvPicPr>
                  </pic:nvPicPr>
                  <pic:blipFill>
                    <a:blip r:embed="rId9"/>
                    <a:stretch>
                      <a:fillRect/>
                    </a:stretch>
                  </pic:blipFill>
                  <pic:spPr bwMode="auto">
                    <a:xfrm>
                      <a:off x="0" y="0"/>
                      <a:ext cx="6400800" cy="3971891"/>
                    </a:xfrm>
                    <a:prstGeom prst="rect">
                      <a:avLst/>
                    </a:prstGeom>
                    <a:noFill/>
                    <a:ln w="9525">
                      <a:noFill/>
                      <a:headEnd/>
                      <a:tailEnd/>
                    </a:ln>
                  </pic:spPr>
                </pic:pic>
              </a:graphicData>
            </a:graphic>
          </wp:inline>
        </w:drawing>
      </w:r>
    </w:p>
    <w:p>
      <w:pPr>
        <w:pStyle w:val="ImageCaption"/>
      </w:pPr>
      <w:r>
        <w:t xml:space="preserve">Fig. 1. SmartEV system architecture. Solid boxes are implemented components; the dashed box is the battery-health module evaluated offline in this paper and proposed for integration.</w:t>
      </w:r>
    </w:p>
    <w:p>
      <w:pPr>
        <w:sectPr>
          <w:type w:val="continuous"/>
          <w:pgSz w:w="12240" w:h="15840"/>
          <w:pgMar w:top="1080" w:bottom="1440" w:left="900" w:right="900" w:header="720" w:footer="720" w:gutter="0"/>
          <w:cols w:num="1" w:space="360"/>
        </w:sectPr>
      </w:pPr>
    </w:p>
    <w:bookmarkEnd w:id="12"/>
    <w:bookmarkStart w:id="16" w:name="fig2_research_framework"/>
    <w:p>
      <w:pPr>
        <w:sectPr>
          <w:type w:val="continuous"/>
          <w:pgSz w:w="12240" w:h="15840"/>
          <w:pgMar w:top="1080" w:bottom="1440" w:left="900" w:right="900" w:header="720" w:footer="720" w:gutter="0"/>
          <w:cols w:num="2" w:space="360"/>
        </w:sectPr>
      </w:pPr>
    </w:p>
    <w:p>
      <w:pPr>
        <w:pStyle w:val="CaptionedFigure"/>
      </w:pPr>
      <w:r>
        <w:drawing>
          <wp:inline>
            <wp:extent cx="6400800" cy="1838291"/>
            <wp:effectExtent b="0" l="0" r="0" t="0"/>
            <wp:docPr descr="Fig. 2. Research framework evaluated in this paper: data harmonization, arbitrary partial-session construction, self-supervised masked-curve pre-training, quantile SOH head, split CQR calibration, and cell- and dataset-separated evaluation (conceptual diagram)." title="" id="14" name="Picture"/>
            <a:graphic>
              <a:graphicData uri="http://schemas.openxmlformats.org/drawingml/2006/picture">
                <pic:pic>
                  <pic:nvPicPr>
                    <pic:cNvPr descr="../figures/fig2_research_framework.png" id="15" name="Picture"/>
                    <pic:cNvPicPr>
                      <a:picLocks noChangeArrowheads="1" noChangeAspect="1"/>
                    </pic:cNvPicPr>
                  </pic:nvPicPr>
                  <pic:blipFill>
                    <a:blip r:embed="rId13"/>
                    <a:stretch>
                      <a:fillRect/>
                    </a:stretch>
                  </pic:blipFill>
                  <pic:spPr bwMode="auto">
                    <a:xfrm>
                      <a:off x="0" y="0"/>
                      <a:ext cx="6400800" cy="1838291"/>
                    </a:xfrm>
                    <a:prstGeom prst="rect">
                      <a:avLst/>
                    </a:prstGeom>
                    <a:noFill/>
                    <a:ln w="9525">
                      <a:noFill/>
                      <a:headEnd/>
                      <a:tailEnd/>
                    </a:ln>
                  </pic:spPr>
                </pic:pic>
              </a:graphicData>
            </a:graphic>
          </wp:inline>
        </w:drawing>
      </w:r>
    </w:p>
    <w:p>
      <w:pPr>
        <w:pStyle w:val="ImageCaption"/>
      </w:pPr>
      <w:r>
        <w:t xml:space="preserve">Fig. 2. Research framework evaluated in this paper: data harmonization, arbitrary partial-session construction, self-supervised masked-curve pre-training, quantile SOH head, split CQR calibration, and cell- and dataset-separated evaluation (conceptual diagram).</w:t>
      </w:r>
    </w:p>
    <w:p>
      <w:pPr>
        <w:sectPr>
          <w:type w:val="continuous"/>
          <w:pgSz w:w="12240" w:h="15840"/>
          <w:pgMar w:top="1080" w:bottom="1440" w:left="900" w:right="900" w:header="720" w:footer="720" w:gutter="0"/>
          <w:cols w:num="1" w:space="360"/>
        </w:sectPr>
      </w:pPr>
    </w:p>
    <w:bookmarkEnd w:id="16"/>
    <w:bookmarkEnd w:id="17"/>
    <w:bookmarkStart w:id="18" w:name="ii.-related-work"/>
    <w:p>
      <w:pPr>
        <w:pStyle w:val="Heading1"/>
      </w:pPr>
      <w:r>
        <w:rPr>
          <w:rFonts w:ascii="Times New Roman" w:hAnsi="Times New Roman"/>
          <w:b w:val="0"/>
          <w:smallCaps/>
          <w:sz w:val="20"/>
        </w:rPr>
        <w:t xml:space="preserve">II. Related Work</w:t>
      </w:r>
    </w:p>
    <w:p>
      <w:pPr>
        <w:pStyle w:val="FirstParagraph"/>
      </w:pPr>
      <w:r>
        <w:t xml:space="preserve">Table I summarizes the studies whose bibliographic data and key results were verified for this paper. Metrics are quoted as reported; because targets (capacity in Ah, SOH, normalized health indicators, RUL in cycles), datasets and protocols differ, they are not comparable with each other or with our results.</w:t>
      </w:r>
    </w:p>
    <w:p>
      <w:pPr>
        <w:pStyle w:val="TableCaption"/>
        <w:keepNext/>
        <w:ind w:firstLine="0"/>
        <w:jc w:val="center"/>
      </w:pPr>
      <w:r>
        <w:rPr>
          <w:rFonts w:ascii="Times New Roman" w:hAnsi="Times New Roman"/>
          <w:smallCaps w:val="0"/>
          <w:sz w:val="16"/>
        </w:rPr>
        <w:t xml:space="preserve">TABLE I</w:t>
      </w:r>
    </w:p>
    <w:p>
      <w:pPr>
        <w:pStyle w:val="TableCaption"/>
      </w:pPr>
      <w:r>
        <w:t xml:space="preserve">VERIFIED LITERATURE COMPARISON (METRICS AS REPORTED BY THE AUTHORS)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1320"/>
        <w:gridCol w:w="1320"/>
        <w:gridCol w:w="1320"/>
        <w:gridCol w:w="1320"/>
        <w:gridCol w:w="1320"/>
        <w:gridCol w:w="1320"/>
      </w:tblGrid>
      <w:tr>
        <w:trPr>
          <w:tblHeader w:val="on"/>
        </w:trPr>
        <w:tc>
          <w:tcPr/>
          <w:p>
            <w:pPr>
              <w:pStyle w:val="Compact"/>
              <w:ind w:firstLine="0"/>
              <w:jc w:val="left"/>
            </w:pPr>
            <w:r>
              <w:rPr>
                <w:rFonts w:ascii="Times New Roman" w:hAnsi="Times New Roman"/>
                <w:b/>
                <w:sz w:val="15"/>
              </w:rPr>
              <w:t xml:space="preserve">Ref.</w:t>
            </w:r>
          </w:p>
        </w:tc>
        <w:tc>
          <w:tcPr/>
          <w:p>
            <w:pPr>
              <w:pStyle w:val="Compact"/>
              <w:ind w:firstLine="0"/>
              <w:jc w:val="left"/>
            </w:pPr>
            <w:r>
              <w:rPr>
                <w:rFonts w:ascii="Times New Roman" w:hAnsi="Times New Roman"/>
                <w:b/>
                <w:sz w:val="15"/>
              </w:rPr>
              <w:t xml:space="preserve">Dataset (cells)</w:t>
            </w:r>
          </w:p>
        </w:tc>
        <w:tc>
          <w:tcPr/>
          <w:p>
            <w:pPr>
              <w:pStyle w:val="Compact"/>
              <w:ind w:firstLine="0"/>
              <w:jc w:val="left"/>
            </w:pPr>
            <w:r>
              <w:rPr>
                <w:rFonts w:ascii="Times New Roman" w:hAnsi="Times New Roman"/>
                <w:b/>
                <w:sz w:val="15"/>
              </w:rPr>
              <w:t xml:space="preserve">Target</w:t>
            </w:r>
          </w:p>
        </w:tc>
        <w:tc>
          <w:tcPr/>
          <w:p>
            <w:pPr>
              <w:pStyle w:val="Compact"/>
              <w:ind w:firstLine="0"/>
              <w:jc w:val="left"/>
            </w:pPr>
            <w:r>
              <w:rPr>
                <w:rFonts w:ascii="Times New Roman" w:hAnsi="Times New Roman"/>
                <w:b/>
                <w:sz w:val="15"/>
              </w:rPr>
              <w:t xml:space="preserve">Method</w:t>
            </w:r>
          </w:p>
        </w:tc>
        <w:tc>
          <w:tcPr/>
          <w:p>
            <w:pPr>
              <w:pStyle w:val="Compact"/>
              <w:ind w:firstLine="0"/>
              <w:jc w:val="left"/>
            </w:pPr>
            <w:r>
              <w:rPr>
                <w:rFonts w:ascii="Times New Roman" w:hAnsi="Times New Roman"/>
                <w:b/>
                <w:sz w:val="15"/>
              </w:rPr>
              <w:t xml:space="preserve">Reported result</w:t>
            </w:r>
          </w:p>
        </w:tc>
        <w:tc>
          <w:tcPr/>
          <w:p>
            <w:pPr>
              <w:pStyle w:val="Compact"/>
              <w:ind w:firstLine="0"/>
              <w:jc w:val="left"/>
            </w:pPr>
            <w:r>
              <w:rPr>
                <w:rFonts w:ascii="Times New Roman" w:hAnsi="Times New Roman"/>
                <w:b/>
                <w:sz w:val="15"/>
              </w:rPr>
              <w:t xml:space="preserve">Limitation for this study</w:t>
            </w:r>
          </w:p>
        </w:tc>
      </w:tr>
      <w:tr>
        <w:tc>
          <w:tcPr/>
          <w:p>
            <w:pPr>
              <w:pStyle w:val="Compact"/>
              <w:ind w:firstLine="0"/>
              <w:jc w:val="left"/>
            </w:pPr>
            <w:r>
              <w:rPr>
                <w:rFonts w:ascii="Times New Roman" w:hAnsi="Times New Roman"/>
                <w:sz w:val="15"/>
              </w:rPr>
              <w:t xml:space="preserve">[1]</w:t>
            </w:r>
          </w:p>
        </w:tc>
        <w:tc>
          <w:tcPr/>
          <w:p>
            <w:pPr>
              <w:pStyle w:val="Compact"/>
              <w:ind w:firstLine="0"/>
              <w:jc w:val="left"/>
            </w:pPr>
            <w:r>
              <w:rPr>
                <w:rFonts w:ascii="Times New Roman" w:hAnsi="Times New Roman"/>
                <w:sz w:val="15"/>
              </w:rPr>
              <w:t xml:space="preserve">NASA B5, B6, B7, B18</w:t>
            </w:r>
          </w:p>
        </w:tc>
        <w:tc>
          <w:tcPr/>
          <w:p>
            <w:pPr>
              <w:pStyle w:val="Compact"/>
              <w:ind w:firstLine="0"/>
              <w:jc w:val="left"/>
            </w:pPr>
            <w:r>
              <w:rPr>
                <w:rFonts w:ascii="Times New Roman" w:hAnsi="Times New Roman"/>
                <w:sz w:val="15"/>
              </w:rPr>
              <w:t xml:space="preserve">Capacity, RUL</w:t>
            </w:r>
          </w:p>
        </w:tc>
        <w:tc>
          <w:tcPr/>
          <w:p>
            <w:pPr>
              <w:pStyle w:val="Compact"/>
              <w:ind w:firstLine="0"/>
              <w:jc w:val="left"/>
            </w:pPr>
            <w:r>
              <w:rPr>
                <w:rFonts w:ascii="Times New Roman" w:hAnsi="Times New Roman"/>
                <w:sz w:val="15"/>
              </w:rPr>
              <w:t xml:space="preserve">Feature selection + LSTM</w:t>
            </w:r>
          </w:p>
        </w:tc>
        <w:tc>
          <w:tcPr/>
          <w:p>
            <w:pPr>
              <w:pStyle w:val="Compact"/>
              <w:ind w:firstLine="0"/>
              <w:jc w:val="left"/>
            </w:pPr>
            <w:r>
              <w:rPr>
                <w:rFonts w:ascii="Times New Roman" w:hAnsi="Times New Roman"/>
                <w:sz w:val="15"/>
              </w:rPr>
              <w:t xml:space="preserve">Partial charge 3.8–4.1 V: RMSE 0.13054 Ah</w:t>
            </w:r>
          </w:p>
        </w:tc>
        <w:tc>
          <w:tcPr/>
          <w:p>
            <w:pPr>
              <w:pStyle w:val="Compact"/>
              <w:ind w:firstLine="0"/>
              <w:jc w:val="left"/>
            </w:pPr>
            <w:r>
              <w:rPr>
                <w:rFonts w:ascii="Times New Roman" w:hAnsi="Times New Roman"/>
                <w:sz w:val="15"/>
              </w:rPr>
              <w:t xml:space="preserve">Fixed windows tuned on one cell; no intervals</w:t>
            </w:r>
          </w:p>
        </w:tc>
      </w:tr>
      <w:tr>
        <w:tc>
          <w:tcPr/>
          <w:p>
            <w:pPr>
              <w:pStyle w:val="Compact"/>
              <w:ind w:firstLine="0"/>
              <w:jc w:val="left"/>
            </w:pPr>
            <w:r>
              <w:rPr>
                <w:rFonts w:ascii="Times New Roman" w:hAnsi="Times New Roman"/>
                <w:sz w:val="15"/>
              </w:rPr>
              <w:t xml:space="preserve">[2]</w:t>
            </w:r>
          </w:p>
        </w:tc>
        <w:tc>
          <w:tcPr/>
          <w:p>
            <w:pPr>
              <w:pStyle w:val="Compact"/>
              <w:ind w:firstLine="0"/>
              <w:jc w:val="left"/>
            </w:pPr>
            <w:r>
              <w:rPr>
                <w:rFonts w:ascii="Times New Roman" w:hAnsi="Times New Roman"/>
                <w:sz w:val="15"/>
              </w:rPr>
              <w:t xml:space="preserve">MIT-Stanford (124), Tongji (57)</w:t>
            </w:r>
          </w:p>
        </w:tc>
        <w:tc>
          <w:tcPr/>
          <w:p>
            <w:pPr>
              <w:pStyle w:val="Compact"/>
              <w:ind w:firstLine="0"/>
              <w:jc w:val="left"/>
            </w:pPr>
            <w:r>
              <w:rPr>
                <w:rFonts w:ascii="Times New Roman" w:hAnsi="Times New Roman"/>
                <w:sz w:val="15"/>
              </w:rPr>
              <w:t xml:space="preserve">Early RUL</w:t>
            </w:r>
          </w:p>
        </w:tc>
        <w:tc>
          <w:tcPr/>
          <w:p>
            <w:pPr>
              <w:pStyle w:val="Compact"/>
              <w:ind w:firstLine="0"/>
              <w:jc w:val="left"/>
            </w:pPr>
            <w:r>
              <w:rPr>
                <w:rFonts w:ascii="Times New Roman" w:hAnsi="Times New Roman"/>
                <w:sz w:val="15"/>
              </w:rPr>
              <w:t xml:space="preserve">Lebesgue sampling + parallel-state LSTM</w:t>
            </w:r>
          </w:p>
        </w:tc>
        <w:tc>
          <w:tcPr/>
          <w:p>
            <w:pPr>
              <w:pStyle w:val="Compact"/>
              <w:ind w:firstLine="0"/>
              <w:jc w:val="left"/>
            </w:pPr>
            <w:r>
              <w:rPr>
                <w:rFonts w:ascii="Times New Roman" w:hAnsi="Times New Roman"/>
                <w:sz w:val="15"/>
              </w:rPr>
              <w:t xml:space="preserve">APE 3.59 % / 6.71 % at cycle 100</w:t>
            </w:r>
          </w:p>
        </w:tc>
        <w:tc>
          <w:tcPr/>
          <w:p>
            <w:pPr>
              <w:pStyle w:val="Compact"/>
              <w:ind w:firstLine="0"/>
              <w:jc w:val="left"/>
            </w:pPr>
            <w:r>
              <w:rPr>
                <w:rFonts w:ascii="Times New Roman" w:hAnsi="Times New Roman"/>
                <w:sz w:val="15"/>
              </w:rPr>
              <w:t xml:space="preserve">Needs a run-to-failure library; no intervals</w:t>
            </w:r>
          </w:p>
        </w:tc>
      </w:tr>
      <w:tr>
        <w:tc>
          <w:tcPr/>
          <w:p>
            <w:pPr>
              <w:pStyle w:val="Compact"/>
              <w:ind w:firstLine="0"/>
              <w:jc w:val="left"/>
            </w:pPr>
            <w:r>
              <w:rPr>
                <w:rFonts w:ascii="Times New Roman" w:hAnsi="Times New Roman"/>
                <w:sz w:val="15"/>
              </w:rPr>
              <w:t xml:space="preserve">[3]</w:t>
            </w:r>
          </w:p>
        </w:tc>
        <w:tc>
          <w:tcPr/>
          <w:p>
            <w:pPr>
              <w:pStyle w:val="Compact"/>
              <w:ind w:firstLine="0"/>
              <w:jc w:val="left"/>
            </w:pPr>
            <w:r>
              <w:rPr>
                <w:rFonts w:ascii="Times New Roman" w:hAnsi="Times New Roman"/>
                <w:sz w:val="15"/>
              </w:rPr>
              <w:t xml:space="preserve">NASA (6), CALCE CS2</w:t>
            </w:r>
          </w:p>
        </w:tc>
        <w:tc>
          <w:tcPr/>
          <w:p>
            <w:pPr>
              <w:pStyle w:val="Compact"/>
              <w:ind w:firstLine="0"/>
              <w:jc w:val="left"/>
            </w:pPr>
            <w:r>
              <w:rPr>
                <w:rFonts w:ascii="Times New Roman" w:hAnsi="Times New Roman"/>
                <w:sz w:val="15"/>
              </w:rPr>
              <w:t xml:space="preserve">Capacity, RUL</w:t>
            </w:r>
          </w:p>
        </w:tc>
        <w:tc>
          <w:tcPr/>
          <w:p>
            <w:pPr>
              <w:pStyle w:val="Compact"/>
              <w:ind w:firstLine="0"/>
              <w:jc w:val="left"/>
            </w:pPr>
            <w:r>
              <w:rPr>
                <w:rFonts w:ascii="Times New Roman" w:hAnsi="Times New Roman"/>
                <w:sz w:val="15"/>
              </w:rPr>
              <w:t xml:space="preserve">LSTM + GPR</w:t>
            </w:r>
          </w:p>
        </w:tc>
        <w:tc>
          <w:tcPr/>
          <w:p>
            <w:pPr>
              <w:pStyle w:val="Compact"/>
              <w:ind w:firstLine="0"/>
              <w:jc w:val="left"/>
            </w:pPr>
            <w:r>
              <w:rPr>
                <w:rFonts w:ascii="Times New Roman" w:hAnsi="Times New Roman"/>
                <w:sz w:val="15"/>
              </w:rPr>
              <w:t xml:space="preserve">Capacity RMSE 0.0032</w:t>
            </w:r>
          </w:p>
        </w:tc>
        <w:tc>
          <w:tcPr/>
          <w:p>
            <w:pPr>
              <w:pStyle w:val="Compact"/>
              <w:ind w:firstLine="0"/>
              <w:jc w:val="left"/>
            </w:pPr>
            <w:r>
              <w:rPr>
                <w:rFonts w:ascii="Times New Roman" w:hAnsi="Times New Roman"/>
                <w:sz w:val="15"/>
              </w:rPr>
              <w:t xml:space="preserve">Full capacity series; Gaussian residuals</w:t>
            </w:r>
          </w:p>
        </w:tc>
      </w:tr>
      <w:tr>
        <w:tc>
          <w:tcPr/>
          <w:p>
            <w:pPr>
              <w:pStyle w:val="Compact"/>
              <w:ind w:firstLine="0"/>
              <w:jc w:val="left"/>
            </w:pPr>
            <w:r>
              <w:rPr>
                <w:rFonts w:ascii="Times New Roman" w:hAnsi="Times New Roman"/>
                <w:sz w:val="15"/>
              </w:rPr>
              <w:t xml:space="preserve">[4]</w:t>
            </w:r>
          </w:p>
        </w:tc>
        <w:tc>
          <w:tcPr/>
          <w:p>
            <w:pPr>
              <w:pStyle w:val="Compact"/>
              <w:ind w:firstLine="0"/>
              <w:jc w:val="left"/>
            </w:pPr>
            <w:r>
              <w:rPr>
                <w:rFonts w:ascii="Times New Roman" w:hAnsi="Times New Roman"/>
                <w:sz w:val="15"/>
              </w:rPr>
              <w:t xml:space="preserve">NASA random walk + B5–B18</w:t>
            </w:r>
          </w:p>
        </w:tc>
        <w:tc>
          <w:tcPr/>
          <w:p>
            <w:pPr>
              <w:pStyle w:val="Compact"/>
              <w:ind w:firstLine="0"/>
              <w:jc w:val="left"/>
            </w:pPr>
            <w:r>
              <w:rPr>
                <w:rFonts w:ascii="Times New Roman" w:hAnsi="Times New Roman"/>
                <w:sz w:val="15"/>
              </w:rPr>
              <w:t xml:space="preserve">RUL</w:t>
            </w:r>
          </w:p>
        </w:tc>
        <w:tc>
          <w:tcPr/>
          <w:p>
            <w:pPr>
              <w:pStyle w:val="Compact"/>
              <w:ind w:firstLine="0"/>
              <w:jc w:val="left"/>
            </w:pPr>
            <w:r>
              <w:rPr>
                <w:rFonts w:ascii="Times New Roman" w:hAnsi="Times New Roman"/>
                <w:sz w:val="15"/>
              </w:rPr>
              <w:t xml:space="preserve">DGWO-ELM</w:t>
            </w:r>
          </w:p>
        </w:tc>
        <w:tc>
          <w:tcPr/>
          <w:p>
            <w:pPr>
              <w:pStyle w:val="Compact"/>
              <w:ind w:firstLine="0"/>
              <w:jc w:val="left"/>
            </w:pPr>
            <w:r>
              <w:rPr>
                <w:rFonts w:ascii="Times New Roman" w:hAnsi="Times New Roman"/>
                <w:sz w:val="15"/>
              </w:rPr>
              <w:t xml:space="preserve">Relative RUL error &lt; 3.2 %*</w:t>
            </w:r>
          </w:p>
        </w:tc>
        <w:tc>
          <w:tcPr/>
          <w:p>
            <w:pPr>
              <w:pStyle w:val="Compact"/>
              <w:ind w:firstLine="0"/>
              <w:jc w:val="left"/>
            </w:pPr>
            <w:r>
              <w:rPr>
                <w:rFonts w:ascii="Times New Roman" w:hAnsi="Times New Roman"/>
                <w:sz w:val="15"/>
              </w:rPr>
              <w:t xml:space="preserve">CC-CV charging; no intervals</w:t>
            </w:r>
          </w:p>
        </w:tc>
      </w:tr>
      <w:tr>
        <w:tc>
          <w:tcPr/>
          <w:p>
            <w:pPr>
              <w:pStyle w:val="Compact"/>
              <w:ind w:firstLine="0"/>
              <w:jc w:val="left"/>
            </w:pPr>
            <w:r>
              <w:rPr>
                <w:rFonts w:ascii="Times New Roman" w:hAnsi="Times New Roman"/>
                <w:sz w:val="15"/>
              </w:rPr>
              <w:t xml:space="preserve">[5]</w:t>
            </w:r>
          </w:p>
        </w:tc>
        <w:tc>
          <w:tcPr/>
          <w:p>
            <w:pPr>
              <w:pStyle w:val="Compact"/>
              <w:ind w:firstLine="0"/>
              <w:jc w:val="left"/>
            </w:pPr>
            <w:r>
              <w:rPr>
                <w:rFonts w:ascii="Times New Roman" w:hAnsi="Times New Roman"/>
                <w:sz w:val="15"/>
              </w:rPr>
              <w:t xml:space="preserve">NASA B5, B6, B7, B18</w:t>
            </w:r>
          </w:p>
        </w:tc>
        <w:tc>
          <w:tcPr/>
          <w:p>
            <w:pPr>
              <w:pStyle w:val="Compact"/>
              <w:ind w:firstLine="0"/>
              <w:jc w:val="left"/>
            </w:pPr>
            <w:r>
              <w:rPr>
                <w:rFonts w:ascii="Times New Roman" w:hAnsi="Times New Roman"/>
                <w:sz w:val="15"/>
              </w:rPr>
              <w:t xml:space="preserve">Capacity, RUL</w:t>
            </w:r>
          </w:p>
        </w:tc>
        <w:tc>
          <w:tcPr/>
          <w:p>
            <w:pPr>
              <w:pStyle w:val="Compact"/>
              <w:ind w:firstLine="0"/>
              <w:jc w:val="left"/>
            </w:pPr>
            <w:r>
              <w:rPr>
                <w:rFonts w:ascii="Times New Roman" w:hAnsi="Times New Roman"/>
                <w:sz w:val="15"/>
              </w:rPr>
              <w:t xml:space="preserve">Multi-scale CNN + attention LSTM + MC dropout</w:t>
            </w:r>
          </w:p>
        </w:tc>
        <w:tc>
          <w:tcPr/>
          <w:p>
            <w:pPr>
              <w:pStyle w:val="Compact"/>
              <w:ind w:firstLine="0"/>
              <w:jc w:val="left"/>
            </w:pPr>
            <w:r>
              <w:rPr>
                <w:rFonts w:ascii="Times New Roman" w:hAnsi="Times New Roman"/>
                <w:sz w:val="15"/>
              </w:rPr>
              <w:t xml:space="preserve">Capacity RMSE 0.0045–0.0112</w:t>
            </w:r>
          </w:p>
        </w:tc>
        <w:tc>
          <w:tcPr/>
          <w:p>
            <w:pPr>
              <w:pStyle w:val="Compact"/>
              <w:ind w:firstLine="0"/>
              <w:jc w:val="left"/>
            </w:pPr>
            <w:r>
              <w:rPr>
                <w:rFonts w:ascii="Times New Roman" w:hAnsi="Times New Roman"/>
                <w:sz w:val="15"/>
              </w:rPr>
              <w:t xml:space="preserve">Four cells; dropout intervals uncalibrated</w:t>
            </w:r>
          </w:p>
        </w:tc>
      </w:tr>
      <w:tr>
        <w:tc>
          <w:tcPr/>
          <w:p>
            <w:pPr>
              <w:pStyle w:val="Compact"/>
              <w:ind w:firstLine="0"/>
              <w:jc w:val="left"/>
            </w:pPr>
            <w:r>
              <w:rPr>
                <w:rFonts w:ascii="Times New Roman" w:hAnsi="Times New Roman"/>
                <w:sz w:val="15"/>
              </w:rPr>
              <w:t xml:space="preserve">[6]</w:t>
            </w:r>
          </w:p>
        </w:tc>
        <w:tc>
          <w:tcPr/>
          <w:p>
            <w:pPr>
              <w:pStyle w:val="Compact"/>
              <w:ind w:firstLine="0"/>
              <w:jc w:val="left"/>
            </w:pPr>
            <w:r>
              <w:rPr>
                <w:rFonts w:ascii="Times New Roman" w:hAnsi="Times New Roman"/>
                <w:sz w:val="15"/>
              </w:rPr>
              <w:t xml:space="preserve">NASA B5, B6, B7, B18</w:t>
            </w:r>
          </w:p>
        </w:tc>
        <w:tc>
          <w:tcPr/>
          <w:p>
            <w:pPr>
              <w:pStyle w:val="Compact"/>
              <w:ind w:firstLine="0"/>
              <w:jc w:val="left"/>
            </w:pPr>
            <w:r>
              <w:rPr>
                <w:rFonts w:ascii="Times New Roman" w:hAnsi="Times New Roman"/>
                <w:sz w:val="15"/>
              </w:rPr>
              <w:t xml:space="preserve">SOH, RUL</w:t>
            </w:r>
          </w:p>
        </w:tc>
        <w:tc>
          <w:tcPr/>
          <w:p>
            <w:pPr>
              <w:pStyle w:val="Compact"/>
              <w:ind w:firstLine="0"/>
              <w:jc w:val="left"/>
            </w:pPr>
            <w:r>
              <w:rPr>
                <w:rFonts w:ascii="Times New Roman" w:hAnsi="Times New Roman"/>
                <w:sz w:val="15"/>
              </w:rPr>
              <w:t xml:space="preserve">Entropy-graph GCN + LSTM + attention</w:t>
            </w:r>
          </w:p>
        </w:tc>
        <w:tc>
          <w:tcPr/>
          <w:p>
            <w:pPr>
              <w:pStyle w:val="Compact"/>
              <w:ind w:firstLine="0"/>
              <w:jc w:val="left"/>
            </w:pPr>
            <w:r>
              <w:rPr>
                <w:rFonts w:ascii="Times New Roman" w:hAnsi="Times New Roman"/>
                <w:sz w:val="15"/>
              </w:rPr>
              <w:t xml:space="preserve">Mean SOH RMSE 0.0154*</w:t>
            </w:r>
          </w:p>
        </w:tc>
        <w:tc>
          <w:tcPr/>
          <w:p>
            <w:pPr>
              <w:pStyle w:val="Compact"/>
              <w:ind w:firstLine="0"/>
              <w:jc w:val="left"/>
            </w:pPr>
            <w:r>
              <w:rPr>
                <w:rFonts w:ascii="Times New Roman" w:hAnsi="Times New Roman"/>
                <w:sz w:val="15"/>
              </w:rPr>
              <w:t xml:space="preserve">Four cells, one chemistry</w:t>
            </w:r>
          </w:p>
        </w:tc>
      </w:tr>
      <w:tr>
        <w:tc>
          <w:tcPr/>
          <w:p>
            <w:pPr>
              <w:pStyle w:val="Compact"/>
              <w:ind w:firstLine="0"/>
              <w:jc w:val="left"/>
            </w:pPr>
            <w:r>
              <w:rPr>
                <w:rFonts w:ascii="Times New Roman" w:hAnsi="Times New Roman"/>
                <w:sz w:val="15"/>
              </w:rPr>
              <w:t xml:space="preserve">[7]</w:t>
            </w:r>
          </w:p>
        </w:tc>
        <w:tc>
          <w:tcPr/>
          <w:p>
            <w:pPr>
              <w:pStyle w:val="Compact"/>
              <w:ind w:firstLine="0"/>
              <w:jc w:val="left"/>
            </w:pPr>
            <w:r>
              <w:rPr>
                <w:rFonts w:ascii="Times New Roman" w:hAnsi="Times New Roman"/>
                <w:sz w:val="15"/>
              </w:rPr>
              <w:t xml:space="preserve">NASA B5, B6, B7, B18</w:t>
            </w:r>
          </w:p>
        </w:tc>
        <w:tc>
          <w:tcPr/>
          <w:p>
            <w:pPr>
              <w:pStyle w:val="Compact"/>
              <w:ind w:firstLine="0"/>
              <w:jc w:val="left"/>
            </w:pPr>
            <w:r>
              <w:rPr>
                <w:rFonts w:ascii="Times New Roman" w:hAnsi="Times New Roman"/>
                <w:sz w:val="15"/>
              </w:rPr>
              <w:t xml:space="preserve">Health indicator, RUL</w:t>
            </w:r>
          </w:p>
        </w:tc>
        <w:tc>
          <w:tcPr/>
          <w:p>
            <w:pPr>
              <w:pStyle w:val="Compact"/>
              <w:ind w:firstLine="0"/>
              <w:jc w:val="left"/>
            </w:pPr>
            <w:r>
              <w:rPr>
                <w:rFonts w:ascii="Times New Roman" w:hAnsi="Times New Roman"/>
                <w:sz w:val="15"/>
              </w:rPr>
              <w:t xml:space="preserve">LTSA indicator + self-attention LSTM</w:t>
            </w:r>
          </w:p>
        </w:tc>
        <w:tc>
          <w:tcPr/>
          <w:p>
            <w:pPr>
              <w:pStyle w:val="Compact"/>
              <w:ind w:firstLine="0"/>
              <w:jc w:val="left"/>
            </w:pPr>
            <w:r>
              <w:rPr>
                <w:rFonts w:ascii="Times New Roman" w:hAnsi="Times New Roman"/>
                <w:sz w:val="15"/>
              </w:rPr>
              <w:t xml:space="preserve">HI RMSE 0.020–0.024</w:t>
            </w:r>
          </w:p>
        </w:tc>
        <w:tc>
          <w:tcPr/>
          <w:p>
            <w:pPr>
              <w:pStyle w:val="Compact"/>
              <w:ind w:firstLine="0"/>
              <w:jc w:val="left"/>
            </w:pPr>
            <w:r>
              <w:rPr>
                <w:rFonts w:ascii="Times New Roman" w:hAnsi="Times New Roman"/>
                <w:sz w:val="15"/>
              </w:rPr>
              <w:t xml:space="preserve">Needs a full CC charging stage</w:t>
            </w:r>
          </w:p>
        </w:tc>
      </w:tr>
      <w:tr>
        <w:tc>
          <w:tcPr/>
          <w:p>
            <w:pPr>
              <w:pStyle w:val="Compact"/>
              <w:ind w:firstLine="0"/>
              <w:jc w:val="left"/>
            </w:pPr>
            <w:r>
              <w:rPr>
                <w:rFonts w:ascii="Times New Roman" w:hAnsi="Times New Roman"/>
                <w:sz w:val="15"/>
              </w:rPr>
              <w:t xml:space="preserve">[8]</w:t>
            </w:r>
          </w:p>
        </w:tc>
        <w:tc>
          <w:tcPr/>
          <w:p>
            <w:pPr>
              <w:pStyle w:val="Compact"/>
              <w:ind w:firstLine="0"/>
              <w:jc w:val="left"/>
            </w:pPr>
            <w:r>
              <w:rPr>
                <w:rFonts w:ascii="Times New Roman" w:hAnsi="Times New Roman"/>
                <w:sz w:val="15"/>
              </w:rPr>
              <w:t xml:space="preserve">MIT-Stanford (124 LFP)</w:t>
            </w:r>
          </w:p>
        </w:tc>
        <w:tc>
          <w:tcPr/>
          <w:p>
            <w:pPr>
              <w:pStyle w:val="Compact"/>
              <w:ind w:firstLine="0"/>
              <w:jc w:val="left"/>
            </w:pPr>
            <w:r>
              <w:rPr>
                <w:rFonts w:ascii="Times New Roman" w:hAnsi="Times New Roman"/>
                <w:sz w:val="15"/>
              </w:rPr>
              <w:t xml:space="preserve">Cycle life</w:t>
            </w:r>
          </w:p>
        </w:tc>
        <w:tc>
          <w:tcPr/>
          <w:p>
            <w:pPr>
              <w:pStyle w:val="Compact"/>
              <w:ind w:firstLine="0"/>
              <w:jc w:val="left"/>
            </w:pPr>
            <w:r>
              <w:rPr>
                <w:rFonts w:ascii="Times New Roman" w:hAnsi="Times New Roman"/>
                <w:sz w:val="15"/>
              </w:rPr>
              <w:t xml:space="preserve">ΔQ(V) features + elastic net</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Full early-life cycles</w:t>
            </w:r>
          </w:p>
        </w:tc>
      </w:tr>
      <w:tr>
        <w:tc>
          <w:tcPr/>
          <w:p>
            <w:pPr>
              <w:pStyle w:val="Compact"/>
              <w:ind w:firstLine="0"/>
              <w:jc w:val="left"/>
            </w:pPr>
            <w:r>
              <w:rPr>
                <w:rFonts w:ascii="Times New Roman" w:hAnsi="Times New Roman"/>
                <w:sz w:val="15"/>
              </w:rPr>
              <w:t xml:space="preserve">[20]</w:t>
            </w:r>
          </w:p>
        </w:tc>
        <w:tc>
          <w:tcPr/>
          <w:p>
            <w:pPr>
              <w:pStyle w:val="Compact"/>
              <w:ind w:firstLine="0"/>
              <w:jc w:val="left"/>
            </w:pPr>
            <w:r>
              <w:rPr>
                <w:rFonts w:ascii="Times New Roman" w:hAnsi="Times New Roman"/>
                <w:sz w:val="15"/>
              </w:rPr>
              <w:t xml:space="preserve">— (preprint)</w:t>
            </w:r>
          </w:p>
        </w:tc>
        <w:tc>
          <w:tcPr/>
          <w:p>
            <w:pPr>
              <w:pStyle w:val="Compact"/>
              <w:ind w:firstLine="0"/>
              <w:jc w:val="left"/>
            </w:pPr>
            <w:r>
              <w:rPr>
                <w:rFonts w:ascii="Times New Roman" w:hAnsi="Times New Roman"/>
                <w:sz w:val="15"/>
              </w:rPr>
              <w:t xml:space="preserve">SOH</w:t>
            </w:r>
          </w:p>
        </w:tc>
        <w:tc>
          <w:tcPr/>
          <w:p>
            <w:pPr>
              <w:pStyle w:val="Compact"/>
              <w:ind w:firstLine="0"/>
              <w:jc w:val="left"/>
            </w:pPr>
            <w:r>
              <w:rPr>
                <w:rFonts w:ascii="Times New Roman" w:hAnsi="Times New Roman"/>
                <w:sz w:val="15"/>
              </w:rPr>
              <w:t xml:space="preserve">Partial charging as natural masking (SSL)</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Closest prior idea</w:t>
            </w:r>
          </w:p>
        </w:tc>
      </w:tr>
      <w:tr>
        <w:tc>
          <w:tcPr/>
          <w:p>
            <w:pPr>
              <w:pStyle w:val="Compact"/>
              <w:ind w:firstLine="0"/>
              <w:jc w:val="left"/>
            </w:pPr>
            <w:r>
              <w:rPr>
                <w:rFonts w:ascii="Times New Roman" w:hAnsi="Times New Roman"/>
                <w:sz w:val="15"/>
              </w:rPr>
              <w:t xml:space="preserve">[22]</w:t>
            </w:r>
          </w:p>
        </w:tc>
        <w:tc>
          <w:tcPr/>
          <w:p>
            <w:pPr>
              <w:pStyle w:val="Compact"/>
              <w:ind w:firstLine="0"/>
              <w:jc w:val="left"/>
            </w:pPr>
            <w:r>
              <w:rPr>
                <w:rFonts w:ascii="Times New Roman" w:hAnsi="Times New Roman"/>
                <w:sz w:val="15"/>
              </w:rPr>
              <w:t xml:space="preserve">— (preprint)</w:t>
            </w:r>
          </w:p>
        </w:tc>
        <w:tc>
          <w:tcPr/>
          <w:p>
            <w:pPr>
              <w:pStyle w:val="Compact"/>
              <w:ind w:firstLine="0"/>
              <w:jc w:val="left"/>
            </w:pPr>
            <w:r>
              <w:rPr>
                <w:rFonts w:ascii="Times New Roman" w:hAnsi="Times New Roman"/>
                <w:sz w:val="15"/>
              </w:rPr>
              <w:t xml:space="preserve">SOH forecast</w:t>
            </w:r>
          </w:p>
        </w:tc>
        <w:tc>
          <w:tcPr/>
          <w:p>
            <w:pPr>
              <w:pStyle w:val="Compact"/>
              <w:ind w:firstLine="0"/>
              <w:jc w:val="left"/>
            </w:pPr>
            <w:r>
              <w:rPr>
                <w:rFonts w:ascii="Times New Roman" w:hAnsi="Times New Roman"/>
                <w:sz w:val="15"/>
              </w:rPr>
              <w:t xml:space="preserve">Conformalized transfer learning</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Forecasting, not single-session estimation</w:t>
            </w:r>
          </w:p>
        </w:tc>
      </w:tr>
    </w:tbl>
    <w:p>
      <w:pPr>
        <w:sectPr>
          <w:type w:val="continuous"/>
          <w:pgSz w:w="12240" w:h="15840"/>
          <w:pgMar w:top="1080" w:bottom="1440" w:left="900" w:right="900" w:header="720" w:footer="720" w:gutter="0"/>
          <w:cols w:num="1" w:space="360"/>
        </w:sectPr>
      </w:pPr>
    </w:p>
    <w:p>
      <w:pPr>
        <w:pStyle w:val="BodyText"/>
      </w:pPr>
      <w:r>
        <w:t xml:space="preserve">* Taken from the supplied audited survey; not re-verified against the full text.</w:t>
      </w:r>
    </w:p>
    <w:p>
      <w:pPr>
        <w:pStyle w:val="BodyText"/>
      </w:pPr>
      <w:r>
        <w:rPr>
          <w:b/>
          <w:bCs/>
        </w:rPr>
        <w:t xml:space="preserve">Partial-data estimation.</w:t>
      </w:r>
      <w:r>
        <w:t xml:space="preserve"> </w:t>
      </w:r>
      <w:r>
        <w:t xml:space="preserve">Fixed windows [1], constant-current-stage indicators [7], short fixed-start segments [13] and post-charge voltage relaxation [14] reduce the data needed per estimate, but none of these evaluates sessions with arbitrary start and length across several chemistries. Roman</w:t>
      </w:r>
      <w:r>
        <w:t xml:space="preserve"> </w:t>
      </w:r>
      <w:r>
        <w:rPr>
          <w:i/>
          <w:iCs/>
        </w:rPr>
        <w:t xml:space="preserve">et al.</w:t>
      </w:r>
      <w:r>
        <w:t xml:space="preserve"> </w:t>
      </w:r>
      <w:r>
        <w:t xml:space="preserve">[12] proposed a multi-dataset machine-learning pipeline for SOH from charging features, and Lu</w:t>
      </w:r>
      <w:r>
        <w:t xml:space="preserve"> </w:t>
      </w:r>
      <w:r>
        <w:rPr>
          <w:i/>
          <w:iCs/>
        </w:rPr>
        <w:t xml:space="preserve">et al.</w:t>
      </w:r>
      <w:r>
        <w:t xml:space="preserve"> </w:t>
      </w:r>
      <w:r>
        <w:t xml:space="preserve">[15] transferred from physics-generated data.</w:t>
      </w:r>
    </w:p>
    <w:p>
      <w:pPr>
        <w:pStyle w:val="BodyText"/>
      </w:pPr>
      <w:r>
        <w:rPr>
          <w:b/>
          <w:bCs/>
        </w:rPr>
        <w:t xml:space="preserve">Uncertainty.</w:t>
      </w:r>
      <w:r>
        <w:t xml:space="preserve"> </w:t>
      </w:r>
      <w:r>
        <w:t xml:space="preserve">Where uncertainty is provided, it comes from Gaussian process regression [3] or Monte Carlo dropout [5]; neither offers finite-sample coverage, and coverage on unseen cells is rarely reported. Conformal prediction [17] guarantees marginal coverage under exchangeability and has begun to appear for SOH forecasting [22].</w:t>
      </w:r>
    </w:p>
    <w:p>
      <w:pPr>
        <w:pStyle w:val="BodyText"/>
      </w:pPr>
      <w:r>
        <w:rPr>
          <w:b/>
          <w:bCs/>
        </w:rPr>
        <w:t xml:space="preserve">Benchmarks and self-supervision.</w:t>
      </w:r>
      <w:r>
        <w:t xml:space="preserve"> </w:t>
      </w:r>
      <w:r>
        <w:t xml:space="preserve">BatteryML [23] and BatteryLife [24] standardize larger collections of cells. Masked reconstruction is a widely used self-supervised objective [16], and battery-specific self-supervision with weak labels [19], degradation-aligned objectives [21] and partial-charging masking [20] has been proposed.</w:t>
      </w:r>
    </w:p>
    <w:p>
      <w:pPr>
        <w:pStyle w:val="BodyText"/>
      </w:pPr>
      <w:r>
        <w:t xml:space="preserve">The open questions tested here are therefore (i) accuracy under arbitrary BMS-observable sessions across chemistries, (ii) generalization to unseen cells and datasets, (iii) measured coverage of distribution-free intervals, and (iv) whether masked-curve pre-training helps in this multi-source setting. We state three hypotheses:</w:t>
      </w:r>
      <w:r>
        <w:t xml:space="preserve"> </w:t>
      </w:r>
      <w:r>
        <w:rPr>
          <w:b/>
          <w:bCs/>
        </w:rPr>
        <w:t xml:space="preserve">H1</w:t>
      </w:r>
      <w:r>
        <w:t xml:space="preserve">, a learned encoder outperforms handcrafted-feature baselines on unseen cells;</w:t>
      </w:r>
      <w:r>
        <w:t xml:space="preserve"> </w:t>
      </w:r>
      <w:r>
        <w:rPr>
          <w:b/>
          <w:bCs/>
        </w:rPr>
        <w:t xml:space="preserve">H2</w:t>
      </w:r>
      <w:r>
        <w:t xml:space="preserve">, self-supervised pre-training helps most when only 10 % of training cells are labelled;</w:t>
      </w:r>
      <w:r>
        <w:t xml:space="preserve"> </w:t>
      </w:r>
      <w:r>
        <w:rPr>
          <w:b/>
          <w:bCs/>
        </w:rPr>
        <w:t xml:space="preserve">H3</w:t>
      </w:r>
      <w:r>
        <w:t xml:space="preserve">, CQR attains approximately 90 % coverage on unseen cells of seen datasets but not necessarily on an unseen dataset.</w:t>
      </w:r>
    </w:p>
    <w:bookmarkEnd w:id="18"/>
    <w:bookmarkStart w:id="30" w:name="iii.-problem-formulation-and-data"/>
    <w:p>
      <w:pPr>
        <w:pStyle w:val="Heading1"/>
      </w:pPr>
      <w:r>
        <w:rPr>
          <w:rFonts w:ascii="Times New Roman" w:hAnsi="Times New Roman"/>
          <w:b w:val="0"/>
          <w:smallCaps/>
          <w:sz w:val="20"/>
        </w:rPr>
        <w:t xml:space="preserve">III. Problem Formulation and Data</w:t>
      </w:r>
    </w:p>
    <w:bookmarkStart w:id="19" w:name="a.-definitions"/>
    <w:p>
      <w:pPr>
        <w:pStyle w:val="Heading2"/>
      </w:pPr>
      <w:r>
        <w:rPr>
          <w:rFonts w:ascii="Times New Roman" w:hAnsi="Times New Roman"/>
          <w:b w:val="0"/>
          <w:i/>
          <w:sz w:val="20"/>
        </w:rPr>
        <w:t xml:space="preserve">A. Definitions</w:t>
      </w:r>
    </w:p>
    <w:p>
      <w:pPr>
        <w:pStyle w:val="FirstParagraph"/>
      </w:pPr>
      <w:r>
        <w:t xml:space="preserve">For cell</w:t>
      </w:r>
      <w:r>
        <w:t xml:space="preserve"> </w:t>
      </w:r>
      <m:oMath>
        <m:r>
          <m:t>c</m:t>
        </m:r>
      </m:oMath>
      <w:r>
        <w:t xml:space="preserve"> </w:t>
      </w:r>
      <w:r>
        <w:t xml:space="preserve">and cycle</w:t>
      </w:r>
      <w:r>
        <w:t xml:space="preserve"> </w:t>
      </w:r>
      <m:oMath>
        <m:r>
          <m:t>n</m:t>
        </m:r>
      </m:oMath>
      <w:r>
        <w:t xml:space="preserve">, let</w:t>
      </w:r>
      <w:r>
        <w:t xml:space="preserve"> </w:t>
      </w:r>
      <m:oMath>
        <m:sSubSup>
          <m:e>
            <m:r>
              <m:t>Q</m:t>
            </m:r>
          </m:e>
          <m:sub>
            <m:r>
              <m:t>c</m:t>
            </m:r>
            <m:r>
              <m:rPr>
                <m:sty m:val="p"/>
              </m:rPr>
              <m:t>,</m:t>
            </m:r>
            <m:r>
              <m:t>n</m:t>
            </m:r>
          </m:sub>
          <m:sup>
            <m:r>
              <m:rPr>
                <m:sty m:val="p"/>
              </m:rPr>
              <m:t>d</m:t>
            </m:r>
            <m:r>
              <m:rPr>
                <m:sty m:val="p"/>
              </m:rPr>
              <m:t>i</m:t>
            </m:r>
            <m:r>
              <m:rPr>
                <m:sty m:val="p"/>
              </m:rPr>
              <m:t>s</m:t>
            </m:r>
          </m:sup>
        </m:sSubSup>
      </m:oMath>
      <w:r>
        <w:t xml:space="preserve"> </w:t>
      </w:r>
      <w:r>
        <w:t xml:space="preserve">(Ah) be the measured discharge capacity and</w:t>
      </w:r>
      <w:r>
        <w:t xml:space="preserve"> </w:t>
      </w:r>
      <m:oMath>
        <m:sSubSup>
          <m:e>
            <m:r>
              <m:t>Q</m:t>
            </m:r>
          </m:e>
          <m:sub>
            <m:r>
              <m:t>c</m:t>
            </m:r>
          </m:sub>
          <m:sup>
            <m:r>
              <m:rPr>
                <m:sty m:val="p"/>
              </m:rPr>
              <m:t>r</m:t>
            </m:r>
            <m:r>
              <m:rPr>
                <m:sty m:val="p"/>
              </m:rPr>
              <m:t>a</m:t>
            </m:r>
            <m:r>
              <m:rPr>
                <m:sty m:val="p"/>
              </m:rPr>
              <m:t>t</m:t>
            </m:r>
            <m:r>
              <m:rPr>
                <m:sty m:val="p"/>
              </m:rPr>
              <m:t>e</m:t>
            </m:r>
            <m:r>
              <m:rPr>
                <m:sty m:val="p"/>
              </m:rPr>
              <m:t>d</m:t>
            </m:r>
          </m:sup>
        </m:sSubSup>
      </m:oMath>
      <w:r>
        <w:t xml:space="preserve"> </w:t>
      </w:r>
      <w:r>
        <w:t xml:space="preserve">(Ah) the rated capacity. Then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r>
                      <m:rPr>
                        <m:sty m:val="p"/>
                      </m:rPr>
                      <m:t>S</m:t>
                    </m:r>
                    <m:r>
                      <m:rPr>
                        <m:sty m:val="p"/>
                      </m:rPr>
                      <m:t>O</m:t>
                    </m:r>
                    <m:r>
                      <m:rPr>
                        <m:sty m:val="p"/>
                      </m:rPr>
                      <m:t>H</m:t>
                    </m:r>
                  </m:e>
                  <m:sub>
                    <m:r>
                      <m:t>c</m:t>
                    </m:r>
                    <m:r>
                      <m:rPr>
                        <m:sty m:val="p"/>
                      </m:rPr>
                      <m:t>,</m:t>
                    </m:r>
                    <m:r>
                      <m:t>n</m:t>
                    </m:r>
                  </m:sub>
                </m:sSub>
                <m:r>
                  <m:rPr>
                    <m:sty m:val="p"/>
                  </m:rPr>
                  <m:t>=</m:t>
                </m:r>
                <m:sSubSup>
                  <m:e>
                    <m:r>
                      <m:t>Q</m:t>
                    </m:r>
                  </m:e>
                  <m:sub>
                    <m:r>
                      <m:t>c</m:t>
                    </m:r>
                    <m:r>
                      <m:rPr>
                        <m:sty m:val="p"/>
                      </m:rPr>
                      <m:t>,</m:t>
                    </m:r>
                    <m:r>
                      <m:t>n</m:t>
                    </m:r>
                  </m:sub>
                  <m:sup>
                    <m:r>
                      <m:rPr>
                        <m:sty m:val="p"/>
                      </m:rPr>
                      <m:t>d</m:t>
                    </m:r>
                    <m:r>
                      <m:rPr>
                        <m:sty m:val="p"/>
                      </m:rPr>
                      <m:t>i</m:t>
                    </m:r>
                    <m:r>
                      <m:rPr>
                        <m:sty m:val="p"/>
                      </m:rPr>
                      <m:t>s</m:t>
                    </m:r>
                  </m:sup>
                </m:sSubSup>
                <m:r>
                  <m:rPr>
                    <m:sty m:val="p"/>
                  </m:rPr>
                  <m:t>/</m:t>
                </m:r>
                <m:sSubSup>
                  <m:e>
                    <m:r>
                      <m:t>Q</m:t>
                    </m:r>
                  </m:e>
                  <m:sub>
                    <m:r>
                      <m:t>c</m:t>
                    </m:r>
                  </m:sub>
                  <m:sup>
                    <m:r>
                      <m:rPr>
                        <m:sty m:val="p"/>
                      </m:rPr>
                      <m:t>r</m:t>
                    </m:r>
                    <m:r>
                      <m:rPr>
                        <m:sty m:val="p"/>
                      </m:rPr>
                      <m:t>a</m:t>
                    </m:r>
                    <m:r>
                      <m:rPr>
                        <m:sty m:val="p"/>
                      </m:rPr>
                      <m:t>t</m:t>
                    </m:r>
                    <m:r>
                      <m:rPr>
                        <m:sty m:val="p"/>
                      </m:rPr>
                      <m:t>e</m:t>
                    </m:r>
                    <m:r>
                      <m:rPr>
                        <m:sty m:val="p"/>
                      </m:rPr>
                      <m:t>d</m:t>
                    </m:r>
                  </m:sup>
                </m:sSubSup>
                <m:r>
                  <m:rPr>
                    <m:sty m:val="p"/>
                  </m:rPr>
                  <m:t>.</m:t>
                </m:r>
              </m:oMath>
            </m:oMathPara>
          </w:p>
        </w:tc>
        <w:tc>
          <w:tcPr>
            <w:tcW w:type="dxa" w:w="504"/>
            <w:vAlign w:val="center"/>
          </w:tcPr>
          <w:p>
            <w:pPr>
              <w:jc w:val="right"/>
            </w:pPr>
            <w:r>
              <w:rPr>
                <w:rFonts w:ascii="Times New Roman" w:hAnsi="Times New Roman"/>
                <w:sz w:val="20"/>
              </w:rPr>
              <w:t>(1)</w:t>
            </w:r>
          </w:p>
        </w:tc>
      </w:tr>
    </w:tbl>
    <w:p>
      <w:pPr>
        <w:pStyle w:val="FirstParagraph"/>
      </w:pPr>
      <w:r>
        <w:t xml:space="preserve">SOH is dimensionless; errors are reported in percentage points of SOH (% SOH). Remaining useful life is not a target in this paper.</w:t>
      </w:r>
    </w:p>
    <w:p>
      <w:pPr>
        <w:pStyle w:val="BodyText"/>
      </w:pPr>
      <w:r>
        <w:t xml:space="preserve">A session starts at an unobserved fraction</w:t>
      </w:r>
      <w:r>
        <w:t xml:space="preserve"> </w:t>
      </w:r>
      <m:oMath>
        <m:r>
          <m:t>s</m:t>
        </m:r>
      </m:oMath>
      <w:r>
        <w:t xml:space="preserve"> </w:t>
      </w:r>
      <w:r>
        <w:t xml:space="preserve">of the full charge and ends at</w:t>
      </w:r>
      <w:r>
        <w:t xml:space="preserve"> </w:t>
      </w:r>
      <m:oMath>
        <m:r>
          <m:t>e</m:t>
        </m:r>
        <m:r>
          <m:rPr>
            <m:sty m:val="p"/>
          </m:rPr>
          <m:t>=</m:t>
        </m:r>
        <m:r>
          <m:t>s</m:t>
        </m:r>
        <m:r>
          <m:rPr>
            <m:sty m:val="p"/>
          </m:rPr>
          <m:t>+</m:t>
        </m:r>
        <m:r>
          <m:t>w</m:t>
        </m:r>
      </m:oMath>
      <w:r>
        <w:t xml:space="preserve">. The BMS observes the terminal voltage</w:t>
      </w:r>
      <w:r>
        <w:t xml:space="preserve"> </w:t>
      </w:r>
      <m:oMath>
        <m:r>
          <m:t>V</m:t>
        </m:r>
        <m:r>
          <m:rPr>
            <m:sty m:val="p"/>
          </m:rPr>
          <m:t>(</m:t>
        </m:r>
        <m:r>
          <m:t>t</m:t>
        </m:r>
        <m:r>
          <m:rPr>
            <m:sty m:val="p"/>
          </m:rPr>
          <m:t>)</m:t>
        </m:r>
      </m:oMath>
      <w:r>
        <w:t xml:space="preserve"> </w:t>
      </w:r>
      <w:r>
        <w:t xml:space="preserve">and the accumulated charge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r>
                  <m:rPr>
                    <m:sty m:val="p"/>
                  </m:rPr>
                  <m:t>Δ</m:t>
                </m:r>
                <m:r>
                  <m:t>Q</m:t>
                </m:r>
                <m:r>
                  <m:rPr>
                    <m:sty m:val="p"/>
                  </m:rPr>
                  <m:t>(</m:t>
                </m:r>
                <m:r>
                  <m:t>t</m:t>
                </m:r>
                <m:r>
                  <m:rPr>
                    <m:sty m:val="p"/>
                  </m:rPr>
                  <m:t>)</m:t>
                </m:r>
                <m:r>
                  <m:rPr>
                    <m:sty m:val="p"/>
                  </m:rPr>
                  <m:t>=</m:t>
                </m:r>
                <m:nary>
                  <m:naryPr>
                    <m:chr m:val="∫"/>
                    <m:limLoc m:val="subSup"/>
                    <m:subHide m:val="off"/>
                    <m:supHide m:val="off"/>
                  </m:naryPr>
                  <m:sub>
                    <m:sSub>
                      <m:e>
                        <m:r>
                          <m:t>t</m:t>
                        </m:r>
                      </m:e>
                      <m:sub>
                        <m:r>
                          <m:t>0</m:t>
                        </m:r>
                      </m:sub>
                    </m:sSub>
                  </m:sub>
                  <m:sup>
                    <m:r>
                      <m:t>t</m:t>
                    </m:r>
                  </m:sup>
                  <m:e>
                    <m:r>
                      <m:t>I</m:t>
                    </m:r>
                  </m:e>
                </m:nary>
                <m:r>
                  <m:rPr>
                    <m:sty m:val="p"/>
                  </m:rPr>
                  <m:t>(</m:t>
                </m:r>
                <m:r>
                  <m:t>τ</m:t>
                </m:r>
                <m:r>
                  <m:rPr>
                    <m:sty m:val="p"/>
                  </m:rPr>
                  <m:t>)</m:t>
                </m:r>
                <m:r>
                  <m:t> </m:t>
                </m:r>
                <m:r>
                  <m:t>d</m:t>
                </m:r>
                <m:r>
                  <m:t>τ</m:t>
                </m:r>
                <m:r>
                  <m:rPr>
                    <m:sty m:val="p"/>
                  </m:rPr>
                  <m:t>,</m:t>
                </m:r>
              </m:oMath>
            </m:oMathPara>
          </w:p>
        </w:tc>
        <w:tc>
          <w:tcPr>
            <w:tcW w:type="dxa" w:w="504"/>
            <w:vAlign w:val="center"/>
          </w:tcPr>
          <w:p>
            <w:pPr>
              <w:jc w:val="right"/>
            </w:pPr>
            <w:r>
              <w:rPr>
                <w:rFonts w:ascii="Times New Roman" w:hAnsi="Times New Roman"/>
                <w:sz w:val="20"/>
              </w:rPr>
              <w:t>(2)</w:t>
            </w:r>
          </w:p>
        </w:tc>
      </w:tr>
    </w:tbl>
    <w:p>
      <w:pPr>
        <w:pStyle w:val="FirstParagraph"/>
      </w:pPr>
      <w:r>
        <w:t xml:space="preserve">where</w:t>
      </w:r>
      <w:r>
        <w:t xml:space="preserve"> </w:t>
      </w:r>
      <m:oMath>
        <m:r>
          <m:t>I</m:t>
        </m:r>
      </m:oMath>
      <w:r>
        <w:t xml:space="preserve"> </w:t>
      </w:r>
      <w:r>
        <w:t xml:space="preserve">is the charging current (A) and</w:t>
      </w:r>
      <w:r>
        <w:t xml:space="preserve"> </w:t>
      </w:r>
      <m:oMath>
        <m:sSub>
          <m:e>
            <m:r>
              <m:t>t</m:t>
            </m:r>
          </m:e>
          <m:sub>
            <m:r>
              <m:t>0</m:t>
            </m:r>
          </m:sub>
        </m:sSub>
      </m:oMath>
      <w:r>
        <w:t xml:space="preserve"> </w:t>
      </w:r>
      <w:r>
        <w:t xml:space="preserve">the plug-in time. The task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d>
                  <m:dPr>
                    <m:begChr m:val="("/>
                    <m:sepChr m:val=""/>
                    <m:endChr m:val=")"/>
                    <m:grow/>
                  </m:dPr>
                  <m:e>
                    <m:acc>
                      <m:accPr>
                        <m:chr m:val="̂"/>
                      </m:accPr>
                      <m:e>
                        <m:r>
                          <m:t>y</m:t>
                        </m:r>
                      </m:e>
                    </m:acc>
                    <m:r>
                      <m:rPr>
                        <m:sty m:val="p"/>
                      </m:rPr>
                      <m:t>,</m:t>
                    </m:r>
                    <m:acc>
                      <m:accPr>
                        <m:chr m:val="̂"/>
                      </m:accPr>
                      <m:e>
                        <m:r>
                          <m:t>ℓ</m:t>
                        </m:r>
                      </m:e>
                    </m:acc>
                    <m:r>
                      <m:rPr>
                        <m:sty m:val="p"/>
                      </m:rPr>
                      <m:t>,</m:t>
                    </m:r>
                    <m:acc>
                      <m:accPr>
                        <m:chr m:val="̂"/>
                      </m:accPr>
                      <m:e>
                        <m:r>
                          <m:t>u</m:t>
                        </m:r>
                      </m:e>
                    </m:acc>
                  </m:e>
                </m:d>
                <m:r>
                  <m:rPr>
                    <m:sty m:val="p"/>
                  </m:rPr>
                  <m:t>=</m:t>
                </m:r>
                <m:sSub>
                  <m:e>
                    <m:r>
                      <m:t>f</m:t>
                    </m:r>
                  </m:e>
                  <m:sub>
                    <m:r>
                      <m:t>θ</m:t>
                    </m:r>
                  </m:sub>
                </m:sSub>
                <m:d>
                  <m:dPr>
                    <m:begChr m:val="("/>
                    <m:sepChr m:val=""/>
                    <m:endChr m:val=")"/>
                    <m:grow/>
                  </m:dPr>
                  <m:e>
                    <m:r>
                      <m:rPr>
                        <m:sty m:val="p"/>
                      </m:rPr>
                      <m:t>{</m:t>
                    </m:r>
                    <m:r>
                      <m:rPr>
                        <m:sty m:val="p"/>
                      </m:rPr>
                      <m:t>(</m:t>
                    </m:r>
                    <m:sSub>
                      <m:e>
                        <m:r>
                          <m:t>V</m:t>
                        </m:r>
                      </m:e>
                      <m:sub>
                        <m:r>
                          <m:t>k</m:t>
                        </m:r>
                      </m:sub>
                    </m:sSub>
                    <m:r>
                      <m:rPr>
                        <m:sty m:val="p"/>
                      </m:rPr>
                      <m:t>,</m:t>
                    </m:r>
                    <m:r>
                      <m:rPr>
                        <m:sty m:val="p"/>
                      </m:rPr>
                      <m:t>Δ</m:t>
                    </m:r>
                    <m:sSub>
                      <m:e>
                        <m:r>
                          <m:t>Q</m:t>
                        </m:r>
                      </m:e>
                      <m:sub>
                        <m:r>
                          <m:t>k</m:t>
                        </m:r>
                      </m:sub>
                    </m:sSub>
                    <m:r>
                      <m:rPr>
                        <m:sty m:val="p"/>
                      </m:rPr>
                      <m:t>)</m:t>
                    </m:r>
                    <m:sSub>
                      <m:e>
                        <m:r>
                          <m:rPr>
                            <m:sty m:val="p"/>
                          </m:rPr>
                          <m:t>}</m:t>
                        </m:r>
                      </m:e>
                      <m:sub>
                        <m:r>
                          <m:t>k</m:t>
                        </m:r>
                        <m:r>
                          <m:rPr>
                            <m:sty m:val="p"/>
                          </m:rPr>
                          <m:t>∈</m:t>
                        </m:r>
                        <m:r>
                          <m:rPr>
                            <m:scr m:val="script"/>
                            <m:sty m:val="p"/>
                          </m:rPr>
                          <m:t>S</m:t>
                        </m:r>
                      </m:sub>
                    </m:sSub>
                    <m:r>
                      <m:rPr>
                        <m:sty m:val="p"/>
                      </m:rPr>
                      <m:t>,</m:t>
                    </m:r>
                    <m:r>
                      <m:rPr>
                        <m:sty m:val="b"/>
                      </m:rPr>
                      <m:t>u</m:t>
                    </m:r>
                  </m:e>
                </m:d>
                <m:r>
                  <m:rPr>
                    <m:sty m:val="p"/>
                  </m:rPr>
                  <m:t>,</m:t>
                </m:r>
                <m:r>
                  <m:t>  </m:t>
                </m:r>
                <m:r>
                  <m:t>y</m:t>
                </m:r>
                <m:r>
                  <m:rPr>
                    <m:sty m:val="p"/>
                  </m:rPr>
                  <m:t>=</m:t>
                </m:r>
                <m:sSub>
                  <m:e>
                    <m:r>
                      <m:rPr>
                        <m:sty m:val="p"/>
                      </m:rPr>
                      <m:t>S</m:t>
                    </m:r>
                    <m:r>
                      <m:rPr>
                        <m:sty m:val="p"/>
                      </m:rPr>
                      <m:t>O</m:t>
                    </m:r>
                    <m:r>
                      <m:rPr>
                        <m:sty m:val="p"/>
                      </m:rPr>
                      <m:t>H</m:t>
                    </m:r>
                  </m:e>
                  <m:sub>
                    <m:r>
                      <m:t>c</m:t>
                    </m:r>
                    <m:r>
                      <m:rPr>
                        <m:sty m:val="p"/>
                      </m:rPr>
                      <m:t>,</m:t>
                    </m:r>
                    <m:r>
                      <m:t>n</m:t>
                    </m:r>
                  </m:sub>
                </m:sSub>
                <m:r>
                  <m:rPr>
                    <m:sty m:val="p"/>
                  </m:rPr>
                  <m:t>,</m:t>
                </m:r>
              </m:oMath>
            </m:oMathPara>
          </w:p>
        </w:tc>
        <w:tc>
          <w:tcPr>
            <w:tcW w:type="dxa" w:w="504"/>
            <w:vAlign w:val="center"/>
          </w:tcPr>
          <w:p>
            <w:pPr>
              <w:jc w:val="right"/>
            </w:pPr>
            <w:r>
              <w:rPr>
                <w:rFonts w:ascii="Times New Roman" w:hAnsi="Times New Roman"/>
                <w:sz w:val="20"/>
              </w:rPr>
              <w:t>(3)</w:t>
            </w:r>
          </w:p>
        </w:tc>
      </w:tr>
    </w:tbl>
    <w:p>
      <w:pPr>
        <w:pStyle w:val="FirstParagraph"/>
      </w:pPr>
      <w:r>
        <w:t xml:space="preserve">where</w:t>
      </w:r>
      <w:r>
        <w:t xml:space="preserve"> </w:t>
      </w:r>
      <m:oMath>
        <m:r>
          <m:rPr>
            <m:scr m:val="script"/>
            <m:sty m:val="p"/>
          </m:rPr>
          <m:t>S</m:t>
        </m:r>
      </m:oMath>
      <w:r>
        <w:t xml:space="preserve"> </w:t>
      </w:r>
      <w:r>
        <w:t xml:space="preserve">indexes the samples inside the session,</w:t>
      </w:r>
      <w:r>
        <w:t xml:space="preserve"> </w:t>
      </w:r>
      <m:oMath>
        <m:r>
          <m:rPr>
            <m:sty m:val="b"/>
          </m:rPr>
          <m:t>u</m:t>
        </m:r>
      </m:oMath>
      <w:r>
        <w:t xml:space="preserve"> </w:t>
      </w:r>
      <w:r>
        <w:t xml:space="preserve">is BMS-available context (chemistry, ambient temperature, charging C-rate), and</w:t>
      </w:r>
      <w:r>
        <w:t xml:space="preserve"> </w:t>
      </w:r>
      <m:oMath>
        <m:r>
          <m:rPr>
            <m:sty m:val="p"/>
          </m:rPr>
          <m:t>[</m:t>
        </m:r>
        <m:acc>
          <m:accPr>
            <m:chr m:val="̂"/>
          </m:accPr>
          <m:e>
            <m:r>
              <m:t>ℓ</m:t>
            </m:r>
          </m:e>
        </m:acc>
        <m:r>
          <m:rPr>
            <m:sty m:val="p"/>
          </m:rPr>
          <m:t>,</m:t>
        </m:r>
        <m:acc>
          <m:accPr>
            <m:chr m:val="̂"/>
          </m:accPr>
          <m:e>
            <m:r>
              <m:t>u</m:t>
            </m:r>
          </m:e>
        </m:acc>
        <m:r>
          <m:rPr>
            <m:sty m:val="p"/>
          </m:rPr>
          <m:t>]</m:t>
        </m:r>
      </m:oMath>
      <w:r>
        <w:t xml:space="preserve"> </w:t>
      </w:r>
      <w:r>
        <w:t xml:space="preserve">should contain</w:t>
      </w:r>
      <w:r>
        <w:t xml:space="preserve"> </w:t>
      </w:r>
      <m:oMath>
        <m:r>
          <m:t>y</m:t>
        </m:r>
      </m:oMath>
      <w:r>
        <w:t xml:space="preserve"> </w:t>
      </w:r>
      <w:r>
        <w:t xml:space="preserve">with probability at least</w:t>
      </w:r>
      <w:r>
        <w:t xml:space="preserve"> </w:t>
      </w:r>
      <m:oMath>
        <m:r>
          <m:t>1</m:t>
        </m:r>
        <m:r>
          <m:rPr>
            <m:sty m:val="p"/>
          </m:rPr>
          <m:t>−</m:t>
        </m:r>
        <m:r>
          <m:t>α</m:t>
        </m:r>
      </m:oMath>
      <w:r>
        <w:t xml:space="preserve">, with</w:t>
      </w:r>
      <w:r>
        <w:t xml:space="preserve"> </w:t>
      </w:r>
      <m:oMath>
        <m:r>
          <m:t>α</m:t>
        </m:r>
        <m:r>
          <m:rPr>
            <m:sty m:val="p"/>
          </m:rPr>
          <m:t>=</m:t>
        </m:r>
        <m:r>
          <m:t>0.1</m:t>
        </m:r>
      </m:oMath>
      <w:r>
        <w:t xml:space="preserve">. Table II lists the notation.</w:t>
      </w:r>
    </w:p>
    <w:p>
      <w:pPr>
        <w:pStyle w:val="TableCaption"/>
        <w:keepNext/>
        <w:ind w:firstLine="0"/>
        <w:jc w:val="center"/>
      </w:pPr>
      <w:r>
        <w:rPr>
          <w:rFonts w:ascii="Times New Roman" w:hAnsi="Times New Roman"/>
          <w:smallCaps w:val="0"/>
          <w:sz w:val="16"/>
        </w:rPr>
        <w:t xml:space="preserve">TABLE II</w:t>
      </w:r>
    </w:p>
    <w:p>
      <w:pPr>
        <w:pStyle w:val="TableCaption"/>
      </w:pPr>
      <w:r>
        <w:t xml:space="preserve">NOTATION</w:t>
      </w: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2640"/>
        <w:gridCol w:w="2640"/>
        <w:gridCol w:w="2640"/>
      </w:tblGrid>
      <w:tr>
        <w:trPr>
          <w:tblHeader w:val="on"/>
        </w:trPr>
        <w:tc>
          <w:tcPr/>
          <w:p>
            <w:pPr>
              <w:pStyle w:val="Compact"/>
              <w:ind w:firstLine="0"/>
              <w:jc w:val="left"/>
            </w:pPr>
            <w:r>
              <w:rPr>
                <w:rFonts w:ascii="Times New Roman" w:hAnsi="Times New Roman"/>
                <w:b/>
                <w:sz w:val="15"/>
              </w:rPr>
              <w:t xml:space="preserve">Symbol</w:t>
            </w:r>
          </w:p>
        </w:tc>
        <w:tc>
          <w:tcPr/>
          <w:p>
            <w:pPr>
              <w:pStyle w:val="Compact"/>
              <w:ind w:firstLine="0"/>
              <w:jc w:val="left"/>
            </w:pPr>
            <w:r>
              <w:rPr>
                <w:rFonts w:ascii="Times New Roman" w:hAnsi="Times New Roman"/>
                <w:b/>
                <w:sz w:val="15"/>
              </w:rPr>
              <w:t xml:space="preserve">Meaning</w:t>
            </w:r>
          </w:p>
        </w:tc>
        <w:tc>
          <w:tcPr/>
          <w:p>
            <w:pPr>
              <w:pStyle w:val="Compact"/>
              <w:ind w:firstLine="0"/>
              <w:jc w:val="left"/>
            </w:pPr>
            <w:r>
              <w:rPr>
                <w:rFonts w:ascii="Times New Roman" w:hAnsi="Times New Roman"/>
                <w:b/>
                <w:sz w:val="15"/>
              </w:rPr>
              <w:t xml:space="preserve">Unit</w:t>
            </w:r>
          </w:p>
        </w:tc>
      </w:tr>
      <w:tr>
        <w:tc>
          <w:tcPr/>
          <w:p>
            <w:pPr>
              <w:pStyle w:val="Compact"/>
              <w:ind w:firstLine="0"/>
              <w:jc w:val="left"/>
            </w:pPr>
            <m:oMath>
              <m:sSubSup>
                <m:e>
                  <m:r>
                    <m:t>Q</m:t>
                  </m:r>
                </m:e>
                <m:sub>
                  <m:r>
                    <m:t>c</m:t>
                  </m:r>
                  <m:r>
                    <m:rPr>
                      <m:sty m:val="p"/>
                    </m:rPr>
                    <m:t>,</m:t>
                  </m:r>
                  <m:r>
                    <m:t>n</m:t>
                  </m:r>
                </m:sub>
                <m:sup>
                  <m:r>
                    <m:rPr>
                      <m:sty m:val="p"/>
                    </m:rPr>
                    <m:t>d</m:t>
                  </m:r>
                  <m:r>
                    <m:rPr>
                      <m:sty m:val="p"/>
                    </m:rPr>
                    <m:t>i</m:t>
                  </m:r>
                  <m:r>
                    <m:rPr>
                      <m:sty m:val="p"/>
                    </m:rPr>
                    <m:t>s</m:t>
                  </m:r>
                </m:sup>
              </m:sSubSup>
            </m:oMath>
            <w:r>
              <w:rPr>
                <w:rFonts w:ascii="Times New Roman" w:hAnsi="Times New Roman"/>
                <w:sz w:val="15"/>
              </w:rPr>
              <w:t xml:space="preserve">,</w:t>
            </w:r>
            <w:r>
              <w:rPr>
                <w:rFonts w:ascii="Times New Roman" w:hAnsi="Times New Roman"/>
                <w:sz w:val="15"/>
              </w:rPr>
              <w:t xml:space="preserve"> </w:t>
            </w:r>
            <m:oMath>
              <m:sSubSup>
                <m:e>
                  <m:r>
                    <m:t>Q</m:t>
                  </m:r>
                </m:e>
                <m:sub>
                  <m:r>
                    <m:t>c</m:t>
                  </m:r>
                </m:sub>
                <m:sup>
                  <m:r>
                    <m:rPr>
                      <m:sty m:val="p"/>
                    </m:rPr>
                    <m:t>r</m:t>
                  </m:r>
                  <m:r>
                    <m:rPr>
                      <m:sty m:val="p"/>
                    </m:rPr>
                    <m:t>a</m:t>
                  </m:r>
                  <m:r>
                    <m:rPr>
                      <m:sty m:val="p"/>
                    </m:rPr>
                    <m:t>t</m:t>
                  </m:r>
                  <m:r>
                    <m:rPr>
                      <m:sty m:val="p"/>
                    </m:rPr>
                    <m:t>e</m:t>
                  </m:r>
                  <m:r>
                    <m:rPr>
                      <m:sty m:val="p"/>
                    </m:rPr>
                    <m:t>d</m:t>
                  </m:r>
                </m:sup>
              </m:sSubSup>
            </m:oMath>
          </w:p>
        </w:tc>
        <w:tc>
          <w:tcPr/>
          <w:p>
            <w:pPr>
              <w:pStyle w:val="Compact"/>
              <w:ind w:firstLine="0"/>
              <w:jc w:val="left"/>
            </w:pPr>
            <w:r>
              <w:rPr>
                <w:rFonts w:ascii="Times New Roman" w:hAnsi="Times New Roman"/>
                <w:sz w:val="15"/>
              </w:rPr>
              <w:t xml:space="preserve">Measured discharge capacity; rated capacity</w:t>
            </w:r>
          </w:p>
        </w:tc>
        <w:tc>
          <w:tcPr/>
          <w:p>
            <w:pPr>
              <w:pStyle w:val="Compact"/>
              <w:ind w:firstLine="0"/>
              <w:jc w:val="left"/>
            </w:pPr>
            <w:r>
              <w:rPr>
                <w:rFonts w:ascii="Times New Roman" w:hAnsi="Times New Roman"/>
                <w:sz w:val="15"/>
              </w:rPr>
              <w:t xml:space="preserve">Ah</w:t>
            </w:r>
          </w:p>
        </w:tc>
      </w:tr>
      <w:tr>
        <w:tc>
          <w:tcPr/>
          <w:p>
            <w:pPr>
              <w:pStyle w:val="Compact"/>
              <w:ind w:firstLine="0"/>
              <w:jc w:val="left"/>
            </w:pPr>
            <m:oMath>
              <m:r>
                <m:t>s</m:t>
              </m:r>
            </m:oMath>
            <w:r>
              <w:rPr>
                <w:rFonts w:ascii="Times New Roman" w:hAnsi="Times New Roman"/>
                <w:sz w:val="15"/>
              </w:rPr>
              <w:t xml:space="preserve">,</w:t>
            </w:r>
            <w:r>
              <w:rPr>
                <w:rFonts w:ascii="Times New Roman" w:hAnsi="Times New Roman"/>
                <w:sz w:val="15"/>
              </w:rPr>
              <w:t xml:space="preserve"> </w:t>
            </w:r>
            <m:oMath>
              <m:r>
                <m:t>w</m:t>
              </m:r>
            </m:oMath>
          </w:p>
        </w:tc>
        <w:tc>
          <w:tcPr/>
          <w:p>
            <w:pPr>
              <w:pStyle w:val="Compact"/>
              <w:ind w:firstLine="0"/>
              <w:jc w:val="left"/>
            </w:pPr>
            <w:r>
              <w:rPr>
                <w:rFonts w:ascii="Times New Roman" w:hAnsi="Times New Roman"/>
                <w:sz w:val="15"/>
              </w:rPr>
              <w:t xml:space="preserve">Session start and width as fractions of the full charge (not observed)</w:t>
            </w:r>
          </w:p>
        </w:tc>
        <w:tc>
          <w:tcPr/>
          <w:p>
            <w:pPr>
              <w:pStyle w:val="Compact"/>
              <w:ind w:firstLine="0"/>
              <w:jc w:val="left"/>
            </w:pPr>
            <w:r>
              <w:rPr>
                <w:rFonts w:ascii="Times New Roman" w:hAnsi="Times New Roman"/>
                <w:sz w:val="15"/>
              </w:rPr>
              <w:t xml:space="preserve">—</w:t>
            </w:r>
          </w:p>
        </w:tc>
      </w:tr>
      <w:tr>
        <w:tc>
          <w:tcPr/>
          <w:p>
            <w:pPr>
              <w:pStyle w:val="Compact"/>
              <w:ind w:firstLine="0"/>
              <w:jc w:val="left"/>
            </w:pPr>
            <m:oMath>
              <m:r>
                <m:rPr>
                  <m:sty m:val="p"/>
                </m:rPr>
                <m:t>Δ</m:t>
              </m:r>
              <m:r>
                <m:t>Q</m:t>
              </m:r>
            </m:oMath>
          </w:p>
        </w:tc>
        <w:tc>
          <w:tcPr/>
          <w:p>
            <w:pPr>
              <w:pStyle w:val="Compact"/>
              <w:ind w:firstLine="0"/>
              <w:jc w:val="left"/>
            </w:pPr>
            <w:r>
              <w:rPr>
                <w:rFonts w:ascii="Times New Roman" w:hAnsi="Times New Roman"/>
                <w:sz w:val="15"/>
              </w:rPr>
              <w:t xml:space="preserve">Charge accumulated since session start</w:t>
            </w:r>
          </w:p>
        </w:tc>
        <w:tc>
          <w:tcPr/>
          <w:p>
            <w:pPr>
              <w:pStyle w:val="Compact"/>
              <w:ind w:firstLine="0"/>
              <w:jc w:val="left"/>
            </w:pPr>
            <w:r>
              <w:rPr>
                <w:rFonts w:ascii="Times New Roman" w:hAnsi="Times New Roman"/>
                <w:sz w:val="15"/>
              </w:rPr>
              <w:t xml:space="preserve">Ah</w:t>
            </w:r>
          </w:p>
        </w:tc>
      </w:tr>
      <w:tr>
        <w:tc>
          <w:tcPr/>
          <w:p>
            <w:pPr>
              <w:pStyle w:val="Compact"/>
              <w:ind w:firstLine="0"/>
              <w:jc w:val="left"/>
            </w:pPr>
            <m:oMath>
              <m:sSup>
                <m:e>
                  <m:r>
                    <m:rPr>
                      <m:sty m:val="b"/>
                    </m:rPr>
                    <m:t>x</m:t>
                  </m:r>
                </m:e>
                <m:sup>
                  <m:r>
                    <m:t>a</m:t>
                  </m:r>
                </m:sup>
              </m:sSup>
            </m:oMath>
            <w:r>
              <w:rPr>
                <w:rFonts w:ascii="Times New Roman" w:hAnsi="Times New Roman"/>
                <w:sz w:val="15"/>
              </w:rPr>
              <w:t xml:space="preserve">,</w:t>
            </w:r>
            <w:r>
              <w:rPr>
                <w:rFonts w:ascii="Times New Roman" w:hAnsi="Times New Roman"/>
                <w:sz w:val="15"/>
              </w:rPr>
              <w:t xml:space="preserve"> </w:t>
            </w:r>
            <m:oMath>
              <m:sSup>
                <m:e>
                  <m:r>
                    <m:rPr>
                      <m:sty m:val="b"/>
                    </m:rPr>
                    <m:t>x</m:t>
                  </m:r>
                </m:e>
                <m:sup>
                  <m:r>
                    <m:t>v</m:t>
                  </m:r>
                </m:sup>
              </m:sSup>
            </m:oMath>
          </w:p>
        </w:tc>
        <w:tc>
          <w:tcPr/>
          <w:p>
            <w:pPr>
              <w:pStyle w:val="Compact"/>
              <w:ind w:firstLine="0"/>
              <w:jc w:val="left"/>
            </w:pPr>
            <w:r>
              <w:rPr>
                <w:rFonts w:ascii="Times New Roman" w:hAnsi="Times New Roman"/>
                <w:sz w:val="15"/>
              </w:rPr>
              <w:t xml:space="preserve">Charge-domain and voltage-domain session views</w:t>
            </w:r>
          </w:p>
        </w:tc>
        <w:tc>
          <w:tcPr/>
          <w:p>
            <w:pPr>
              <w:pStyle w:val="Compact"/>
              <w:ind w:firstLine="0"/>
              <w:jc w:val="left"/>
            </w:pPr>
            <w:r>
              <w:rPr>
                <w:rFonts w:ascii="Times New Roman" w:hAnsi="Times New Roman"/>
                <w:sz w:val="15"/>
              </w:rPr>
              <w:t xml:space="preserve">—</w:t>
            </w:r>
          </w:p>
        </w:tc>
      </w:tr>
      <w:tr>
        <w:tc>
          <w:tcPr/>
          <w:p>
            <w:pPr>
              <w:pStyle w:val="Compact"/>
              <w:ind w:firstLine="0"/>
              <w:jc w:val="left"/>
            </w:pPr>
            <m:oMath>
              <m:r>
                <m:rPr>
                  <m:sty m:val="b"/>
                </m:rPr>
                <m:t>u</m:t>
              </m:r>
            </m:oMath>
          </w:p>
        </w:tc>
        <w:tc>
          <w:tcPr/>
          <w:p>
            <w:pPr>
              <w:pStyle w:val="Compact"/>
              <w:ind w:firstLine="0"/>
              <w:jc w:val="left"/>
            </w:pPr>
            <w:r>
              <w:rPr>
                <w:rFonts w:ascii="Times New Roman" w:hAnsi="Times New Roman"/>
                <w:sz w:val="15"/>
              </w:rPr>
              <w:t xml:space="preserve">Context: chemistry, ambient temperature, C-rate</w:t>
            </w:r>
          </w:p>
        </w:tc>
        <w:tc>
          <w:tcPr/>
          <w:p>
            <w:pPr>
              <w:pStyle w:val="Compact"/>
              <w:ind w:firstLine="0"/>
              <w:jc w:val="left"/>
            </w:pPr>
            <w:r>
              <w:rPr>
                <w:rFonts w:ascii="Times New Roman" w:hAnsi="Times New Roman"/>
                <w:sz w:val="15"/>
              </w:rPr>
              <w:t xml:space="preserve">—</w:t>
            </w:r>
          </w:p>
        </w:tc>
      </w:tr>
      <w:tr>
        <w:tc>
          <w:tcPr/>
          <w:p>
            <w:pPr>
              <w:pStyle w:val="Compact"/>
              <w:ind w:firstLine="0"/>
              <w:jc w:val="left"/>
            </w:pPr>
            <m:oMath>
              <m:sSub>
                <m:e>
                  <m:acc>
                    <m:accPr>
                      <m:chr m:val="̂"/>
                    </m:accPr>
                    <m:e>
                      <m:r>
                        <m:t>q</m:t>
                      </m:r>
                    </m:e>
                  </m:acc>
                </m:e>
                <m:sub>
                  <m:r>
                    <m:t>τ</m:t>
                  </m:r>
                </m:sub>
              </m:sSub>
            </m:oMath>
          </w:p>
        </w:tc>
        <w:tc>
          <w:tcPr/>
          <w:p>
            <w:pPr>
              <w:pStyle w:val="Compact"/>
              <w:ind w:firstLine="0"/>
              <w:jc w:val="left"/>
            </w:pPr>
            <w:r>
              <w:rPr>
                <w:rFonts w:ascii="Times New Roman" w:hAnsi="Times New Roman"/>
                <w:sz w:val="15"/>
              </w:rPr>
              <w:t xml:space="preserve">Predicted</w:t>
            </w:r>
            <w:r>
              <w:rPr>
                <w:rFonts w:ascii="Times New Roman" w:hAnsi="Times New Roman"/>
                <w:sz w:val="15"/>
              </w:rPr>
              <w:t xml:space="preserve"> </w:t>
            </w:r>
            <m:oMath>
              <m:r>
                <m:t>τ</m:t>
              </m:r>
            </m:oMath>
            <w:r>
              <w:rPr>
                <w:rFonts w:ascii="Times New Roman" w:hAnsi="Times New Roman"/>
                <w:sz w:val="15"/>
              </w:rPr>
              <w:t xml:space="preserve">-quantile of SOH</w:t>
            </w:r>
          </w:p>
        </w:tc>
        <w:tc>
          <w:tcPr/>
          <w:p>
            <w:pPr>
              <w:pStyle w:val="Compact"/>
              <w:ind w:firstLine="0"/>
              <w:jc w:val="left"/>
            </w:pPr>
            <w:r>
              <w:rPr>
                <w:rFonts w:ascii="Times New Roman" w:hAnsi="Times New Roman"/>
                <w:sz w:val="15"/>
              </w:rPr>
              <w:t xml:space="preserve">—</w:t>
            </w:r>
          </w:p>
        </w:tc>
      </w:tr>
      <w:tr>
        <w:tc>
          <w:tcPr/>
          <w:p>
            <w:pPr>
              <w:pStyle w:val="Compact"/>
              <w:ind w:firstLine="0"/>
              <w:jc w:val="left"/>
            </w:pPr>
            <m:oMath>
              <m:sSub>
                <m:e>
                  <m:r>
                    <m:t>E</m:t>
                  </m:r>
                </m:e>
                <m:sub>
                  <m:r>
                    <m:t>i</m:t>
                  </m:r>
                </m:sub>
              </m:sSub>
            </m:oMath>
            <w:r>
              <w:rPr>
                <w:rFonts w:ascii="Times New Roman" w:hAnsi="Times New Roman"/>
                <w:sz w:val="15"/>
              </w:rPr>
              <w:t xml:space="preserve">,</w:t>
            </w:r>
            <w:r>
              <w:rPr>
                <w:rFonts w:ascii="Times New Roman" w:hAnsi="Times New Roman"/>
                <w:sz w:val="15"/>
              </w:rPr>
              <w:t xml:space="preserve"> </w:t>
            </w:r>
            <m:oMath>
              <m:acc>
                <m:accPr>
                  <m:chr m:val="̂"/>
                </m:accPr>
                <m:e>
                  <m:r>
                    <m:t>Q</m:t>
                  </m:r>
                </m:e>
              </m:acc>
            </m:oMath>
          </w:p>
        </w:tc>
        <w:tc>
          <w:tcPr/>
          <w:p>
            <w:pPr>
              <w:pStyle w:val="Compact"/>
              <w:ind w:firstLine="0"/>
              <w:jc w:val="left"/>
            </w:pPr>
            <w:r>
              <w:rPr>
                <w:rFonts w:ascii="Times New Roman" w:hAnsi="Times New Roman"/>
                <w:sz w:val="15"/>
              </w:rPr>
              <w:t xml:space="preserve">Conformity score; conformal correction</w:t>
            </w:r>
          </w:p>
        </w:tc>
        <w:tc>
          <w:tcPr/>
          <w:p>
            <w:pPr>
              <w:pStyle w:val="Compact"/>
              <w:ind w:firstLine="0"/>
              <w:jc w:val="left"/>
            </w:pPr>
            <w:r>
              <w:rPr>
                <w:rFonts w:ascii="Times New Roman" w:hAnsi="Times New Roman"/>
                <w:sz w:val="15"/>
              </w:rPr>
              <w:t xml:space="preserve">SOH</w:t>
            </w:r>
          </w:p>
        </w:tc>
      </w:tr>
    </w:tbl>
    <w:bookmarkEnd w:id="19"/>
    <w:bookmarkStart w:id="24" w:name="b.-datasets"/>
    <w:p>
      <w:pPr>
        <w:pStyle w:val="Heading2"/>
      </w:pPr>
      <w:r>
        <w:rPr>
          <w:rFonts w:ascii="Times New Roman" w:hAnsi="Times New Roman"/>
          <w:b w:val="0"/>
          <w:i/>
          <w:sz w:val="20"/>
        </w:rPr>
        <w:t xml:space="preserve">B. Datasets</w:t>
      </w:r>
    </w:p>
    <w:p>
      <w:pPr>
        <w:pStyle w:val="FirstParagraph"/>
      </w:pPr>
      <w:r>
        <w:t xml:space="preserve">Six public datasets were harmonized into one schema (Table III, Fig. 3): CALCE [10], Sandia/SNL [25], HUST [26], MATR [8], [27], NASA PCoE [9] and Oxford [11]. CALCE, SNL, HUST and MATR were taken from the processed BatteryLife release [24]; NASA and Oxford from the original files. All signals were converted to SI units with charge current positive, Oxford timestamps (stored in days) were converted to seconds, and the duplicated NASA cells B0025–B0028 were included once. This gave 362 cells and 400,224 cycles. Outlier cycles were flagged per cell with a Hampel filter on SOH (window 21, threshold three scaled median absolute deviations, MAD floored at 0.5 % SOH), which removed 0.29 % of cycles, including 11.7 % of NASA cycles, consistent with NASA’s note on anomalous low-capacity runs. One NASA cell without a valid charge curve was excluded, leaving 361 cells. SmartEV also holds vehicle trip-energy data (VED [28]), which is not used here because it contains no battery-health labels.</w:t>
      </w:r>
    </w:p>
    <w:p>
      <w:pPr>
        <w:pStyle w:val="TableCaption"/>
        <w:keepNext/>
        <w:ind w:firstLine="0"/>
        <w:jc w:val="center"/>
      </w:pPr>
      <w:r>
        <w:rPr>
          <w:rFonts w:ascii="Times New Roman" w:hAnsi="Times New Roman"/>
          <w:smallCaps w:val="0"/>
          <w:sz w:val="16"/>
        </w:rPr>
        <w:t xml:space="preserve">TABLE III</w:t>
      </w:r>
    </w:p>
    <w:p>
      <w:pPr>
        <w:pStyle w:val="TableCaption"/>
      </w:pPr>
      <w:r>
        <w:t xml:space="preserve">DATASETS USED (STATISTICS COMPUTED FROM THE PROCESSED FILES)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990"/>
        <w:gridCol w:w="990"/>
        <w:gridCol w:w="990"/>
        <w:gridCol w:w="990"/>
        <w:gridCol w:w="990"/>
        <w:gridCol w:w="990"/>
        <w:gridCol w:w="990"/>
        <w:gridCol w:w="990"/>
      </w:tblGrid>
      <w:tr>
        <w:trPr>
          <w:tblHeader w:val="on"/>
        </w:trPr>
        <w:tc>
          <w:tcPr/>
          <w:p>
            <w:pPr>
              <w:pStyle w:val="Compact"/>
              <w:ind w:firstLine="0"/>
              <w:jc w:val="left"/>
            </w:pPr>
            <w:r>
              <w:rPr>
                <w:rFonts w:ascii="Times New Roman" w:hAnsi="Times New Roman"/>
                <w:b/>
                <w:sz w:val="15"/>
              </w:rPr>
              <w:t xml:space="preserve">Source</w:t>
            </w:r>
          </w:p>
        </w:tc>
        <w:tc>
          <w:tcPr/>
          <w:p>
            <w:pPr>
              <w:pStyle w:val="Compact"/>
              <w:ind w:firstLine="0"/>
              <w:jc w:val="left"/>
            </w:pPr>
            <w:r>
              <w:rPr>
                <w:rFonts w:ascii="Times New Roman" w:hAnsi="Times New Roman"/>
                <w:b/>
                <w:sz w:val="15"/>
              </w:rPr>
              <w:t xml:space="preserve">Cells</w:t>
            </w:r>
          </w:p>
        </w:tc>
        <w:tc>
          <w:tcPr/>
          <w:p>
            <w:pPr>
              <w:pStyle w:val="Compact"/>
              <w:ind w:firstLine="0"/>
              <w:jc w:val="left"/>
            </w:pPr>
            <w:r>
              <w:rPr>
                <w:rFonts w:ascii="Times New Roman" w:hAnsi="Times New Roman"/>
                <w:b/>
                <w:sz w:val="15"/>
              </w:rPr>
              <w:t xml:space="preserve">Chemistry</w:t>
            </w:r>
          </w:p>
        </w:tc>
        <w:tc>
          <w:tcPr/>
          <w:p>
            <w:pPr>
              <w:pStyle w:val="Compact"/>
              <w:ind w:firstLine="0"/>
              <w:jc w:val="left"/>
            </w:pPr>
            <w:r>
              <w:rPr>
                <w:rFonts w:ascii="Times New Roman" w:hAnsi="Times New Roman"/>
                <w:b/>
                <w:sz w:val="15"/>
              </w:rPr>
              <w:t xml:space="preserve">Rated (Ah)</w:t>
            </w:r>
          </w:p>
        </w:tc>
        <w:tc>
          <w:tcPr/>
          <w:p>
            <w:pPr>
              <w:pStyle w:val="Compact"/>
              <w:ind w:firstLine="0"/>
              <w:jc w:val="left"/>
            </w:pPr>
            <w:r>
              <w:rPr>
                <w:rFonts w:ascii="Times New Roman" w:hAnsi="Times New Roman"/>
                <w:b/>
                <w:sz w:val="15"/>
              </w:rPr>
              <w:t xml:space="preserve">Ambient (°C)</w:t>
            </w:r>
          </w:p>
        </w:tc>
        <w:tc>
          <w:tcPr/>
          <w:p>
            <w:pPr>
              <w:pStyle w:val="Compact"/>
              <w:ind w:firstLine="0"/>
              <w:jc w:val="left"/>
            </w:pPr>
            <w:r>
              <w:rPr>
                <w:rFonts w:ascii="Times New Roman" w:hAnsi="Times New Roman"/>
                <w:b/>
                <w:sz w:val="15"/>
              </w:rPr>
              <w:t xml:space="preserve">Max charge C-rate</w:t>
            </w:r>
          </w:p>
        </w:tc>
        <w:tc>
          <w:tcPr/>
          <w:p>
            <w:pPr>
              <w:pStyle w:val="Compact"/>
              <w:ind w:firstLine="0"/>
              <w:jc w:val="left"/>
            </w:pPr>
            <w:r>
              <w:rPr>
                <w:rFonts w:ascii="Times New Roman" w:hAnsi="Times New Roman"/>
                <w:b/>
                <w:sz w:val="15"/>
              </w:rPr>
              <w:t xml:space="preserve">Sessions</w:t>
            </w:r>
          </w:p>
        </w:tc>
        <w:tc>
          <w:tcPr/>
          <w:p>
            <w:pPr>
              <w:pStyle w:val="Compact"/>
              <w:ind w:firstLine="0"/>
              <w:jc w:val="left"/>
            </w:pPr>
            <w:r>
              <w:rPr>
                <w:rFonts w:ascii="Times New Roman" w:hAnsi="Times New Roman"/>
                <w:b/>
                <w:sz w:val="15"/>
              </w:rPr>
              <w:t xml:space="preserve">SOH range</w:t>
            </w:r>
          </w:p>
        </w:tc>
      </w:tr>
      <w:tr>
        <w:tc>
          <w:tcPr/>
          <w:p>
            <w:pPr>
              <w:pStyle w:val="Compact"/>
              <w:ind w:firstLine="0"/>
              <w:jc w:val="left"/>
            </w:pPr>
            <w:r>
              <w:rPr>
                <w:rFonts w:ascii="Times New Roman" w:hAnsi="Times New Roman"/>
                <w:sz w:val="15"/>
              </w:rPr>
              <w:t xml:space="preserve">CALCE [10]</w:t>
            </w:r>
          </w:p>
        </w:tc>
        <w:tc>
          <w:tcPr/>
          <w:p>
            <w:pPr>
              <w:pStyle w:val="Compact"/>
              <w:ind w:firstLine="0"/>
              <w:jc w:val="left"/>
            </w:pPr>
            <w:r>
              <w:rPr>
                <w:rFonts w:ascii="Times New Roman" w:hAnsi="Times New Roman"/>
                <w:sz w:val="15"/>
              </w:rPr>
              <w:t xml:space="preserve">13</w:t>
            </w:r>
          </w:p>
        </w:tc>
        <w:tc>
          <w:tcPr/>
          <w:p>
            <w:pPr>
              <w:pStyle w:val="Compact"/>
              <w:ind w:firstLine="0"/>
              <w:jc w:val="left"/>
            </w:pPr>
            <w:r>
              <w:rPr>
                <w:rFonts w:ascii="Times New Roman" w:hAnsi="Times New Roman"/>
                <w:sz w:val="15"/>
              </w:rPr>
              <w:t xml:space="preserve">LCO</w:t>
            </w:r>
          </w:p>
        </w:tc>
        <w:tc>
          <w:tcPr/>
          <w:p>
            <w:pPr>
              <w:pStyle w:val="Compact"/>
              <w:ind w:firstLine="0"/>
              <w:jc w:val="left"/>
            </w:pPr>
            <w:r>
              <w:rPr>
                <w:rFonts w:ascii="Times New Roman" w:hAnsi="Times New Roman"/>
                <w:sz w:val="15"/>
              </w:rPr>
              <w:t xml:space="preserve">1.1–1.35</w:t>
            </w:r>
          </w:p>
        </w:tc>
        <w:tc>
          <w:tcPr/>
          <w:p>
            <w:pPr>
              <w:pStyle w:val="Compact"/>
              <w:ind w:firstLine="0"/>
              <w:jc w:val="left"/>
            </w:pPr>
            <w:r>
              <w:rPr>
                <w:rFonts w:ascii="Times New Roman" w:hAnsi="Times New Roman"/>
                <w:sz w:val="15"/>
              </w:rPr>
              <w:t xml:space="preserve">25</w:t>
            </w:r>
          </w:p>
        </w:tc>
        <w:tc>
          <w:tcPr/>
          <w:p>
            <w:pPr>
              <w:pStyle w:val="Compact"/>
              <w:ind w:firstLine="0"/>
              <w:jc w:val="left"/>
            </w:pPr>
            <w:r>
              <w:rPr>
                <w:rFonts w:ascii="Times New Roman" w:hAnsi="Times New Roman"/>
                <w:sz w:val="15"/>
              </w:rPr>
              <w:t xml:space="preserve">0.5</w:t>
            </w:r>
          </w:p>
        </w:tc>
        <w:tc>
          <w:tcPr/>
          <w:p>
            <w:pPr>
              <w:pStyle w:val="Compact"/>
              <w:ind w:firstLine="0"/>
              <w:jc w:val="left"/>
            </w:pPr>
            <w:r>
              <w:rPr>
                <w:rFonts w:ascii="Times New Roman" w:hAnsi="Times New Roman"/>
                <w:sz w:val="15"/>
              </w:rPr>
              <w:t xml:space="preserve">3,118</w:t>
            </w:r>
          </w:p>
        </w:tc>
        <w:tc>
          <w:tcPr/>
          <w:p>
            <w:pPr>
              <w:pStyle w:val="Compact"/>
              <w:ind w:firstLine="0"/>
              <w:jc w:val="left"/>
            </w:pPr>
            <w:r>
              <w:rPr>
                <w:rFonts w:ascii="Times New Roman" w:hAnsi="Times New Roman"/>
                <w:sz w:val="15"/>
              </w:rPr>
              <w:t xml:space="preserve">0.50–1.05</w:t>
            </w:r>
          </w:p>
        </w:tc>
      </w:tr>
      <w:tr>
        <w:tc>
          <w:tcPr/>
          <w:p>
            <w:pPr>
              <w:pStyle w:val="Compact"/>
              <w:ind w:firstLine="0"/>
              <w:jc w:val="left"/>
            </w:pPr>
            <w:r>
              <w:rPr>
                <w:rFonts w:ascii="Times New Roman" w:hAnsi="Times New Roman"/>
                <w:sz w:val="15"/>
              </w:rPr>
              <w:t xml:space="preserve">SNL [25]</w:t>
            </w:r>
          </w:p>
        </w:tc>
        <w:tc>
          <w:tcPr/>
          <w:p>
            <w:pPr>
              <w:pStyle w:val="Compact"/>
              <w:ind w:firstLine="0"/>
              <w:jc w:val="left"/>
            </w:pPr>
            <w:r>
              <w:rPr>
                <w:rFonts w:ascii="Times New Roman" w:hAnsi="Times New Roman"/>
                <w:sz w:val="15"/>
              </w:rPr>
              <w:t xml:space="preserve">61</w:t>
            </w:r>
          </w:p>
        </w:tc>
        <w:tc>
          <w:tcPr/>
          <w:p>
            <w:pPr>
              <w:pStyle w:val="Compact"/>
              <w:ind w:firstLine="0"/>
              <w:jc w:val="left"/>
            </w:pPr>
            <w:r>
              <w:rPr>
                <w:rFonts w:ascii="Times New Roman" w:hAnsi="Times New Roman"/>
                <w:sz w:val="15"/>
              </w:rPr>
              <w:t xml:space="preserve">LFP 18, NMC 21, NCA 22</w:t>
            </w:r>
          </w:p>
        </w:tc>
        <w:tc>
          <w:tcPr/>
          <w:p>
            <w:pPr>
              <w:pStyle w:val="Compact"/>
              <w:ind w:firstLine="0"/>
              <w:jc w:val="left"/>
            </w:pPr>
            <w:r>
              <w:rPr>
                <w:rFonts w:ascii="Times New Roman" w:hAnsi="Times New Roman"/>
                <w:sz w:val="15"/>
              </w:rPr>
              <w:t xml:space="preserve">1.1 / 3.0 / 3.2</w:t>
            </w:r>
          </w:p>
        </w:tc>
        <w:tc>
          <w:tcPr/>
          <w:p>
            <w:pPr>
              <w:pStyle w:val="Compact"/>
              <w:ind w:firstLine="0"/>
              <w:jc w:val="left"/>
            </w:pPr>
            <w:r>
              <w:rPr>
                <w:rFonts w:ascii="Times New Roman" w:hAnsi="Times New Roman"/>
                <w:sz w:val="15"/>
              </w:rPr>
              <w:t xml:space="preserve">15, 25, 35</w:t>
            </w:r>
          </w:p>
        </w:tc>
        <w:tc>
          <w:tcPr/>
          <w:p>
            <w:pPr>
              <w:pStyle w:val="Compact"/>
              <w:ind w:firstLine="0"/>
              <w:jc w:val="left"/>
            </w:pPr>
            <w:r>
              <w:rPr>
                <w:rFonts w:ascii="Times New Roman" w:hAnsi="Times New Roman"/>
                <w:sz w:val="15"/>
              </w:rPr>
              <w:t xml:space="preserve">0.5</w:t>
            </w:r>
          </w:p>
        </w:tc>
        <w:tc>
          <w:tcPr/>
          <w:p>
            <w:pPr>
              <w:pStyle w:val="Compact"/>
              <w:ind w:firstLine="0"/>
              <w:jc w:val="left"/>
            </w:pPr>
            <w:r>
              <w:rPr>
                <w:rFonts w:ascii="Times New Roman" w:hAnsi="Times New Roman"/>
                <w:sz w:val="15"/>
              </w:rPr>
              <w:t xml:space="preserve">14,640</w:t>
            </w:r>
          </w:p>
        </w:tc>
        <w:tc>
          <w:tcPr/>
          <w:p>
            <w:pPr>
              <w:pStyle w:val="Compact"/>
              <w:ind w:firstLine="0"/>
              <w:jc w:val="left"/>
            </w:pPr>
            <w:r>
              <w:rPr>
                <w:rFonts w:ascii="Times New Roman" w:hAnsi="Times New Roman"/>
                <w:sz w:val="15"/>
              </w:rPr>
              <w:t xml:space="preserve">0.50–1.01</w:t>
            </w:r>
          </w:p>
        </w:tc>
      </w:tr>
      <w:tr>
        <w:tc>
          <w:tcPr/>
          <w:p>
            <w:pPr>
              <w:pStyle w:val="Compact"/>
              <w:ind w:firstLine="0"/>
              <w:jc w:val="left"/>
            </w:pPr>
            <w:r>
              <w:rPr>
                <w:rFonts w:ascii="Times New Roman" w:hAnsi="Times New Roman"/>
                <w:sz w:val="15"/>
              </w:rPr>
              <w:t xml:space="preserve">HUST [26]</w:t>
            </w:r>
          </w:p>
        </w:tc>
        <w:tc>
          <w:tcPr/>
          <w:p>
            <w:pPr>
              <w:pStyle w:val="Compact"/>
              <w:ind w:firstLine="0"/>
              <w:jc w:val="left"/>
            </w:pPr>
            <w:r>
              <w:rPr>
                <w:rFonts w:ascii="Times New Roman" w:hAnsi="Times New Roman"/>
                <w:sz w:val="15"/>
              </w:rPr>
              <w:t xml:space="preserve">77</w:t>
            </w:r>
          </w:p>
        </w:tc>
        <w:tc>
          <w:tcPr/>
          <w:p>
            <w:pPr>
              <w:pStyle w:val="Compact"/>
              <w:ind w:firstLine="0"/>
              <w:jc w:val="left"/>
            </w:pPr>
            <w:r>
              <w:rPr>
                <w:rFonts w:ascii="Times New Roman" w:hAnsi="Times New Roman"/>
                <w:sz w:val="15"/>
              </w:rPr>
              <w:t xml:space="preserve">LFP</w:t>
            </w:r>
          </w:p>
        </w:tc>
        <w:tc>
          <w:tcPr/>
          <w:p>
            <w:pPr>
              <w:pStyle w:val="Compact"/>
              <w:ind w:firstLine="0"/>
              <w:jc w:val="left"/>
            </w:pPr>
            <w:r>
              <w:rPr>
                <w:rFonts w:ascii="Times New Roman" w:hAnsi="Times New Roman"/>
                <w:sz w:val="15"/>
              </w:rPr>
              <w:t xml:space="preserve">1.1</w:t>
            </w:r>
          </w:p>
        </w:tc>
        <w:tc>
          <w:tcPr/>
          <w:p>
            <w:pPr>
              <w:pStyle w:val="Compact"/>
              <w:ind w:firstLine="0"/>
              <w:jc w:val="left"/>
            </w:pPr>
            <w:r>
              <w:rPr>
                <w:rFonts w:ascii="Times New Roman" w:hAnsi="Times New Roman"/>
                <w:sz w:val="15"/>
              </w:rPr>
              <w:t xml:space="preserve">30</w:t>
            </w:r>
          </w:p>
        </w:tc>
        <w:tc>
          <w:tcPr/>
          <w:p>
            <w:pPr>
              <w:pStyle w:val="Compact"/>
              <w:ind w:firstLine="0"/>
              <w:jc w:val="left"/>
            </w:pPr>
            <w:r>
              <w:rPr>
                <w:rFonts w:ascii="Times New Roman" w:hAnsi="Times New Roman"/>
                <w:sz w:val="15"/>
              </w:rPr>
              <w:t xml:space="preserve">5</w:t>
            </w:r>
          </w:p>
        </w:tc>
        <w:tc>
          <w:tcPr/>
          <w:p>
            <w:pPr>
              <w:pStyle w:val="Compact"/>
              <w:ind w:firstLine="0"/>
              <w:jc w:val="left"/>
            </w:pPr>
            <w:r>
              <w:rPr>
                <w:rFonts w:ascii="Times New Roman" w:hAnsi="Times New Roman"/>
                <w:sz w:val="15"/>
              </w:rPr>
              <w:t xml:space="preserve">18,480</w:t>
            </w:r>
          </w:p>
        </w:tc>
        <w:tc>
          <w:tcPr/>
          <w:p>
            <w:pPr>
              <w:pStyle w:val="Compact"/>
              <w:ind w:firstLine="0"/>
              <w:jc w:val="left"/>
            </w:pPr>
            <w:r>
              <w:rPr>
                <w:rFonts w:ascii="Times New Roman" w:hAnsi="Times New Roman"/>
                <w:sz w:val="15"/>
              </w:rPr>
              <w:t xml:space="preserve">0.81–1.14</w:t>
            </w:r>
          </w:p>
        </w:tc>
      </w:tr>
      <w:tr>
        <w:tc>
          <w:tcPr/>
          <w:p>
            <w:pPr>
              <w:pStyle w:val="Compact"/>
              <w:ind w:firstLine="0"/>
              <w:jc w:val="left"/>
            </w:pPr>
            <w:r>
              <w:rPr>
                <w:rFonts w:ascii="Times New Roman" w:hAnsi="Times New Roman"/>
                <w:sz w:val="15"/>
              </w:rPr>
              <w:t xml:space="preserve">MATR [8], [27]</w:t>
            </w:r>
          </w:p>
        </w:tc>
        <w:tc>
          <w:tcPr/>
          <w:p>
            <w:pPr>
              <w:pStyle w:val="Compact"/>
              <w:ind w:firstLine="0"/>
              <w:jc w:val="left"/>
            </w:pPr>
            <w:r>
              <w:rPr>
                <w:rFonts w:ascii="Times New Roman" w:hAnsi="Times New Roman"/>
                <w:sz w:val="15"/>
              </w:rPr>
              <w:t xml:space="preserve">169</w:t>
            </w:r>
          </w:p>
        </w:tc>
        <w:tc>
          <w:tcPr/>
          <w:p>
            <w:pPr>
              <w:pStyle w:val="Compact"/>
              <w:ind w:firstLine="0"/>
              <w:jc w:val="left"/>
            </w:pPr>
            <w:r>
              <w:rPr>
                <w:rFonts w:ascii="Times New Roman" w:hAnsi="Times New Roman"/>
                <w:sz w:val="15"/>
              </w:rPr>
              <w:t xml:space="preserve">LFP</w:t>
            </w:r>
          </w:p>
        </w:tc>
        <w:tc>
          <w:tcPr/>
          <w:p>
            <w:pPr>
              <w:pStyle w:val="Compact"/>
              <w:ind w:firstLine="0"/>
              <w:jc w:val="left"/>
            </w:pPr>
            <w:r>
              <w:rPr>
                <w:rFonts w:ascii="Times New Roman" w:hAnsi="Times New Roman"/>
                <w:sz w:val="15"/>
              </w:rPr>
              <w:t xml:space="preserve">1.1</w:t>
            </w:r>
          </w:p>
        </w:tc>
        <w:tc>
          <w:tcPr/>
          <w:p>
            <w:pPr>
              <w:pStyle w:val="Compact"/>
              <w:ind w:firstLine="0"/>
              <w:jc w:val="left"/>
            </w:pPr>
            <w:r>
              <w:rPr>
                <w:rFonts w:ascii="Times New Roman" w:hAnsi="Times New Roman"/>
                <w:sz w:val="15"/>
              </w:rPr>
              <w:t xml:space="preserve">30</w:t>
            </w:r>
          </w:p>
        </w:tc>
        <w:tc>
          <w:tcPr/>
          <w:p>
            <w:pPr>
              <w:pStyle w:val="Compact"/>
              <w:ind w:firstLine="0"/>
              <w:jc w:val="left"/>
            </w:pPr>
            <w:r>
              <w:rPr>
                <w:rFonts w:ascii="Times New Roman" w:hAnsi="Times New Roman"/>
                <w:sz w:val="15"/>
              </w:rPr>
              <w:t xml:space="preserve">8</w:t>
            </w:r>
          </w:p>
        </w:tc>
        <w:tc>
          <w:tcPr/>
          <w:p>
            <w:pPr>
              <w:pStyle w:val="Compact"/>
              <w:ind w:firstLine="0"/>
              <w:jc w:val="left"/>
            </w:pPr>
            <w:r>
              <w:rPr>
                <w:rFonts w:ascii="Times New Roman" w:hAnsi="Times New Roman"/>
                <w:sz w:val="15"/>
              </w:rPr>
              <w:t xml:space="preserve">40,224</w:t>
            </w:r>
          </w:p>
        </w:tc>
        <w:tc>
          <w:tcPr/>
          <w:p>
            <w:pPr>
              <w:pStyle w:val="Compact"/>
              <w:ind w:firstLine="0"/>
              <w:jc w:val="left"/>
            </w:pPr>
            <w:r>
              <w:rPr>
                <w:rFonts w:ascii="Times New Roman" w:hAnsi="Times New Roman"/>
                <w:sz w:val="15"/>
              </w:rPr>
              <w:t xml:space="preserve">0.50–1.00</w:t>
            </w:r>
          </w:p>
        </w:tc>
      </w:tr>
      <w:tr>
        <w:tc>
          <w:tcPr/>
          <w:p>
            <w:pPr>
              <w:pStyle w:val="Compact"/>
              <w:ind w:firstLine="0"/>
              <w:jc w:val="left"/>
            </w:pPr>
            <w:r>
              <w:rPr>
                <w:rFonts w:ascii="Times New Roman" w:hAnsi="Times New Roman"/>
                <w:sz w:val="15"/>
              </w:rPr>
              <w:t xml:space="preserve">NASA [9]</w:t>
            </w:r>
          </w:p>
        </w:tc>
        <w:tc>
          <w:tcPr/>
          <w:p>
            <w:pPr>
              <w:pStyle w:val="Compact"/>
              <w:ind w:firstLine="0"/>
              <w:jc w:val="left"/>
            </w:pPr>
            <w:r>
              <w:rPr>
                <w:rFonts w:ascii="Times New Roman" w:hAnsi="Times New Roman"/>
                <w:sz w:val="15"/>
              </w:rPr>
              <w:t xml:space="preserve">33</w:t>
            </w:r>
          </w:p>
        </w:tc>
        <w:tc>
          <w:tcPr/>
          <w:p>
            <w:pPr>
              <w:pStyle w:val="Compact"/>
              <w:ind w:firstLine="0"/>
              <w:jc w:val="left"/>
            </w:pPr>
            <w:r>
              <w:rPr>
                <w:rFonts w:ascii="Times New Roman" w:hAnsi="Times New Roman"/>
                <w:sz w:val="15"/>
              </w:rPr>
              <w:t xml:space="preserve">Undisclosed</w:t>
            </w:r>
          </w:p>
        </w:tc>
        <w:tc>
          <w:tcPr/>
          <w:p>
            <w:pPr>
              <w:pStyle w:val="Compact"/>
              <w:ind w:firstLine="0"/>
              <w:jc w:val="left"/>
            </w:pPr>
            <w:r>
              <w:rPr>
                <w:rFonts w:ascii="Times New Roman" w:hAnsi="Times New Roman"/>
                <w:sz w:val="15"/>
              </w:rPr>
              <w:t xml:space="preserve">2.0</w:t>
            </w:r>
          </w:p>
        </w:tc>
        <w:tc>
          <w:tcPr/>
          <w:p>
            <w:pPr>
              <w:pStyle w:val="Compact"/>
              <w:ind w:firstLine="0"/>
              <w:jc w:val="left"/>
            </w:pPr>
            <w:r>
              <w:rPr>
                <w:rFonts w:ascii="Times New Roman" w:hAnsi="Times New Roman"/>
                <w:sz w:val="15"/>
              </w:rPr>
              <w:t xml:space="preserve">4, 24, 43–44</w:t>
            </w:r>
          </w:p>
        </w:tc>
        <w:tc>
          <w:tcPr/>
          <w:p>
            <w:pPr>
              <w:pStyle w:val="Compact"/>
              <w:ind w:firstLine="0"/>
              <w:jc w:val="left"/>
            </w:pPr>
            <w:r>
              <w:rPr>
                <w:rFonts w:ascii="Times New Roman" w:hAnsi="Times New Roman"/>
                <w:sz w:val="15"/>
              </w:rPr>
              <w:t xml:space="preserve">0.75</w:t>
            </w:r>
          </w:p>
        </w:tc>
        <w:tc>
          <w:tcPr/>
          <w:p>
            <w:pPr>
              <w:pStyle w:val="Compact"/>
              <w:ind w:firstLine="0"/>
              <w:jc w:val="left"/>
            </w:pPr>
            <w:r>
              <w:rPr>
                <w:rFonts w:ascii="Times New Roman" w:hAnsi="Times New Roman"/>
                <w:sz w:val="15"/>
              </w:rPr>
              <w:t xml:space="preserve">3,587</w:t>
            </w:r>
          </w:p>
        </w:tc>
        <w:tc>
          <w:tcPr/>
          <w:p>
            <w:pPr>
              <w:pStyle w:val="Compact"/>
              <w:ind w:firstLine="0"/>
              <w:jc w:val="left"/>
            </w:pPr>
            <w:r>
              <w:rPr>
                <w:rFonts w:ascii="Times New Roman" w:hAnsi="Times New Roman"/>
                <w:sz w:val="15"/>
              </w:rPr>
              <w:t xml:space="preserve">0.50–1.02</w:t>
            </w:r>
          </w:p>
        </w:tc>
      </w:tr>
      <w:tr>
        <w:tc>
          <w:tcPr/>
          <w:p>
            <w:pPr>
              <w:pStyle w:val="Compact"/>
              <w:ind w:firstLine="0"/>
              <w:jc w:val="left"/>
            </w:pPr>
            <w:r>
              <w:rPr>
                <w:rFonts w:ascii="Times New Roman" w:hAnsi="Times New Roman"/>
                <w:sz w:val="15"/>
              </w:rPr>
              <w:t xml:space="preserve">Oxford [11]</w:t>
            </w:r>
          </w:p>
        </w:tc>
        <w:tc>
          <w:tcPr/>
          <w:p>
            <w:pPr>
              <w:pStyle w:val="Compact"/>
              <w:ind w:firstLine="0"/>
              <w:jc w:val="left"/>
            </w:pPr>
            <w:r>
              <w:rPr>
                <w:rFonts w:ascii="Times New Roman" w:hAnsi="Times New Roman"/>
                <w:sz w:val="15"/>
              </w:rPr>
              <w:t xml:space="preserve">8</w:t>
            </w:r>
          </w:p>
        </w:tc>
        <w:tc>
          <w:tcPr/>
          <w:p>
            <w:pPr>
              <w:pStyle w:val="Compact"/>
              <w:ind w:firstLine="0"/>
              <w:jc w:val="left"/>
            </w:pPr>
            <w:r>
              <w:rPr>
                <w:rFonts w:ascii="Times New Roman" w:hAnsi="Times New Roman"/>
                <w:sz w:val="15"/>
              </w:rPr>
              <w:t xml:space="preserve">LCO/NCO</w:t>
            </w:r>
          </w:p>
        </w:tc>
        <w:tc>
          <w:tcPr/>
          <w:p>
            <w:pPr>
              <w:pStyle w:val="Compact"/>
              <w:ind w:firstLine="0"/>
              <w:jc w:val="left"/>
            </w:pPr>
            <w:r>
              <w:rPr>
                <w:rFonts w:ascii="Times New Roman" w:hAnsi="Times New Roman"/>
                <w:sz w:val="15"/>
              </w:rPr>
              <w:t xml:space="preserve">0.74</w:t>
            </w:r>
          </w:p>
        </w:tc>
        <w:tc>
          <w:tcPr/>
          <w:p>
            <w:pPr>
              <w:pStyle w:val="Compact"/>
              <w:ind w:firstLine="0"/>
              <w:jc w:val="left"/>
            </w:pPr>
            <w:r>
              <w:rPr>
                <w:rFonts w:ascii="Times New Roman" w:hAnsi="Times New Roman"/>
                <w:sz w:val="15"/>
              </w:rPr>
              <w:t xml:space="preserve">40</w:t>
            </w:r>
          </w:p>
        </w:tc>
        <w:tc>
          <w:tcPr/>
          <w:p>
            <w:pPr>
              <w:pStyle w:val="Compact"/>
              <w:ind w:firstLine="0"/>
              <w:jc w:val="left"/>
            </w:pPr>
            <w:r>
              <w:rPr>
                <w:rFonts w:ascii="Times New Roman" w:hAnsi="Times New Roman"/>
                <w:sz w:val="15"/>
              </w:rPr>
              <w:t xml:space="preserve">2</w:t>
            </w:r>
          </w:p>
        </w:tc>
        <w:tc>
          <w:tcPr/>
          <w:p>
            <w:pPr>
              <w:pStyle w:val="Compact"/>
              <w:ind w:firstLine="0"/>
              <w:jc w:val="left"/>
            </w:pPr>
            <w:r>
              <w:rPr>
                <w:rFonts w:ascii="Times New Roman" w:hAnsi="Times New Roman"/>
                <w:sz w:val="15"/>
              </w:rPr>
              <w:t xml:space="preserve">1,024</w:t>
            </w:r>
          </w:p>
        </w:tc>
        <w:tc>
          <w:tcPr/>
          <w:p>
            <w:pPr>
              <w:pStyle w:val="Compact"/>
              <w:ind w:firstLine="0"/>
              <w:jc w:val="left"/>
            </w:pPr>
            <w:r>
              <w:rPr>
                <w:rFonts w:ascii="Times New Roman" w:hAnsi="Times New Roman"/>
                <w:sz w:val="15"/>
              </w:rPr>
              <w:t xml:space="preserve">0.74–1.00</w:t>
            </w:r>
          </w:p>
        </w:tc>
      </w:tr>
      <w:tr>
        <w:tc>
          <w:tcPr/>
          <w:p>
            <w:pPr>
              <w:pStyle w:val="Compact"/>
              <w:ind w:firstLine="0"/>
              <w:jc w:val="left"/>
            </w:pPr>
            <w:r>
              <w:rPr>
                <w:rFonts w:ascii="Times New Roman" w:hAnsi="Times New Roman"/>
                <w:sz w:val="15"/>
              </w:rPr>
              <w:t xml:space="preserve">Total</w:t>
            </w:r>
          </w:p>
        </w:tc>
        <w:tc>
          <w:tcPr/>
          <w:p>
            <w:pPr>
              <w:pStyle w:val="Compact"/>
              <w:ind w:firstLine="0"/>
              <w:jc w:val="left"/>
            </w:pPr>
            <w:r>
              <w:rPr>
                <w:rFonts w:ascii="Times New Roman" w:hAnsi="Times New Roman"/>
                <w:sz w:val="15"/>
              </w:rPr>
              <w:t xml:space="preserve">361</w:t>
            </w:r>
          </w:p>
        </w:tc>
        <w:tc>
          <w:tcPr/>
          <w:p>
            <w:pPr>
              <w:pStyle w:val="Compact"/>
              <w:ind w:firstLine="0"/>
              <w:jc w:val="left"/>
            </w:pPr>
            <w:r>
              <w:rPr>
                <w:rFonts w:ascii="Times New Roman" w:hAnsi="Times New Roman"/>
                <w:sz w:val="15"/>
              </w:rPr>
              <w:t xml:space="preserve">5 + undisclosed</w:t>
            </w:r>
          </w:p>
        </w:tc>
        <w:tc>
          <w:tcPr/>
          <w:p>
            <w:pPr>
              <w:pStyle w:val="Compact"/>
              <w:ind w:firstLine="0"/>
              <w:jc w:val="left"/>
            </w:pPr>
          </w:p>
        </w:tc>
        <w:tc>
          <w:tcPr/>
          <w:p>
            <w:pPr>
              <w:pStyle w:val="Compact"/>
              <w:ind w:firstLine="0"/>
              <w:jc w:val="left"/>
            </w:pPr>
          </w:p>
        </w:tc>
        <w:tc>
          <w:tcPr/>
          <w:p>
            <w:pPr>
              <w:pStyle w:val="Compact"/>
              <w:ind w:firstLine="0"/>
              <w:jc w:val="left"/>
            </w:pPr>
          </w:p>
        </w:tc>
        <w:tc>
          <w:tcPr/>
          <w:p>
            <w:pPr>
              <w:pStyle w:val="Compact"/>
              <w:ind w:firstLine="0"/>
              <w:jc w:val="left"/>
            </w:pPr>
            <w:r>
              <w:rPr>
                <w:rFonts w:ascii="Times New Roman" w:hAnsi="Times New Roman"/>
                <w:sz w:val="15"/>
              </w:rPr>
              <w:t xml:space="preserve">81,073</w:t>
            </w:r>
          </w:p>
        </w:tc>
        <w:tc>
          <w:tcPr/>
          <w:p>
            <w:pPr>
              <w:pStyle w:val="Compact"/>
              <w:ind w:firstLine="0"/>
              <w:jc w:val="left"/>
            </w:pPr>
          </w:p>
        </w:tc>
      </w:tr>
    </w:tbl>
    <w:p>
      <w:pPr>
        <w:sectPr>
          <w:type w:val="continuous"/>
          <w:pgSz w:w="12240" w:h="15840"/>
          <w:pgMar w:top="1080" w:bottom="1440" w:left="900" w:right="900" w:header="720" w:footer="720" w:gutter="0"/>
          <w:cols w:num="1" w:space="360"/>
        </w:sectPr>
      </w:pPr>
    </w:p>
    <w:bookmarkStart w:id="23" w:name="figA_dataset_overview"/>
    <w:p>
      <w:pPr>
        <w:pStyle w:val="CaptionedFigure"/>
      </w:pPr>
      <w:r>
        <w:drawing>
          <wp:inline>
            <wp:extent cx="3154680" cy="4112948"/>
            <wp:effectExtent b="0" l="0" r="0" t="0"/>
            <wp:docPr descr="Fig. 3. Dataset overview computed from the harmonized files: cells per source and chemistry (top) and SOH distribution of clean cycles per source (bottom)." title="" id="21" name="Picture"/>
            <a:graphic>
              <a:graphicData uri="http://schemas.openxmlformats.org/drawingml/2006/picture">
                <pic:pic>
                  <pic:nvPicPr>
                    <pic:cNvPr descr="../figures/figA_dataset_overview.png" id="22" name="Picture"/>
                    <pic:cNvPicPr>
                      <a:picLocks noChangeArrowheads="1" noChangeAspect="1"/>
                    </pic:cNvPicPr>
                  </pic:nvPicPr>
                  <pic:blipFill>
                    <a:blip r:embed="rId20"/>
                    <a:stretch>
                      <a:fillRect/>
                    </a:stretch>
                  </pic:blipFill>
                  <pic:spPr bwMode="auto">
                    <a:xfrm>
                      <a:off x="0" y="0"/>
                      <a:ext cx="3154680" cy="4112948"/>
                    </a:xfrm>
                    <a:prstGeom prst="rect">
                      <a:avLst/>
                    </a:prstGeom>
                    <a:noFill/>
                    <a:ln w="9525">
                      <a:noFill/>
                      <a:headEnd/>
                      <a:tailEnd/>
                    </a:ln>
                  </pic:spPr>
                </pic:pic>
              </a:graphicData>
            </a:graphic>
          </wp:inline>
        </w:drawing>
      </w:r>
    </w:p>
    <w:p>
      <w:pPr>
        <w:pStyle w:val="ImageCaption"/>
      </w:pPr>
      <w:r>
        <w:t xml:space="preserve">Fig. 3. Dataset overview computed from the harmonized files: cells per source and chemistry (top) and SOH distribution of clean cycles per source (bottom).</w:t>
      </w:r>
    </w:p>
    <w:bookmarkEnd w:id="23"/>
    <w:bookmarkEnd w:id="24"/>
    <w:bookmarkStart w:id="29" w:name="c.-partial-session-construction"/>
    <w:p>
      <w:pPr>
        <w:pStyle w:val="Heading2"/>
      </w:pPr>
      <w:r>
        <w:rPr>
          <w:rFonts w:ascii="Times New Roman" w:hAnsi="Times New Roman"/>
          <w:b w:val="0"/>
          <w:i/>
          <w:sz w:val="20"/>
        </w:rPr>
        <w:t xml:space="preserve">C. Partial-Session Construction</w:t>
      </w:r>
    </w:p>
    <w:p>
      <w:pPr>
        <w:pStyle w:val="FirstParagraph"/>
      </w:pPr>
      <w:r>
        <w:t xml:space="preserve">For each cell, up to 120 clean cycles with</w:t>
      </w:r>
      <w:r>
        <w:t xml:space="preserve"> </w:t>
      </w:r>
      <m:oMath>
        <m:r>
          <m:t>0.5</m:t>
        </m:r>
        <m:r>
          <m:rPr>
            <m:sty m:val="p"/>
          </m:rPr>
          <m:t>≤</m:t>
        </m:r>
        <m:r>
          <m:rPr>
            <m:sty m:val="p"/>
          </m:rPr>
          <m:t>S</m:t>
        </m:r>
        <m:r>
          <m:rPr>
            <m:sty m:val="p"/>
          </m:rPr>
          <m:t>O</m:t>
        </m:r>
        <m:r>
          <m:rPr>
            <m:sty m:val="p"/>
          </m:rPr>
          <m:t>H</m:t>
        </m:r>
        <m:r>
          <m:rPr>
            <m:sty m:val="p"/>
          </m:rPr>
          <m:t>≤</m:t>
        </m:r>
        <m:r>
          <m:t>1.2</m:t>
        </m:r>
      </m:oMath>
      <w:r>
        <w:t xml:space="preserve"> </w:t>
      </w:r>
      <w:r>
        <w:t xml:space="preserve">were selected evenly over life, and two sessions were sampled per cycle with</w:t>
      </w:r>
      <w:r>
        <w:t xml:space="preserve"> </w:t>
      </w:r>
      <m:oMath>
        <m:r>
          <m:t>s</m:t>
        </m:r>
        <m:r>
          <m:rPr>
            <m:sty m:val="p"/>
          </m:rPr>
          <m:t>∼</m:t>
        </m:r>
        <m:r>
          <m:rPr>
            <m:scr m:val="script"/>
            <m:sty m:val="p"/>
          </m:rPr>
          <m:t>U</m:t>
        </m:r>
        <m:r>
          <m:rPr>
            <m:sty m:val="p"/>
          </m:rPr>
          <m:t>(</m:t>
        </m:r>
        <m:r>
          <m:t>0.05</m:t>
        </m:r>
        <m:r>
          <m:rPr>
            <m:sty m:val="p"/>
          </m:rPr>
          <m:t>,</m:t>
        </m:r>
        <m:r>
          <m:t>0.60</m:t>
        </m:r>
        <m:r>
          <m:rPr>
            <m:sty m:val="p"/>
          </m:rPr>
          <m:t>)</m:t>
        </m:r>
      </m:oMath>
      <w:r>
        <w:t xml:space="preserve"> </w:t>
      </w:r>
      <w:r>
        <w:t xml:space="preserve">and</w:t>
      </w:r>
      <w:r>
        <w:t xml:space="preserve"> </w:t>
      </w:r>
      <m:oMath>
        <m:r>
          <m:t>w</m:t>
        </m:r>
        <m:r>
          <m:rPr>
            <m:sty m:val="p"/>
          </m:rPr>
          <m:t>∼</m:t>
        </m:r>
        <m:r>
          <m:rPr>
            <m:scr m:val="script"/>
            <m:sty m:val="p"/>
          </m:rPr>
          <m:t>U</m:t>
        </m:r>
        <m:r>
          <m:rPr>
            <m:sty m:val="p"/>
          </m:rPr>
          <m:t>(</m:t>
        </m:r>
        <m:r>
          <m:t>0.15</m:t>
        </m:r>
        <m:r>
          <m:rPr>
            <m:sty m:val="p"/>
          </m:rPr>
          <m:t>,</m:t>
        </m:r>
        <m:r>
          <m:t>0.40</m:t>
        </m:r>
        <m:r>
          <m:rPr>
            <m:sty m:val="p"/>
          </m:rPr>
          <m:t>)</m:t>
        </m:r>
      </m:oMath>
      <w:r>
        <w:t xml:space="preserve">, truncated at</w:t>
      </w:r>
      <w:r>
        <w:t xml:space="preserve"> </w:t>
      </w:r>
      <m:oMath>
        <m:r>
          <m:t>e</m:t>
        </m:r>
        <m:r>
          <m:rPr>
            <m:sty m:val="p"/>
          </m:rPr>
          <m:t>=</m:t>
        </m:r>
        <m:r>
          <m:t>0.98</m:t>
        </m:r>
      </m:oMath>
      <w:r>
        <w:t xml:space="preserve">. From the stored charging curve</w:t>
      </w:r>
      <w:r>
        <w:t xml:space="preserve"> </w:t>
      </w:r>
      <m:oMath>
        <m:r>
          <m:t>V</m:t>
        </m:r>
        <m:r>
          <m:rPr>
            <m:sty m:val="p"/>
          </m:rPr>
          <m:t>(</m:t>
        </m:r>
        <m:r>
          <m:t>q</m:t>
        </m:r>
        <m:r>
          <m:rPr>
            <m:sty m:val="p"/>
          </m:rPr>
          <m:t>)</m:t>
        </m:r>
      </m:oMath>
      <w:r>
        <w:t xml:space="preserve">, the accumulated charge in a session is</w:t>
      </w:r>
      <w:r>
        <w:t xml:space="preserve"> </w:t>
      </w:r>
      <m:oMath>
        <m:r>
          <m:rPr>
            <m:sty m:val="p"/>
          </m:rPr>
          <m:t>Δ</m:t>
        </m:r>
        <m:r>
          <m:t>Q</m:t>
        </m:r>
        <m:r>
          <m:rPr>
            <m:sty m:val="p"/>
          </m:rPr>
          <m:t>=</m:t>
        </m:r>
        <m:r>
          <m:rPr>
            <m:sty m:val="p"/>
          </m:rPr>
          <m:t>(</m:t>
        </m:r>
        <m:r>
          <m:t>q</m:t>
        </m:r>
        <m:r>
          <m:rPr>
            <m:sty m:val="p"/>
          </m:rPr>
          <m:t>−</m:t>
        </m:r>
        <m:r>
          <m:t>s</m:t>
        </m:r>
        <m:r>
          <m:rPr>
            <m:sty m:val="p"/>
          </m:rPr>
          <m:t>)</m:t>
        </m:r>
        <m:r>
          <m:t> </m:t>
        </m:r>
        <m:sSubSup>
          <m:e>
            <m:r>
              <m:t>Q</m:t>
            </m:r>
          </m:e>
          <m:sub>
            <m:r>
              <m:t>c</m:t>
            </m:r>
            <m:r>
              <m:rPr>
                <m:sty m:val="p"/>
              </m:rPr>
              <m:t>,</m:t>
            </m:r>
            <m:r>
              <m:t>n</m:t>
            </m:r>
          </m:sub>
          <m:sup>
            <m:r>
              <m:rPr>
                <m:sty m:val="p"/>
              </m:rPr>
              <m:t>c</m:t>
            </m:r>
            <m:r>
              <m:rPr>
                <m:sty m:val="p"/>
              </m:rPr>
              <m:t>h</m:t>
            </m:r>
          </m:sup>
        </m:sSubSup>
      </m:oMath>
      <w:r>
        <w:t xml:space="preserve">.</w:t>
      </w:r>
      <w:r>
        <w:t xml:space="preserve"> </w:t>
      </w:r>
      <w:r>
        <w:rPr>
          <w:b/>
          <w:bCs/>
        </w:rPr>
        <w:t xml:space="preserve">The model never receives</w:t>
      </w:r>
      <w:r>
        <w:rPr>
          <w:b/>
          <w:bCs/>
        </w:rPr>
        <w:t xml:space="preserve"> </w:t>
      </w:r>
      <m:oMath>
        <m:r>
          <m:t>s</m:t>
        </m:r>
      </m:oMath>
      <w:r>
        <w:rPr>
          <w:b/>
          <w:bCs/>
        </w:rPr>
        <w:t xml:space="preserve">,</w:t>
      </w:r>
      <w:r>
        <w:rPr>
          <w:b/>
          <w:bCs/>
        </w:rPr>
        <w:t xml:space="preserve"> </w:t>
      </w:r>
      <m:oMath>
        <m:r>
          <m:t>w</m:t>
        </m:r>
      </m:oMath>
      <w:r>
        <w:rPr>
          <w:b/>
          <w:bCs/>
        </w:rPr>
        <w:t xml:space="preserve">,</w:t>
      </w:r>
      <w:r>
        <w:rPr>
          <w:b/>
          <w:bCs/>
        </w:rPr>
        <w:t xml:space="preserve"> </w:t>
      </w:r>
      <m:oMath>
        <m:sSup>
          <m:e>
            <m:r>
              <m:t>Q</m:t>
            </m:r>
          </m:e>
          <m:sup>
            <m:r>
              <m:rPr>
                <m:sty m:val="p"/>
              </m:rPr>
              <m:t>c</m:t>
            </m:r>
            <m:r>
              <m:rPr>
                <m:sty m:val="p"/>
              </m:rPr>
              <m:t>h</m:t>
            </m:r>
          </m:sup>
        </m:sSup>
      </m:oMath>
      <w:r>
        <w:rPr>
          <w:b/>
          <w:bCs/>
        </w:rPr>
        <w:t xml:space="preserve"> </w:t>
      </w:r>
      <w:r>
        <w:rPr>
          <w:b/>
          <w:bCs/>
        </w:rPr>
        <w:t xml:space="preserve">or</w:t>
      </w:r>
      <w:r>
        <w:rPr>
          <w:b/>
          <w:bCs/>
        </w:rPr>
        <w:t xml:space="preserve"> </w:t>
      </w:r>
      <m:oMath>
        <m:sSup>
          <m:e>
            <m:r>
              <m:t>Q</m:t>
            </m:r>
          </m:e>
          <m:sup>
            <m:r>
              <m:rPr>
                <m:sty m:val="p"/>
              </m:rPr>
              <m:t>d</m:t>
            </m:r>
            <m:r>
              <m:rPr>
                <m:sty m:val="p"/>
              </m:rPr>
              <m:t>i</m:t>
            </m:r>
            <m:r>
              <m:rPr>
                <m:sty m:val="p"/>
              </m:rPr>
              <m:t>s</m:t>
            </m:r>
          </m:sup>
        </m:sSup>
      </m:oMath>
      <w:r>
        <w:rPr>
          <w:b/>
          <w:bCs/>
        </w:rPr>
        <w:t xml:space="preserve">.</w:t>
      </w:r>
      <w:r>
        <w:t xml:space="preserve"> </w:t>
      </w:r>
      <w:r>
        <w:t xml:space="preserve">Each session is encoded in two views (Fig. 4): the charge-domain view</w:t>
      </w:r>
      <w:r>
        <w:t xml:space="preserve"> </w:t>
      </w:r>
      <m:oMath>
        <m:sSup>
          <m:e>
            <m:r>
              <m:rPr>
                <m:sty m:val="b"/>
              </m:rPr>
              <m:t>x</m:t>
            </m:r>
          </m:e>
          <m:sup>
            <m:r>
              <m:t>a</m:t>
            </m:r>
          </m:sup>
        </m:sSup>
        <m:r>
          <m:rPr>
            <m:sty m:val="p"/>
          </m:rPr>
          <m:t>∈</m:t>
        </m:r>
        <m:sSup>
          <m:e>
            <m:r>
              <m:rPr>
                <m:scr m:val="double-struck"/>
                <m:sty m:val="p"/>
              </m:rPr>
              <m:t>R</m:t>
            </m:r>
          </m:e>
          <m:sup>
            <m:r>
              <m:t>2</m:t>
            </m:r>
            <m:r>
              <m:rPr>
                <m:sty m:val="p"/>
              </m:rPr>
              <m:t>×</m:t>
            </m:r>
            <m:r>
              <m:t>48</m:t>
            </m:r>
          </m:sup>
        </m:sSup>
      </m:oMath>
      <w:r>
        <w:t xml:space="preserve">, which holds the voltage at fixed accumulated-charge steps</w:t>
      </w:r>
      <w:r>
        <w:t xml:space="preserve"> </w:t>
      </w:r>
      <m:oMath>
        <m:r>
          <m:rPr>
            <m:sty m:val="p"/>
          </m:rPr>
          <m:t>Δ</m:t>
        </m:r>
        <m:r>
          <m:t>Q</m:t>
        </m:r>
        <m:r>
          <m:rPr>
            <m:sty m:val="p"/>
          </m:rPr>
          <m:t>/</m:t>
        </m:r>
        <m:sSup>
          <m:e>
            <m:r>
              <m:t>Q</m:t>
            </m:r>
          </m:e>
          <m:sup>
            <m:r>
              <m:rPr>
                <m:sty m:val="p"/>
              </m:rPr>
              <m:t>r</m:t>
            </m:r>
            <m:r>
              <m:rPr>
                <m:sty m:val="p"/>
              </m:rPr>
              <m:t>a</m:t>
            </m:r>
            <m:r>
              <m:rPr>
                <m:sty m:val="p"/>
              </m:rPr>
              <m:t>t</m:t>
            </m:r>
            <m:r>
              <m:rPr>
                <m:sty m:val="p"/>
              </m:rPr>
              <m:t>e</m:t>
            </m:r>
            <m:r>
              <m:rPr>
                <m:sty m:val="p"/>
              </m:rPr>
              <m:t>d</m:t>
            </m:r>
          </m:sup>
        </m:sSup>
        <m:r>
          <m:rPr>
            <m:sty m:val="p"/>
          </m:rPr>
          <m:t>∈</m:t>
        </m:r>
        <m:r>
          <m:rPr>
            <m:sty m:val="p"/>
          </m:rPr>
          <m:t>[</m:t>
        </m:r>
        <m:r>
          <m:t>0</m:t>
        </m:r>
        <m:r>
          <m:rPr>
            <m:sty m:val="p"/>
          </m:rPr>
          <m:t>,</m:t>
        </m:r>
        <m:r>
          <m:t>0.40</m:t>
        </m:r>
        <m:r>
          <m:rPr>
            <m:sty m:val="p"/>
          </m:rPr>
          <m:t>]</m:t>
        </m:r>
      </m:oMath>
      <w:r>
        <w:t xml:space="preserve"> </w:t>
      </w:r>
      <w:r>
        <w:t xml:space="preserve">with a mask after the session ends; and the voltage-domain view</w:t>
      </w:r>
      <w:r>
        <w:t xml:space="preserve"> </w:t>
      </w:r>
      <m:oMath>
        <m:sSup>
          <m:e>
            <m:r>
              <m:rPr>
                <m:sty m:val="b"/>
              </m:rPr>
              <m:t>x</m:t>
            </m:r>
          </m:e>
          <m:sup>
            <m:r>
              <m:t>v</m:t>
            </m:r>
          </m:sup>
        </m:sSup>
        <m:r>
          <m:rPr>
            <m:sty m:val="p"/>
          </m:rPr>
          <m:t>∈</m:t>
        </m:r>
        <m:sSup>
          <m:e>
            <m:r>
              <m:rPr>
                <m:scr m:val="double-struck"/>
                <m:sty m:val="p"/>
              </m:rPr>
              <m:t>R</m:t>
            </m:r>
          </m:e>
          <m:sup>
            <m:r>
              <m:t>2</m:t>
            </m:r>
            <m:r>
              <m:rPr>
                <m:sty m:val="p"/>
              </m:rPr>
              <m:t>×</m:t>
            </m:r>
            <m:r>
              <m:t>64</m:t>
            </m:r>
          </m:sup>
        </m:sSup>
      </m:oMath>
      <w:r>
        <w:t xml:space="preserve">, which holds the normalized accumulated charge at fixed voltages (LFP 3.20–3.60 V, others 3.50–4.20 V) with a mask outside the observed range. Normalizing by the rated capacity uses only a datasheet value, and because sessions are defined by their observable endpoints, the ratio</w:t>
      </w:r>
      <w:r>
        <w:t xml:space="preserve"> </w:t>
      </w:r>
      <m:oMath>
        <m:r>
          <m:rPr>
            <m:sty m:val="p"/>
          </m:rPr>
          <m:t>Δ</m:t>
        </m:r>
        <m:r>
          <m:t>Q</m:t>
        </m:r>
        <m:r>
          <m:rPr>
            <m:sty m:val="p"/>
          </m:rPr>
          <m:t>/</m:t>
        </m:r>
        <m:r>
          <m:rPr>
            <m:sty m:val="p"/>
          </m:rPr>
          <m:t>Δ</m:t>
        </m:r>
        <m:r>
          <m:rPr>
            <m:sty m:val="p"/>
          </m:rPr>
          <m:t>S</m:t>
        </m:r>
        <m:r>
          <m:rPr>
            <m:sty m:val="p"/>
          </m:rPr>
          <m:t>O</m:t>
        </m:r>
        <m:r>
          <m:rPr>
            <m:sty m:val="p"/>
          </m:rPr>
          <m:t>C</m:t>
        </m:r>
      </m:oMath>
      <w:r>
        <w:t xml:space="preserve">, which would reveal capacity, is not available to the model.</w:t>
      </w:r>
    </w:p>
    <w:p>
      <w:pPr>
        <w:pStyle w:val="BodyText"/>
      </w:pPr>
      <w:r>
        <w:t xml:space="preserve">For the baselines, nine handcrafted session features were computed: start and end voltage, voltage span, accumulated charge, charge per volt, the maximum and location of the incremental capacity</w:t>
      </w:r>
      <w:r>
        <w:t xml:space="preserve"> </w:t>
      </w:r>
      <m:oMath>
        <m:r>
          <m:t>d</m:t>
        </m:r>
        <m:r>
          <m:rPr>
            <m:sty m:val="p"/>
          </m:rPr>
          <m:t>Δ</m:t>
        </m:r>
        <m:r>
          <m:t>Q</m:t>
        </m:r>
        <m:r>
          <m:rPr>
            <m:sty m:val="p"/>
          </m:rPr>
          <m:t>/</m:t>
        </m:r>
        <m:r>
          <m:t>d</m:t>
        </m:r>
        <m:r>
          <m:t>V</m:t>
        </m:r>
      </m:oMath>
      <w:r>
        <w:t xml:space="preserve">, the charge at mid-voltage, and the number of observed voltage bins. These were combined with five context variables.</w:t>
      </w:r>
    </w:p>
    <w:bookmarkStart w:id="28" w:name="fig3_partial_charging_curves"/>
    <w:p>
      <w:pPr>
        <w:pStyle w:val="CaptionedFigure"/>
      </w:pPr>
      <w:r>
        <w:drawing>
          <wp:inline>
            <wp:extent cx="3154680" cy="4539662"/>
            <wp:effectExtent b="0" l="0" r="0" t="0"/>
            <wp:docPr descr="Fig. 4. Measured charging curves at three ages of a Sandia NMC cell (top) and a MATR LFP cell (bottom). The shaded segment illustrates one partial session (window chosen for illustration). The MATR voltage drop near 0.8 reflects its multi-step fast-charging protocol." title="" id="26" name="Picture"/>
            <a:graphic>
              <a:graphicData uri="http://schemas.openxmlformats.org/drawingml/2006/picture">
                <pic:pic>
                  <pic:nvPicPr>
                    <pic:cNvPr descr="../figures/fig3_partial_charging_curves.png" id="27" name="Picture"/>
                    <pic:cNvPicPr>
                      <a:picLocks noChangeArrowheads="1" noChangeAspect="1"/>
                    </pic:cNvPicPr>
                  </pic:nvPicPr>
                  <pic:blipFill>
                    <a:blip r:embed="rId25"/>
                    <a:stretch>
                      <a:fillRect/>
                    </a:stretch>
                  </pic:blipFill>
                  <pic:spPr bwMode="auto">
                    <a:xfrm>
                      <a:off x="0" y="0"/>
                      <a:ext cx="3154680" cy="4539662"/>
                    </a:xfrm>
                    <a:prstGeom prst="rect">
                      <a:avLst/>
                    </a:prstGeom>
                    <a:noFill/>
                    <a:ln w="9525">
                      <a:noFill/>
                      <a:headEnd/>
                      <a:tailEnd/>
                    </a:ln>
                  </pic:spPr>
                </pic:pic>
              </a:graphicData>
            </a:graphic>
          </wp:inline>
        </w:drawing>
      </w:r>
    </w:p>
    <w:p>
      <w:pPr>
        <w:pStyle w:val="ImageCaption"/>
      </w:pPr>
      <w:r>
        <w:t xml:space="preserve">Fig. 4. Measured charging curves at three ages of a Sandia NMC cell (top) and a MATR LFP cell (bottom). The shaded segment illustrates one partial session (window chosen for illustration). The MATR voltage drop near 0.8 reflects its multi-step fast-charging protocol.</w:t>
      </w:r>
    </w:p>
    <w:bookmarkEnd w:id="28"/>
    <w:bookmarkEnd w:id="29"/>
    <w:bookmarkEnd w:id="30"/>
    <w:bookmarkStart w:id="39" w:name="iv.-methods"/>
    <w:p>
      <w:pPr>
        <w:pStyle w:val="Heading1"/>
      </w:pPr>
      <w:r>
        <w:rPr>
          <w:rFonts w:ascii="Times New Roman" w:hAnsi="Times New Roman"/>
          <w:b w:val="0"/>
          <w:smallCaps/>
          <w:sz w:val="20"/>
        </w:rPr>
        <w:t xml:space="preserve">IV. Methods</w:t>
      </w:r>
    </w:p>
    <w:bookmarkStart w:id="31" w:name="a.-baselines"/>
    <w:p>
      <w:pPr>
        <w:pStyle w:val="Heading2"/>
      </w:pPr>
      <w:r>
        <w:rPr>
          <w:rFonts w:ascii="Times New Roman" w:hAnsi="Times New Roman"/>
          <w:b w:val="0"/>
          <w:i/>
          <w:sz w:val="20"/>
        </w:rPr>
        <w:t xml:space="preserve">A. Baselines</w:t>
      </w:r>
    </w:p>
    <w:p>
      <w:pPr>
        <w:pStyle w:val="FirstParagraph"/>
      </w:pPr>
      <w:r>
        <w:t xml:space="preserve">We use three baselines: ridge regression on standardized handcrafted features and context; LightGBM [29] on the same features; and LightGBM on the features plus the flattened two views (238 inputs). The choice between feature sets was made on a validation split of training cells only, so test cells were never used for model selection.</w:t>
      </w:r>
    </w:p>
    <w:bookmarkEnd w:id="31"/>
    <w:bookmarkStart w:id="36" w:name="b.-dual-view-convolutional-encoder"/>
    <w:p>
      <w:pPr>
        <w:pStyle w:val="Heading2"/>
      </w:pPr>
      <w:r>
        <w:rPr>
          <w:rFonts w:ascii="Times New Roman" w:hAnsi="Times New Roman"/>
          <w:b w:val="0"/>
          <w:i/>
          <w:sz w:val="20"/>
        </w:rPr>
        <w:t xml:space="preserve">B. Dual-View Convolutional Encoder</w:t>
      </w:r>
    </w:p>
    <w:p>
      <w:pPr>
        <w:pStyle w:val="FirstParagraph"/>
      </w:pPr>
      <w:r>
        <w:t xml:space="preserve">Each view receives a third channel, a hidden-position flag that is zero during fine-tuning, and is processed by its own encoder: three 1-D convolutions with kernel 5, dilations 1, 2 and 4, 48 channels, batch normalization, GELU activation and residual connections (Fig. 5). Masked mean and max pooling over observed positions give 96 features per view, which are concatenated with</w:t>
      </w:r>
      <w:r>
        <w:t xml:space="preserve"> </w:t>
      </w:r>
      <m:oMath>
        <m:r>
          <m:rPr>
            <m:sty m:val="b"/>
          </m:rPr>
          <m:t>u</m:t>
        </m:r>
      </m:oMath>
      <w:r>
        <w:t xml:space="preserve"> </w:t>
      </w:r>
      <w:r>
        <w:t xml:space="preserve">and passed to a multilayer perceptron (128 units, dropout 0.1) with three outputs</w:t>
      </w:r>
      <w:r>
        <w:t xml:space="preserve"> </w:t>
      </w:r>
      <m:oMath>
        <m:r>
          <m:rPr>
            <m:sty m:val="p"/>
          </m:rPr>
          <m:t>(</m:t>
        </m:r>
        <m:r>
          <m:t>a</m:t>
        </m:r>
        <m:r>
          <m:rPr>
            <m:sty m:val="p"/>
          </m:rPr>
          <m:t>,</m:t>
        </m:r>
        <m:r>
          <m:t>m</m:t>
        </m:r>
        <m:r>
          <m:rPr>
            <m:sty m:val="p"/>
          </m:rPr>
          <m:t>,</m:t>
        </m:r>
        <m:r>
          <m:t>b</m:t>
        </m:r>
        <m:r>
          <m:rPr>
            <m:sty m:val="p"/>
          </m:rPr>
          <m:t>)</m:t>
        </m:r>
      </m:oMath>
      <w:r>
        <w:t xml:space="preserve">. Quantile ordering is enforced by construction,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acc>
                      <m:accPr>
                        <m:chr m:val="̂"/>
                      </m:accPr>
                      <m:e>
                        <m:r>
                          <m:t>q</m:t>
                        </m:r>
                      </m:e>
                    </m:acc>
                  </m:e>
                  <m:sub>
                    <m:r>
                      <m:t>0.05</m:t>
                    </m:r>
                  </m:sub>
                </m:sSub>
                <m:r>
                  <m:rPr>
                    <m:sty m:val="p"/>
                  </m:rPr>
                  <m:t>=</m:t>
                </m:r>
                <m:r>
                  <m:t>m</m:t>
                </m:r>
                <m:r>
                  <m:rPr>
                    <m:sty m:val="p"/>
                  </m:rPr>
                  <m:t>−</m:t>
                </m:r>
                <m:r>
                  <m:rPr>
                    <m:sty m:val="p"/>
                  </m:rPr>
                  <m:t>softplus</m:t>
                </m:r>
                <m:r>
                  <m:rPr>
                    <m:sty m:val="p"/>
                  </m:rPr>
                  <m:t>(</m:t>
                </m:r>
                <m:r>
                  <m:t>a</m:t>
                </m:r>
                <m:r>
                  <m:rPr>
                    <m:sty m:val="p"/>
                  </m:rPr>
                  <m:t>)</m:t>
                </m:r>
                <m:r>
                  <m:rPr>
                    <m:sty m:val="p"/>
                  </m:rPr>
                  <m:t>,</m:t>
                </m:r>
                <m:r>
                  <m:t> </m:t>
                </m:r>
                <m:sSub>
                  <m:e>
                    <m:acc>
                      <m:accPr>
                        <m:chr m:val="̂"/>
                      </m:accPr>
                      <m:e>
                        <m:r>
                          <m:t>q</m:t>
                        </m:r>
                      </m:e>
                    </m:acc>
                  </m:e>
                  <m:sub>
                    <m:r>
                      <m:t>0.5</m:t>
                    </m:r>
                  </m:sub>
                </m:sSub>
                <m:r>
                  <m:rPr>
                    <m:sty m:val="p"/>
                  </m:rPr>
                  <m:t>=</m:t>
                </m:r>
                <m:r>
                  <m:t>m</m:t>
                </m:r>
                <m:r>
                  <m:rPr>
                    <m:sty m:val="p"/>
                  </m:rPr>
                  <m:t>,</m:t>
                </m:r>
                <m:r>
                  <m:t> </m:t>
                </m:r>
                <m:sSub>
                  <m:e>
                    <m:acc>
                      <m:accPr>
                        <m:chr m:val="̂"/>
                      </m:accPr>
                      <m:e>
                        <m:r>
                          <m:t>q</m:t>
                        </m:r>
                      </m:e>
                    </m:acc>
                  </m:e>
                  <m:sub>
                    <m:r>
                      <m:t>0.95</m:t>
                    </m:r>
                  </m:sub>
                </m:sSub>
                <m:r>
                  <m:rPr>
                    <m:sty m:val="p"/>
                  </m:rPr>
                  <m:t>=</m:t>
                </m:r>
                <m:r>
                  <m:t>m</m:t>
                </m:r>
                <m:r>
                  <m:rPr>
                    <m:sty m:val="p"/>
                  </m:rPr>
                  <m:t>+</m:t>
                </m:r>
                <m:r>
                  <m:rPr>
                    <m:sty m:val="p"/>
                  </m:rPr>
                  <m:t>softplus</m:t>
                </m:r>
                <m:r>
                  <m:rPr>
                    <m:sty m:val="p"/>
                  </m:rPr>
                  <m:t>(</m:t>
                </m:r>
                <m:r>
                  <m:t>b</m:t>
                </m:r>
                <m:r>
                  <m:rPr>
                    <m:sty m:val="p"/>
                  </m:rPr>
                  <m:t>)</m:t>
                </m:r>
                <m:r>
                  <m:rPr>
                    <m:sty m:val="p"/>
                  </m:rPr>
                  <m:t>,</m:t>
                </m:r>
              </m:oMath>
            </m:oMathPara>
          </w:p>
        </w:tc>
        <w:tc>
          <w:tcPr>
            <w:tcW w:type="dxa" w:w="504"/>
            <w:vAlign w:val="center"/>
          </w:tcPr>
          <w:p>
            <w:pPr>
              <w:jc w:val="right"/>
            </w:pPr>
            <w:r>
              <w:rPr>
                <w:rFonts w:ascii="Times New Roman" w:hAnsi="Times New Roman"/>
                <w:sz w:val="20"/>
              </w:rPr>
              <w:t>(4)</w:t>
            </w:r>
          </w:p>
        </w:tc>
      </w:tr>
    </w:tbl>
    <w:p>
      <w:pPr>
        <w:pStyle w:val="FirstParagraph"/>
      </w:pPr>
      <w:r>
        <w:t xml:space="preserve">and training minimizes the summed pinball loss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r>
                      <m:rPr>
                        <m:scr m:val="script"/>
                        <m:sty m:val="p"/>
                      </m:rPr>
                      <m:t>L</m:t>
                    </m:r>
                  </m:e>
                  <m:sub>
                    <m:r>
                      <m:rPr>
                        <m:sty m:val="p"/>
                      </m:rPr>
                      <m:t>s</m:t>
                    </m:r>
                    <m:r>
                      <m:rPr>
                        <m:sty m:val="p"/>
                      </m:rPr>
                      <m:t>u</m:t>
                    </m:r>
                    <m:r>
                      <m:rPr>
                        <m:sty m:val="p"/>
                      </m:rPr>
                      <m:t>p</m:t>
                    </m:r>
                  </m:sub>
                </m:sSub>
                <m:r>
                  <m:rPr>
                    <m:sty m:val="p"/>
                  </m:rPr>
                  <m:t>=</m:t>
                </m:r>
                <m:nary>
                  <m:naryPr>
                    <m:chr m:val="∑"/>
                    <m:limLoc m:val="undOvr"/>
                    <m:subHide m:val="off"/>
                    <m:supHide m:val="on"/>
                  </m:naryPr>
                  <m:sub>
                    <m:r>
                      <m:t>τ</m:t>
                    </m:r>
                    <m:r>
                      <m:rPr>
                        <m:sty m:val="p"/>
                      </m:rPr>
                      <m:t>∈</m:t>
                    </m:r>
                    <m:r>
                      <m:rPr>
                        <m:sty m:val="p"/>
                      </m:rPr>
                      <m:t>{</m:t>
                    </m:r>
                    <m:r>
                      <m:t>0.05</m:t>
                    </m:r>
                    <m:r>
                      <m:rPr>
                        <m:sty m:val="p"/>
                      </m:rPr>
                      <m:t>,</m:t>
                    </m:r>
                    <m:r>
                      <m:t>0.5</m:t>
                    </m:r>
                    <m:r>
                      <m:rPr>
                        <m:sty m:val="p"/>
                      </m:rPr>
                      <m:t>,</m:t>
                    </m:r>
                    <m:r>
                      <m:t>0.95</m:t>
                    </m:r>
                    <m:r>
                      <m:rPr>
                        <m:sty m:val="p"/>
                      </m:rPr>
                      <m:t>}</m:t>
                    </m:r>
                  </m:sub>
                  <m:sup>
                    <m:r>
                      <m:t>​</m:t>
                    </m:r>
                  </m:sup>
                  <m:e>
                    <m:f>
                      <m:fPr>
                        <m:type m:val="bar"/>
                      </m:fPr>
                      <m:num>
                        <m:r>
                          <m:t>1</m:t>
                        </m:r>
                      </m:num>
                      <m:den>
                        <m:r>
                          <m:t>N</m:t>
                        </m:r>
                      </m:den>
                    </m:f>
                  </m:e>
                </m:nary>
                <m:nary>
                  <m:naryPr>
                    <m:chr m:val="∑"/>
                    <m:limLoc m:val="undOvr"/>
                    <m:subHide m:val="off"/>
                    <m:supHide m:val="off"/>
                  </m:naryPr>
                  <m:sub>
                    <m:r>
                      <m:t>i</m:t>
                    </m:r>
                    <m:r>
                      <m:rPr>
                        <m:sty m:val="p"/>
                      </m:rPr>
                      <m:t>=</m:t>
                    </m:r>
                    <m:r>
                      <m:t>1</m:t>
                    </m:r>
                  </m:sub>
                  <m:sup>
                    <m:r>
                      <m:t>N</m:t>
                    </m:r>
                  </m:sup>
                  <m:e>
                    <m:sSub>
                      <m:e>
                        <m:r>
                          <m:t>ρ</m:t>
                        </m:r>
                      </m:e>
                      <m:sub>
                        <m:r>
                          <m:t>τ</m:t>
                        </m:r>
                      </m:sub>
                    </m:sSub>
                  </m:e>
                </m:nary>
                <m:d>
                  <m:dPr>
                    <m:begChr m:val="("/>
                    <m:sepChr m:val=""/>
                    <m:endChr m:val=")"/>
                    <m:grow/>
                  </m:dPr>
                  <m:e>
                    <m:sSub>
                      <m:e>
                        <m:r>
                          <m:t>y</m:t>
                        </m:r>
                      </m:e>
                      <m:sub>
                        <m:r>
                          <m:t>i</m:t>
                        </m:r>
                      </m:sub>
                    </m:sSub>
                    <m:r>
                      <m:rPr>
                        <m:sty m:val="p"/>
                      </m:rPr>
                      <m:t>−</m:t>
                    </m:r>
                    <m:sSub>
                      <m:e>
                        <m:acc>
                          <m:accPr>
                            <m:chr m:val="̂"/>
                          </m:accPr>
                          <m:e>
                            <m:r>
                              <m:t>q</m:t>
                            </m:r>
                          </m:e>
                        </m:acc>
                      </m:e>
                      <m:sub>
                        <m:r>
                          <m:t>τ</m:t>
                        </m:r>
                        <m:r>
                          <m:rPr>
                            <m:sty m:val="p"/>
                          </m:rPr>
                          <m:t>,</m:t>
                        </m:r>
                        <m:r>
                          <m:t>i</m:t>
                        </m:r>
                      </m:sub>
                    </m:sSub>
                  </m:e>
                </m:d>
                <m:r>
                  <m:rPr>
                    <m:sty m:val="p"/>
                  </m:rPr>
                  <m:t>,</m:t>
                </m:r>
                <m:r>
                  <m:t> </m:t>
                </m:r>
                <m:sSub>
                  <m:e>
                    <m:r>
                      <m:t>ρ</m:t>
                    </m:r>
                  </m:e>
                  <m:sub>
                    <m:r>
                      <m:t>τ</m:t>
                    </m:r>
                  </m:sub>
                </m:sSub>
                <m:r>
                  <m:rPr>
                    <m:sty m:val="p"/>
                  </m:rPr>
                  <m:t>(</m:t>
                </m:r>
                <m:r>
                  <m:t>r</m:t>
                </m:r>
                <m:r>
                  <m:rPr>
                    <m:sty m:val="p"/>
                  </m:rPr>
                  <m:t>)</m:t>
                </m:r>
                <m:r>
                  <m:rPr>
                    <m:sty m:val="p"/>
                  </m:rPr>
                  <m:t>=</m:t>
                </m:r>
                <m:r>
                  <m:rPr>
                    <m:sty m:val="p"/>
                  </m:rPr>
                  <m:t>max</m:t>
                </m:r>
                <m:r>
                  <m:rPr>
                    <m:sty m:val="p"/>
                  </m:rPr>
                  <m:t>{</m:t>
                </m:r>
                <m:r>
                  <m:t>τ</m:t>
                </m:r>
                <m:r>
                  <m:t>r</m:t>
                </m:r>
                <m:r>
                  <m:rPr>
                    <m:sty m:val="p"/>
                  </m:rPr>
                  <m:t>,</m:t>
                </m:r>
                <m:r>
                  <m:rPr>
                    <m:sty m:val="p"/>
                  </m:rPr>
                  <m:t>(</m:t>
                </m:r>
                <m:r>
                  <m:t>τ</m:t>
                </m:r>
                <m:r>
                  <m:rPr>
                    <m:sty m:val="p"/>
                  </m:rPr>
                  <m:t>−</m:t>
                </m:r>
                <m:r>
                  <m:t>1</m:t>
                </m:r>
                <m:r>
                  <m:rPr>
                    <m:sty m:val="p"/>
                  </m:rPr>
                  <m:t>)</m:t>
                </m:r>
                <m:r>
                  <m:t>r</m:t>
                </m:r>
                <m:r>
                  <m:rPr>
                    <m:sty m:val="p"/>
                  </m:rPr>
                  <m:t>}</m:t>
                </m:r>
                <m:r>
                  <m:rPr>
                    <m:sty m:val="p"/>
                  </m:rPr>
                  <m:t>.</m:t>
                </m:r>
              </m:oMath>
            </m:oMathPara>
          </w:p>
        </w:tc>
        <w:tc>
          <w:tcPr>
            <w:tcW w:type="dxa" w:w="504"/>
            <w:vAlign w:val="center"/>
          </w:tcPr>
          <w:p>
            <w:pPr>
              <w:jc w:val="right"/>
            </w:pPr>
            <w:r>
              <w:rPr>
                <w:rFonts w:ascii="Times New Roman" w:hAnsi="Times New Roman"/>
                <w:sz w:val="20"/>
              </w:rPr>
              <w:t>(5)</w:t>
            </w:r>
          </w:p>
        </w:tc>
      </w:tr>
    </w:tbl>
    <w:bookmarkStart w:id="35" w:name="fig4_model_architecture"/>
    <w:p>
      <w:pPr>
        <w:sectPr>
          <w:type w:val="continuous"/>
          <w:pgSz w:w="12240" w:h="15840"/>
          <w:pgMar w:top="1080" w:bottom="1440" w:left="900" w:right="900" w:header="720" w:footer="720" w:gutter="0"/>
          <w:cols w:num="2" w:space="360"/>
        </w:sectPr>
      </w:pPr>
    </w:p>
    <w:p>
      <w:pPr>
        <w:pStyle w:val="CaptionedFigure"/>
      </w:pPr>
      <w:r>
        <w:drawing>
          <wp:inline>
            <wp:extent cx="6400800" cy="3458793"/>
            <wp:effectExtent b="0" l="0" r="0" t="0"/>
            <wp:docPr descr="Fig. 5. Dual-view partial-session encoder with an ordered quantile head. The dashed decoder is used only during self-supervised pre-training (conceptual diagram)." title="" id="33" name="Picture"/>
            <a:graphic>
              <a:graphicData uri="http://schemas.openxmlformats.org/drawingml/2006/picture">
                <pic:pic>
                  <pic:nvPicPr>
                    <pic:cNvPr descr="../figures/fig4_model_architecture.png" id="34" name="Picture"/>
                    <pic:cNvPicPr>
                      <a:picLocks noChangeArrowheads="1" noChangeAspect="1"/>
                    </pic:cNvPicPr>
                  </pic:nvPicPr>
                  <pic:blipFill>
                    <a:blip r:embed="rId32"/>
                    <a:stretch>
                      <a:fillRect/>
                    </a:stretch>
                  </pic:blipFill>
                  <pic:spPr bwMode="auto">
                    <a:xfrm>
                      <a:off x="0" y="0"/>
                      <a:ext cx="6400800" cy="3458793"/>
                    </a:xfrm>
                    <a:prstGeom prst="rect">
                      <a:avLst/>
                    </a:prstGeom>
                    <a:noFill/>
                    <a:ln w="9525">
                      <a:noFill/>
                      <a:headEnd/>
                      <a:tailEnd/>
                    </a:ln>
                  </pic:spPr>
                </pic:pic>
              </a:graphicData>
            </a:graphic>
          </wp:inline>
        </w:drawing>
      </w:r>
    </w:p>
    <w:p>
      <w:pPr>
        <w:pStyle w:val="ImageCaption"/>
      </w:pPr>
      <w:r>
        <w:t xml:space="preserve">Fig. 5. Dual-view partial-session encoder with an ordered quantile head. The dashed decoder is used only during self-supervised pre-training (conceptual diagram).</w:t>
      </w:r>
    </w:p>
    <w:p>
      <w:pPr>
        <w:sectPr>
          <w:type w:val="continuous"/>
          <w:pgSz w:w="12240" w:h="15840"/>
          <w:pgMar w:top="1080" w:bottom="1440" w:left="900" w:right="900" w:header="720" w:footer="720" w:gutter="0"/>
          <w:cols w:num="1" w:space="360"/>
        </w:sectPr>
      </w:pPr>
    </w:p>
    <w:bookmarkEnd w:id="35"/>
    <w:bookmarkEnd w:id="36"/>
    <w:bookmarkStart w:id="37" w:name="X6b841b4541811c8dca90f63c44474091dd7c78d"/>
    <w:p>
      <w:pPr>
        <w:pStyle w:val="Heading2"/>
      </w:pPr>
      <w:r>
        <w:rPr>
          <w:rFonts w:ascii="Times New Roman" w:hAnsi="Times New Roman"/>
          <w:b w:val="0"/>
          <w:i/>
          <w:sz w:val="20"/>
        </w:rPr>
        <w:t xml:space="preserve">C. Self-Supervised Masked-Curve Pre-Training</w:t>
      </w:r>
    </w:p>
    <w:p>
      <w:pPr>
        <w:pStyle w:val="FirstParagraph"/>
      </w:pPr>
      <w:r>
        <w:t xml:space="preserve">Before fine-tuning, both encoders are pre-trained on all training-cell sessions without SOH labels. In each session, one contiguous block covering 30 % of the observed positions is hidden: its value and mask are set to zero and its flag to one. A 1×1-convolution decoder then reconstructs the hidden standardized values: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r>
                      <m:rPr>
                        <m:scr m:val="script"/>
                        <m:sty m:val="p"/>
                      </m:rPr>
                      <m:t>L</m:t>
                    </m:r>
                  </m:e>
                  <m:sub>
                    <m:r>
                      <m:rPr>
                        <m:sty m:val="p"/>
                      </m:rPr>
                      <m:t>s</m:t>
                    </m:r>
                    <m:r>
                      <m:rPr>
                        <m:sty m:val="p"/>
                      </m:rPr>
                      <m:t>s</m:t>
                    </m:r>
                    <m:r>
                      <m:rPr>
                        <m:sty m:val="p"/>
                      </m:rPr>
                      <m:t>l</m:t>
                    </m:r>
                  </m:sub>
                </m:sSub>
                <m:r>
                  <m:rPr>
                    <m:sty m:val="p"/>
                  </m:rPr>
                  <m:t>=</m:t>
                </m:r>
                <m:nary>
                  <m:naryPr>
                    <m:chr m:val="∑"/>
                    <m:limLoc m:val="undOvr"/>
                    <m:subHide m:val="off"/>
                    <m:supHide m:val="on"/>
                  </m:naryPr>
                  <m:sub>
                    <m:r>
                      <m:t>v</m:t>
                    </m:r>
                    <m:r>
                      <m:rPr>
                        <m:sty m:val="p"/>
                      </m:rPr>
                      <m:t>∈</m:t>
                    </m:r>
                    <m:r>
                      <m:rPr>
                        <m:sty m:val="p"/>
                      </m:rPr>
                      <m:t>{</m:t>
                    </m:r>
                    <m:r>
                      <m:t>a</m:t>
                    </m:r>
                    <m:r>
                      <m:rPr>
                        <m:sty m:val="p"/>
                      </m:rPr>
                      <m:t>,</m:t>
                    </m:r>
                    <m:r>
                      <m:t>v</m:t>
                    </m:r>
                    <m:r>
                      <m:rPr>
                        <m:sty m:val="p"/>
                      </m:rPr>
                      <m:t>}</m:t>
                    </m:r>
                  </m:sub>
                  <m:sup>
                    <m:r>
                      <m:t>​</m:t>
                    </m:r>
                  </m:sup>
                  <m:e>
                    <m:f>
                      <m:fPr>
                        <m:type m:val="bar"/>
                      </m:fPr>
                      <m:num>
                        <m:r>
                          <m:t>1</m:t>
                        </m:r>
                      </m:num>
                      <m:den>
                        <m:r>
                          <m:rPr>
                            <m:sty m:val="p"/>
                          </m:rPr>
                          <m:t>|</m:t>
                        </m:r>
                        <m:sSub>
                          <m:e>
                            <m:r>
                              <m:rPr>
                                <m:scr m:val="script"/>
                                <m:sty m:val="p"/>
                              </m:rPr>
                              <m:t>H</m:t>
                            </m:r>
                          </m:e>
                          <m:sub>
                            <m:r>
                              <m:t>v</m:t>
                            </m:r>
                          </m:sub>
                        </m:sSub>
                        <m:r>
                          <m:rPr>
                            <m:sty m:val="p"/>
                          </m:rPr>
                          <m:t>|</m:t>
                        </m:r>
                      </m:den>
                    </m:f>
                  </m:e>
                </m:nary>
                <m:nary>
                  <m:naryPr>
                    <m:chr m:val="∑"/>
                    <m:limLoc m:val="undOvr"/>
                    <m:subHide m:val="off"/>
                    <m:supHide m:val="on"/>
                  </m:naryPr>
                  <m:sub>
                    <m:r>
                      <m:t>k</m:t>
                    </m:r>
                    <m:r>
                      <m:rPr>
                        <m:sty m:val="p"/>
                      </m:rPr>
                      <m:t>∈</m:t>
                    </m:r>
                    <m:sSub>
                      <m:e>
                        <m:r>
                          <m:rPr>
                            <m:scr m:val="script"/>
                            <m:sty m:val="p"/>
                          </m:rPr>
                          <m:t>H</m:t>
                        </m:r>
                      </m:e>
                      <m:sub>
                        <m:r>
                          <m:t>v</m:t>
                        </m:r>
                      </m:sub>
                    </m:sSub>
                  </m:sub>
                  <m:sup>
                    <m:r>
                      <m:t>​</m:t>
                    </m:r>
                  </m:sup>
                  <m:e>
                    <m:r>
                      <m:rPr>
                        <m:sty m:val="p"/>
                      </m:rPr>
                      <m:t>(</m:t>
                    </m:r>
                  </m:e>
                </m:nary>
                <m:sSubSup>
                  <m:e>
                    <m:acc>
                      <m:accPr>
                        <m:chr m:val="̂"/>
                      </m:accPr>
                      <m:e>
                        <m:r>
                          <m:t>x</m:t>
                        </m:r>
                      </m:e>
                    </m:acc>
                  </m:e>
                  <m:sub>
                    <m:r>
                      <m:t>k</m:t>
                    </m:r>
                  </m:sub>
                  <m:sup>
                    <m:r>
                      <m:t>v</m:t>
                    </m:r>
                  </m:sup>
                </m:sSubSup>
                <m:r>
                  <m:rPr>
                    <m:sty m:val="p"/>
                  </m:rPr>
                  <m:t>−</m:t>
                </m:r>
                <m:sSubSup>
                  <m:e>
                    <m:r>
                      <m:t>x</m:t>
                    </m:r>
                  </m:e>
                  <m:sub>
                    <m:r>
                      <m:t>k</m:t>
                    </m:r>
                  </m:sub>
                  <m:sup>
                    <m:r>
                      <m:t>v</m:t>
                    </m:r>
                  </m:sup>
                </m:sSubSup>
                <m:sSup>
                  <m:e>
                    <m:r>
                      <m:rPr>
                        <m:sty m:val="p"/>
                      </m:rPr>
                      <m:t>)</m:t>
                    </m:r>
                  </m:e>
                  <m:sup>
                    <m:r>
                      <m:t>2</m:t>
                    </m:r>
                  </m:sup>
                </m:sSup>
                <m:r>
                  <m:rPr>
                    <m:sty m:val="p"/>
                  </m:rPr>
                  <m:t>,</m:t>
                </m:r>
              </m:oMath>
            </m:oMathPara>
          </w:p>
        </w:tc>
        <w:tc>
          <w:tcPr>
            <w:tcW w:type="dxa" w:w="504"/>
            <w:vAlign w:val="center"/>
          </w:tcPr>
          <w:p>
            <w:pPr>
              <w:jc w:val="right"/>
            </w:pPr>
            <w:r>
              <w:rPr>
                <w:rFonts w:ascii="Times New Roman" w:hAnsi="Times New Roman"/>
                <w:sz w:val="20"/>
              </w:rPr>
              <w:t>(6)</w:t>
            </w:r>
          </w:p>
        </w:tc>
      </w:tr>
    </w:tbl>
    <w:p>
      <w:pPr>
        <w:pStyle w:val="FirstParagraph"/>
      </w:pPr>
      <w:r>
        <w:t xml:space="preserve">where</w:t>
      </w:r>
      <w:r>
        <w:t xml:space="preserve"> </w:t>
      </w:r>
      <m:oMath>
        <m:sSub>
          <m:e>
            <m:r>
              <m:rPr>
                <m:scr m:val="script"/>
                <m:sty m:val="p"/>
              </m:rPr>
              <m:t>H</m:t>
            </m:r>
          </m:e>
          <m:sub>
            <m:r>
              <m:t>v</m:t>
            </m:r>
          </m:sub>
        </m:sSub>
      </m:oMath>
      <w:r>
        <w:t xml:space="preserve"> </w:t>
      </w:r>
      <w:r>
        <w:t xml:space="preserve">is the set of hidden positions. The pre-trained weights initialize the supervised model, which is then fine-tuned end-to-end with (5).</w:t>
      </w:r>
    </w:p>
    <w:bookmarkEnd w:id="37"/>
    <w:bookmarkStart w:id="38" w:name="Xcf7e083ee8391f43af64905e24f8e61d9489002"/>
    <w:p>
      <w:pPr>
        <w:pStyle w:val="Heading2"/>
      </w:pPr>
      <w:r>
        <w:rPr>
          <w:rFonts w:ascii="Times New Roman" w:hAnsi="Times New Roman"/>
          <w:b w:val="0"/>
          <w:i/>
          <w:sz w:val="20"/>
        </w:rPr>
        <w:t xml:space="preserve">D. Split Conformalized Quantile Regression</w:t>
      </w:r>
    </w:p>
    <w:p>
      <w:pPr>
        <w:pStyle w:val="FirstParagraph"/>
      </w:pPr>
      <w:r>
        <w:t xml:space="preserve">Quantile models (the CNNs, and LightGBM with quantile objectives at</w:t>
      </w:r>
      <w:r>
        <w:t xml:space="preserve"> </w:t>
      </w:r>
      <m:oMath>
        <m:r>
          <m:t>τ</m:t>
        </m:r>
        <m:r>
          <m:rPr>
            <m:sty m:val="p"/>
          </m:rPr>
          <m:t>=</m:t>
        </m:r>
        <m:r>
          <m:t>0.05</m:t>
        </m:r>
      </m:oMath>
      <w:r>
        <w:t xml:space="preserve"> </w:t>
      </w:r>
      <w:r>
        <w:t xml:space="preserve">and</w:t>
      </w:r>
      <w:r>
        <w:t xml:space="preserve"> </w:t>
      </w:r>
      <m:oMath>
        <m:r>
          <m:t>0.95</m:t>
        </m:r>
      </m:oMath>
      <w:r>
        <w:t xml:space="preserve">) are fitted on training cells. On disjoint calibration cells</w:t>
      </w:r>
      <w:r>
        <w:t xml:space="preserve"> </w:t>
      </w:r>
      <m:oMath>
        <m:r>
          <m:rPr>
            <m:scr m:val="script"/>
            <m:sty m:val="p"/>
          </m:rPr>
          <m:t>C</m:t>
        </m:r>
      </m:oMath>
      <w:r>
        <w:t xml:space="preserve">, we compute [17]</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sSub>
                  <m:e>
                    <m:r>
                      <m:t>E</m:t>
                    </m:r>
                  </m:e>
                  <m:sub>
                    <m:r>
                      <m:t>i</m:t>
                    </m:r>
                  </m:sub>
                </m:sSub>
                <m:r>
                  <m:rPr>
                    <m:sty m:val="p"/>
                  </m:rPr>
                  <m:t>=</m:t>
                </m:r>
                <m:r>
                  <m:rPr>
                    <m:sty m:val="p"/>
                  </m:rPr>
                  <m:t>max</m:t>
                </m:r>
                <m:r>
                  <m:rPr>
                    <m:sty m:val="p"/>
                  </m:rPr>
                  <m:t>{</m:t>
                </m:r>
                <m:sSub>
                  <m:e>
                    <m:acc>
                      <m:accPr>
                        <m:chr m:val="̂"/>
                      </m:accPr>
                      <m:e>
                        <m:r>
                          <m:t>q</m:t>
                        </m:r>
                      </m:e>
                    </m:acc>
                  </m:e>
                  <m:sub>
                    <m:r>
                      <m:t>0.05</m:t>
                    </m:r>
                  </m:sub>
                </m:sSub>
                <m:r>
                  <m:rPr>
                    <m:sty m:val="p"/>
                  </m:rPr>
                  <m:t>(</m:t>
                </m:r>
                <m:sSub>
                  <m:e>
                    <m:r>
                      <m:t>x</m:t>
                    </m:r>
                  </m:e>
                  <m:sub>
                    <m:r>
                      <m:t>i</m:t>
                    </m:r>
                  </m:sub>
                </m:sSub>
                <m:r>
                  <m:rPr>
                    <m:sty m:val="p"/>
                  </m:rPr>
                  <m:t>)</m:t>
                </m:r>
                <m:r>
                  <m:rPr>
                    <m:sty m:val="p"/>
                  </m:rPr>
                  <m:t>−</m:t>
                </m:r>
                <m:sSub>
                  <m:e>
                    <m:r>
                      <m:t>y</m:t>
                    </m:r>
                  </m:e>
                  <m:sub>
                    <m:r>
                      <m:t>i</m:t>
                    </m:r>
                  </m:sub>
                </m:sSub>
                <m:r>
                  <m:rPr>
                    <m:sty m:val="p"/>
                  </m:rPr>
                  <m:t>,</m:t>
                </m:r>
                <m:r>
                  <m:t> </m:t>
                </m:r>
                <m:sSub>
                  <m:e>
                    <m:r>
                      <m:t>y</m:t>
                    </m:r>
                  </m:e>
                  <m:sub>
                    <m:r>
                      <m:t>i</m:t>
                    </m:r>
                  </m:sub>
                </m:sSub>
                <m:r>
                  <m:rPr>
                    <m:sty m:val="p"/>
                  </m:rPr>
                  <m:t>−</m:t>
                </m:r>
                <m:sSub>
                  <m:e>
                    <m:acc>
                      <m:accPr>
                        <m:chr m:val="̂"/>
                      </m:accPr>
                      <m:e>
                        <m:r>
                          <m:t>q</m:t>
                        </m:r>
                      </m:e>
                    </m:acc>
                  </m:e>
                  <m:sub>
                    <m:r>
                      <m:t>0.95</m:t>
                    </m:r>
                  </m:sub>
                </m:sSub>
                <m:r>
                  <m:rPr>
                    <m:sty m:val="p"/>
                  </m:rPr>
                  <m:t>(</m:t>
                </m:r>
                <m:sSub>
                  <m:e>
                    <m:r>
                      <m:t>x</m:t>
                    </m:r>
                  </m:e>
                  <m:sub>
                    <m:r>
                      <m:t>i</m:t>
                    </m:r>
                  </m:sub>
                </m:sSub>
                <m:r>
                  <m:rPr>
                    <m:sty m:val="p"/>
                  </m:rPr>
                  <m:t>)</m:t>
                </m:r>
                <m:r>
                  <m:rPr>
                    <m:sty m:val="p"/>
                  </m:rPr>
                  <m:t>}</m:t>
                </m:r>
                <m:r>
                  <m:rPr>
                    <m:sty m:val="p"/>
                  </m:rPr>
                  <m:t>,</m:t>
                </m:r>
                <m:r>
                  <m:t> </m:t>
                </m:r>
                <m:r>
                  <m:t>i</m:t>
                </m:r>
                <m:r>
                  <m:rPr>
                    <m:sty m:val="p"/>
                  </m:rPr>
                  <m:t>∈</m:t>
                </m:r>
                <m:r>
                  <m:rPr>
                    <m:scr m:val="script"/>
                    <m:sty m:val="p"/>
                  </m:rPr>
                  <m:t>C</m:t>
                </m:r>
                <m:r>
                  <m:rPr>
                    <m:sty m:val="p"/>
                  </m:rPr>
                  <m:t>,</m:t>
                </m:r>
              </m:oMath>
            </m:oMathPara>
          </w:p>
        </w:tc>
        <w:tc>
          <w:tcPr>
            <w:tcW w:type="dxa" w:w="504"/>
            <w:vAlign w:val="center"/>
          </w:tcPr>
          <w:p>
            <w:pPr>
              <w:jc w:val="right"/>
            </w:pPr>
            <w:r>
              <w:rPr>
                <w:rFonts w:ascii="Times New Roman" w:hAnsi="Times New Roman"/>
                <w:sz w:val="20"/>
              </w:rPr>
              <w:t>(7)</w:t>
            </w:r>
          </w:p>
        </w:tc>
      </w:tr>
    </w:tbl>
    <w:p>
      <w:pPr>
        <w:pStyle w:val="FirstParagraph"/>
      </w:pPr>
      <w:r>
        <w:t xml:space="preserve">and form the test interval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464"/>
            <w:vAlign w:val="center"/>
          </w:tcPr>
          <w:p>
            <w:pPr>
              <w:pStyle w:val="BodyText"/>
              <w:ind w:firstLine="0"/>
              <w:jc w:val="center"/>
            </w:pPr>
            <m:oMathPara>
              <m:oMathParaPr>
                <m:jc m:val="center"/>
              </m:oMathParaPr>
              <m:oMath>
                <m:d>
                  <m:dPr>
                    <m:begChr m:val="["/>
                    <m:sepChr m:val=""/>
                    <m:endChr m:val="]"/>
                    <m:grow/>
                  </m:dPr>
                  <m:e>
                    <m:sSub>
                      <m:e>
                        <m:acc>
                          <m:accPr>
                            <m:chr m:val="̂"/>
                          </m:accPr>
                          <m:e>
                            <m:r>
                              <m:t>q</m:t>
                            </m:r>
                          </m:e>
                        </m:acc>
                      </m:e>
                      <m:sub>
                        <m:r>
                          <m:t>0.05</m:t>
                        </m:r>
                      </m:sub>
                    </m:sSub>
                    <m:r>
                      <m:rPr>
                        <m:sty m:val="p"/>
                      </m:rPr>
                      <m:t>(</m:t>
                    </m:r>
                    <m:r>
                      <m:t>x</m:t>
                    </m:r>
                    <m:r>
                      <m:rPr>
                        <m:sty m:val="p"/>
                      </m:rPr>
                      <m:t>)</m:t>
                    </m:r>
                    <m:r>
                      <m:rPr>
                        <m:sty m:val="p"/>
                      </m:rPr>
                      <m:t>−</m:t>
                    </m:r>
                    <m:acc>
                      <m:accPr>
                        <m:chr m:val="̂"/>
                      </m:accPr>
                      <m:e>
                        <m:r>
                          <m:t>Q</m:t>
                        </m:r>
                      </m:e>
                    </m:acc>
                    <m:r>
                      <m:rPr>
                        <m:sty m:val="p"/>
                      </m:rPr>
                      <m:t>,</m:t>
                    </m:r>
                    <m:r>
                      <m:t> </m:t>
                    </m:r>
                    <m:sSub>
                      <m:e>
                        <m:acc>
                          <m:accPr>
                            <m:chr m:val="̂"/>
                          </m:accPr>
                          <m:e>
                            <m:r>
                              <m:t>q</m:t>
                            </m:r>
                          </m:e>
                        </m:acc>
                      </m:e>
                      <m:sub>
                        <m:r>
                          <m:t>0.95</m:t>
                        </m:r>
                      </m:sub>
                    </m:sSub>
                    <m:r>
                      <m:rPr>
                        <m:sty m:val="p"/>
                      </m:rPr>
                      <m:t>(</m:t>
                    </m:r>
                    <m:r>
                      <m:t>x</m:t>
                    </m:r>
                    <m:r>
                      <m:rPr>
                        <m:sty m:val="p"/>
                      </m:rPr>
                      <m:t>)</m:t>
                    </m:r>
                    <m:r>
                      <m:rPr>
                        <m:sty m:val="p"/>
                      </m:rPr>
                      <m:t>+</m:t>
                    </m:r>
                    <m:acc>
                      <m:accPr>
                        <m:chr m:val="̂"/>
                      </m:accPr>
                      <m:e>
                        <m:r>
                          <m:t>Q</m:t>
                        </m:r>
                      </m:e>
                    </m:acc>
                  </m:e>
                </m:d>
                <m:r>
                  <m:rPr>
                    <m:sty m:val="p"/>
                  </m:rPr>
                  <m:t>,</m:t>
                </m:r>
              </m:oMath>
            </m:oMathPara>
          </w:p>
        </w:tc>
        <w:tc>
          <w:tcPr>
            <w:tcW w:type="dxa" w:w="504"/>
            <w:vAlign w:val="center"/>
          </w:tcPr>
          <w:p>
            <w:pPr>
              <w:jc w:val="right"/>
            </w:pPr>
            <w:r>
              <w:rPr>
                <w:rFonts w:ascii="Times New Roman" w:hAnsi="Times New Roman"/>
                <w:sz w:val="20"/>
              </w:rPr>
              <w:t>(8)</w:t>
            </w:r>
          </w:p>
        </w:tc>
      </w:tr>
    </w:tbl>
    <w:p>
      <w:pPr>
        <w:pStyle w:val="FirstParagraph"/>
      </w:pPr>
      <w:r>
        <w:t xml:space="preserve">where</w:t>
      </w:r>
      <w:r>
        <w:t xml:space="preserve"> </w:t>
      </w:r>
      <m:oMath>
        <m:acc>
          <m:accPr>
            <m:chr m:val="̂"/>
          </m:accPr>
          <m:e>
            <m:r>
              <m:t>Q</m:t>
            </m:r>
          </m:e>
        </m:acc>
      </m:oMath>
      <w:r>
        <w:t xml:space="preserve"> </w:t>
      </w:r>
      <w:r>
        <w:t xml:space="preserve">is the</w:t>
      </w:r>
      <w:r>
        <w:t xml:space="preserve"> </w:t>
      </w:r>
      <m:oMath>
        <m:r>
          <m:rPr>
            <m:sty m:val="p"/>
          </m:rPr>
          <m:t>⌈</m:t>
        </m:r>
        <m:r>
          <m:rPr>
            <m:sty m:val="p"/>
          </m:rPr>
          <m:t>(</m:t>
        </m:r>
        <m:r>
          <m:rPr>
            <m:sty m:val="p"/>
          </m:rPr>
          <m:t>|</m:t>
        </m:r>
        <m:r>
          <m:rPr>
            <m:scr m:val="script"/>
            <m:sty m:val="p"/>
          </m:rPr>
          <m:t>C</m:t>
        </m:r>
        <m:r>
          <m:rPr>
            <m:sty m:val="p"/>
          </m:rPr>
          <m:t>|</m:t>
        </m:r>
        <m:r>
          <m:rPr>
            <m:sty m:val="p"/>
          </m:rPr>
          <m:t>+</m:t>
        </m:r>
        <m:r>
          <m:t>1</m:t>
        </m:r>
        <m:r>
          <m:rPr>
            <m:sty m:val="p"/>
          </m:rPr>
          <m:t>)</m:t>
        </m:r>
        <m:r>
          <m:rPr>
            <m:sty m:val="p"/>
          </m:rPr>
          <m:t>(</m:t>
        </m:r>
        <m:r>
          <m:t>1</m:t>
        </m:r>
        <m:r>
          <m:rPr>
            <m:sty m:val="p"/>
          </m:rPr>
          <m:t>−</m:t>
        </m:r>
        <m:r>
          <m:t>α</m:t>
        </m:r>
        <m:r>
          <m:rPr>
            <m:sty m:val="p"/>
          </m:rPr>
          <m:t>)</m:t>
        </m:r>
        <m:r>
          <m:rPr>
            <m:sty m:val="p"/>
          </m:rPr>
          <m:t>⌉</m:t>
        </m:r>
      </m:oMath>
      <w:r>
        <w:t xml:space="preserve">-th smallest</w:t>
      </w:r>
      <w:r>
        <w:t xml:space="preserve"> </w:t>
      </w:r>
      <m:oMath>
        <m:sSub>
          <m:e>
            <m:r>
              <m:t>E</m:t>
            </m:r>
          </m:e>
          <m:sub>
            <m:r>
              <m:t>i</m:t>
            </m:r>
          </m:sub>
        </m:sSub>
      </m:oMath>
      <w:r>
        <w:t xml:space="preserve">. Coverage of (8) is guaranteed only under exchangeability of calibration and test samples. Sessions from one cell are dependent, and sessions from an unseen dataset are not exchangeable with the calibration set, so coverage is measured rather than assumed.</w:t>
      </w:r>
    </w:p>
    <w:p>
      <w:pPr>
        <w:pStyle w:val="AlgoTitle"/>
        <w:keepNext/>
        <w:keepLines/>
        <w:spacing w:before="120" w:after="40"/>
        <w:ind w:firstLine="0"/>
        <w:jc w:val="left"/>
        <w:pBdr>
          <w:top w:val="single" w:sz="8" w:space="2" w:color="000000"/>
          <w:bottom w:val="single" w:sz="4" w:space="2" w:color="000000"/>
        </w:pBdr>
      </w:pPr>
      <w:r>
        <w:rPr>
          <w:rFonts w:ascii="Times New Roman" w:hAnsi="Times New Roman"/>
          <w:b/>
          <w:bCs/>
          <w:sz w:val="17"/>
        </w:rPr>
        <w:t xml:space="preserve">Algorithm 1:</w:t>
      </w:r>
      <w:r>
        <w:rPr>
          <w:rFonts w:ascii="Times New Roman" w:hAnsi="Times New Roman"/>
          <w:sz w:val="17"/>
        </w:rPr>
        <w:t xml:space="preserve"> </w:t>
      </w:r>
      <w:r>
        <w:rPr>
          <w:rFonts w:ascii="Times New Roman" w:hAnsi="Times New Roman"/>
          <w:sz w:val="17"/>
        </w:rPr>
        <w:t xml:space="preserve">Training and evaluation for one split</w:t>
      </w:r>
    </w:p>
    <w:p>
      <w:pPr>
        <w:pStyle w:val="Algo"/>
        <w:keepNext w:val="0"/>
        <w:keepLines/>
        <w:spacing w:before="40" w:after="120"/>
        <w:ind w:firstLine="0"/>
        <w:jc w:val="left"/>
        <w:pBdr>
          <w:bottom w:val="single" w:sz="8" w:space="2" w:color="000000"/>
        </w:pBdr>
      </w:pPr>
      <w:r>
        <w:rPr>
          <w:rFonts w:ascii="Times New Roman" w:hAnsi="Times New Roman"/>
          <w:sz w:val="17"/>
        </w:rPr>
        <w:t xml:space="preserve">Input: sessions with cell identifiers; seed r; label fraction f; model M</w:t>
      </w:r>
      <w:r>
        <w:rPr>
          <w:rFonts w:ascii="Times New Roman" w:hAnsi="Times New Roman"/>
          <w:sz w:val="17"/>
        </w:rPr>
        <w:br/>
      </w:r>
      <w:r>
        <w:rPr>
          <w:rFonts w:ascii="Times New Roman" w:hAnsi="Times New Roman"/>
          <w:sz w:val="17"/>
        </w:rPr>
        <w:t xml:space="preserve">1. Split cells, stratified by source, into test (20 %); then calibration (15 %), validation (15 %) and training cells.</w:t>
      </w:r>
      <w:r>
        <w:rPr>
          <w:rFonts w:ascii="Times New Roman" w:hAnsi="Times New Roman"/>
          <w:sz w:val="17"/>
        </w:rPr>
        <w:br/>
      </w:r>
      <w:r>
        <w:rPr>
          <w:rFonts w:ascii="Times New Roman" w:hAnsi="Times New Roman"/>
          <w:sz w:val="17"/>
        </w:rPr>
        <w:t xml:space="preserve">2. Fit all scalers on training cells only.</w:t>
      </w:r>
      <w:r>
        <w:rPr>
          <w:rFonts w:ascii="Times New Roman" w:hAnsi="Times New Roman"/>
          <w:sz w:val="17"/>
        </w:rPr>
        <w:br/>
      </w:r>
      <w:r>
        <w:rPr>
          <w:rFonts w:ascii="Times New Roman" w:hAnsi="Times New Roman"/>
          <w:sz w:val="17"/>
        </w:rPr>
        <w:t xml:space="preserve">3. If M is the self-supervised CNN, pre-train both encoders on all training-cell sessions with (6).</w:t>
      </w:r>
      <w:r>
        <w:rPr>
          <w:rFonts w:ascii="Times New Roman" w:hAnsi="Times New Roman"/>
          <w:sz w:val="17"/>
        </w:rPr>
        <w:br/>
      </w:r>
      <w:r>
        <w:rPr>
          <w:rFonts w:ascii="Times New Roman" w:hAnsi="Times New Roman"/>
          <w:sz w:val="17"/>
        </w:rPr>
        <w:t xml:space="preserve">4. Label a random fraction f of the training cells (f = 1 or 0.1).</w:t>
      </w:r>
      <w:r>
        <w:rPr>
          <w:rFonts w:ascii="Times New Roman" w:hAnsi="Times New Roman"/>
          <w:sz w:val="17"/>
        </w:rPr>
        <w:br/>
      </w:r>
      <w:r>
        <w:rPr>
          <w:rFonts w:ascii="Times New Roman" w:hAnsi="Times New Roman"/>
          <w:sz w:val="17"/>
        </w:rPr>
        <w:t xml:space="preserve">5. Fit M on the labelled cells, with early stopping on validation cells.</w:t>
      </w:r>
      <w:r>
        <w:rPr>
          <w:rFonts w:ascii="Times New Roman" w:hAnsi="Times New Roman"/>
          <w:sz w:val="17"/>
        </w:rPr>
        <w:br/>
      </w:r>
      <w:r>
        <w:rPr>
          <w:rFonts w:ascii="Times New Roman" w:hAnsi="Times New Roman"/>
          <w:sz w:val="17"/>
        </w:rPr>
        <w:t xml:space="preserve">6. Predict quantiles on calibration cells and compute the correction Q from (7)–(8).</w:t>
      </w:r>
      <w:r>
        <w:rPr>
          <w:rFonts w:ascii="Times New Roman" w:hAnsi="Times New Roman"/>
          <w:sz w:val="17"/>
        </w:rPr>
        <w:br/>
      </w:r>
      <w:r>
        <w:rPr>
          <w:rFonts w:ascii="Times New Roman" w:hAnsi="Times New Roman"/>
          <w:sz w:val="17"/>
        </w:rPr>
        <w:t xml:space="preserve">7. Predict the test cells once; report RMSE, MAE, R², coverage and interval width.</w:t>
      </w:r>
    </w:p>
    <w:bookmarkEnd w:id="38"/>
    <w:bookmarkEnd w:id="39"/>
    <w:bookmarkStart w:id="44" w:name="v.-experimental-setup"/>
    <w:p>
      <w:pPr>
        <w:pStyle w:val="Heading1"/>
      </w:pPr>
      <w:r>
        <w:rPr>
          <w:rFonts w:ascii="Times New Roman" w:hAnsi="Times New Roman"/>
          <w:b w:val="0"/>
          <w:smallCaps/>
          <w:sz w:val="20"/>
        </w:rPr>
        <w:t xml:space="preserve">V. Experimental Setup</w:t>
      </w:r>
    </w:p>
    <w:p>
      <w:pPr>
        <w:pStyle w:val="FirstParagraph"/>
      </w:pPr>
      <w:r>
        <w:t xml:space="preserve">Table IV lists the configuration, and Fig. 6 shows the partitioning and leakage controls. With all labels, 201 training cells were used on average; with 10 % labels, 20. Each test set contained 75 cells and 16,686 sessions per seed. RMSE and MAE are reported in % SOH; coverage is the fraction of test sessions whose true SOH lies inside the interval, and width is the mean interval length in % SOH.</w:t>
      </w:r>
    </w:p>
    <w:p>
      <w:pPr>
        <w:pStyle w:val="TableCaption"/>
        <w:keepNext/>
        <w:ind w:firstLine="0"/>
        <w:jc w:val="center"/>
      </w:pPr>
      <w:r>
        <w:rPr>
          <w:rFonts w:ascii="Times New Roman" w:hAnsi="Times New Roman"/>
          <w:smallCaps w:val="0"/>
          <w:sz w:val="16"/>
        </w:rPr>
        <w:t xml:space="preserve">TABLE IV</w:t>
      </w:r>
    </w:p>
    <w:p>
      <w:pPr>
        <w:pStyle w:val="TableCaption"/>
      </w:pPr>
      <w:r>
        <w:t xml:space="preserve">EXPERIMENTAL CONFIGURATION</w:t>
      </w: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3960"/>
        <w:gridCol w:w="3960"/>
      </w:tblGrid>
      <w:tr>
        <w:trPr>
          <w:tblHeader w:val="on"/>
        </w:trPr>
        <w:tc>
          <w:tcPr/>
          <w:p>
            <w:pPr>
              <w:pStyle w:val="Compact"/>
              <w:ind w:firstLine="0"/>
              <w:jc w:val="left"/>
            </w:pPr>
            <w:r>
              <w:rPr>
                <w:rFonts w:ascii="Times New Roman" w:hAnsi="Times New Roman"/>
                <w:b/>
                <w:sz w:val="15"/>
              </w:rPr>
              <w:t xml:space="preserve">Item</w:t>
            </w:r>
          </w:p>
        </w:tc>
        <w:tc>
          <w:tcPr/>
          <w:p>
            <w:pPr>
              <w:pStyle w:val="Compact"/>
              <w:ind w:firstLine="0"/>
              <w:jc w:val="left"/>
            </w:pPr>
            <w:r>
              <w:rPr>
                <w:rFonts w:ascii="Times New Roman" w:hAnsi="Times New Roman"/>
                <w:b/>
                <w:sz w:val="15"/>
              </w:rPr>
              <w:t xml:space="preserve">Setting</w:t>
            </w:r>
          </w:p>
        </w:tc>
      </w:tr>
      <w:tr>
        <w:tc>
          <w:tcPr/>
          <w:p>
            <w:pPr>
              <w:pStyle w:val="Compact"/>
              <w:ind w:firstLine="0"/>
              <w:jc w:val="left"/>
            </w:pPr>
            <w:r>
              <w:rPr>
                <w:rFonts w:ascii="Times New Roman" w:hAnsi="Times New Roman"/>
                <w:sz w:val="15"/>
              </w:rPr>
              <w:t xml:space="preserve">Splits</w:t>
            </w:r>
          </w:p>
        </w:tc>
        <w:tc>
          <w:tcPr/>
          <w:p>
            <w:pPr>
              <w:pStyle w:val="Compact"/>
              <w:ind w:firstLine="0"/>
              <w:jc w:val="left"/>
            </w:pPr>
            <w:r>
              <w:rPr>
                <w:rFonts w:ascii="Times New Roman" w:hAnsi="Times New Roman"/>
                <w:sz w:val="15"/>
              </w:rPr>
              <w:t xml:space="preserve">Cell-level, stratified by source: test 20 %; calibration 15 %, validation 15 %, train rest; seeds 0, 1, 2</w:t>
            </w:r>
          </w:p>
        </w:tc>
      </w:tr>
      <w:tr>
        <w:tc>
          <w:tcPr/>
          <w:p>
            <w:pPr>
              <w:pStyle w:val="Compact"/>
              <w:ind w:firstLine="0"/>
              <w:jc w:val="left"/>
            </w:pPr>
            <w:r>
              <w:rPr>
                <w:rFonts w:ascii="Times New Roman" w:hAnsi="Times New Roman"/>
                <w:sz w:val="15"/>
              </w:rPr>
              <w:t xml:space="preserve">Label budgets</w:t>
            </w:r>
          </w:p>
        </w:tc>
        <w:tc>
          <w:tcPr/>
          <w:p>
            <w:pPr>
              <w:pStyle w:val="Compact"/>
              <w:ind w:firstLine="0"/>
              <w:jc w:val="left"/>
            </w:pPr>
            <w:r>
              <w:rPr>
                <w:rFonts w:ascii="Times New Roman" w:hAnsi="Times New Roman"/>
                <w:sz w:val="15"/>
              </w:rPr>
              <w:t xml:space="preserve">100 % and 10 % of training cells (pre-training always uses all training-cell sessions, unlabelled)</w:t>
            </w:r>
          </w:p>
        </w:tc>
      </w:tr>
      <w:tr>
        <w:tc>
          <w:tcPr/>
          <w:p>
            <w:pPr>
              <w:pStyle w:val="Compact"/>
              <w:ind w:firstLine="0"/>
              <w:jc w:val="left"/>
            </w:pPr>
            <w:r>
              <w:rPr>
                <w:rFonts w:ascii="Times New Roman" w:hAnsi="Times New Roman"/>
                <w:sz w:val="15"/>
              </w:rPr>
              <w:t xml:space="preserve">Cross-dataset</w:t>
            </w:r>
          </w:p>
        </w:tc>
        <w:tc>
          <w:tcPr/>
          <w:p>
            <w:pPr>
              <w:pStyle w:val="Compact"/>
              <w:ind w:firstLine="0"/>
              <w:jc w:val="left"/>
            </w:pPr>
            <w:r>
              <w:rPr>
                <w:rFonts w:ascii="Times New Roman" w:hAnsi="Times New Roman"/>
                <w:sz w:val="15"/>
              </w:rPr>
              <w:t xml:space="preserve">Leave-one-source-out for MATR, HUST and SNL (seed 0, all labels)</w:t>
            </w:r>
          </w:p>
        </w:tc>
      </w:tr>
      <w:tr>
        <w:tc>
          <w:tcPr/>
          <w:p>
            <w:pPr>
              <w:pStyle w:val="Compact"/>
              <w:ind w:firstLine="0"/>
              <w:jc w:val="left"/>
            </w:pPr>
            <w:r>
              <w:rPr>
                <w:rFonts w:ascii="Times New Roman" w:hAnsi="Times New Roman"/>
                <w:sz w:val="15"/>
              </w:rPr>
              <w:t xml:space="preserve">Sessions</w:t>
            </w:r>
          </w:p>
        </w:tc>
        <w:tc>
          <w:tcPr/>
          <w:p>
            <w:pPr>
              <w:pStyle w:val="Compact"/>
              <w:ind w:firstLine="0"/>
              <w:jc w:val="left"/>
            </w:pPr>
            <m:oMath>
              <m:r>
                <m:t>s</m:t>
              </m:r>
              <m:r>
                <m:rPr>
                  <m:sty m:val="p"/>
                </m:rPr>
                <m:t>∼</m:t>
              </m:r>
              <m:r>
                <m:rPr>
                  <m:scr m:val="script"/>
                  <m:sty m:val="p"/>
                </m:rPr>
                <m:t>U</m:t>
              </m:r>
              <m:r>
                <m:rPr>
                  <m:sty m:val="p"/>
                </m:rPr>
                <m:t>(</m:t>
              </m:r>
              <m:r>
                <m:t>0.05</m:t>
              </m:r>
              <m:r>
                <m:rPr>
                  <m:sty m:val="p"/>
                </m:rPr>
                <m:t>,</m:t>
              </m:r>
              <m:r>
                <m:t>0.60</m:t>
              </m:r>
              <m:r>
                <m:rPr>
                  <m:sty m:val="p"/>
                </m:rPr>
                <m:t>)</m:t>
              </m:r>
            </m:oMath>
            <w:r>
              <w:rPr>
                <w:rFonts w:ascii="Times New Roman" w:hAnsi="Times New Roman"/>
                <w:sz w:val="15"/>
              </w:rPr>
              <w:t xml:space="preserve">,</w:t>
            </w:r>
            <w:r>
              <w:rPr>
                <w:rFonts w:ascii="Times New Roman" w:hAnsi="Times New Roman"/>
                <w:sz w:val="15"/>
              </w:rPr>
              <w:t xml:space="preserve"> </w:t>
            </w:r>
            <m:oMath>
              <m:r>
                <m:t>w</m:t>
              </m:r>
              <m:r>
                <m:rPr>
                  <m:sty m:val="p"/>
                </m:rPr>
                <m:t>∼</m:t>
              </m:r>
              <m:r>
                <m:rPr>
                  <m:scr m:val="script"/>
                  <m:sty m:val="p"/>
                </m:rPr>
                <m:t>U</m:t>
              </m:r>
              <m:r>
                <m:rPr>
                  <m:sty m:val="p"/>
                </m:rPr>
                <m:t>(</m:t>
              </m:r>
              <m:r>
                <m:t>0.15</m:t>
              </m:r>
              <m:r>
                <m:rPr>
                  <m:sty m:val="p"/>
                </m:rPr>
                <m:t>,</m:t>
              </m:r>
              <m:r>
                <m:t>0.40</m:t>
              </m:r>
              <m:r>
                <m:rPr>
                  <m:sty m:val="p"/>
                </m:rPr>
                <m:t>)</m:t>
              </m:r>
            </m:oMath>
            <w:r>
              <w:rPr>
                <w:rFonts w:ascii="Times New Roman" w:hAnsi="Times New Roman"/>
                <w:sz w:val="15"/>
              </w:rPr>
              <w:t xml:space="preserve">; 2 per cycle; at most 120 cycles per cell</w:t>
            </w:r>
          </w:p>
        </w:tc>
      </w:tr>
      <w:tr>
        <w:tc>
          <w:tcPr/>
          <w:p>
            <w:pPr>
              <w:pStyle w:val="Compact"/>
              <w:ind w:firstLine="0"/>
              <w:jc w:val="left"/>
            </w:pPr>
            <w:r>
              <w:rPr>
                <w:rFonts w:ascii="Times New Roman" w:hAnsi="Times New Roman"/>
                <w:sz w:val="15"/>
              </w:rPr>
              <w:t xml:space="preserve">CNN</w:t>
            </w:r>
          </w:p>
        </w:tc>
        <w:tc>
          <w:tcPr/>
          <w:p>
            <w:pPr>
              <w:pStyle w:val="Compact"/>
              <w:ind w:firstLine="0"/>
              <w:jc w:val="left"/>
            </w:pPr>
            <w:r>
              <w:rPr>
                <w:rFonts w:ascii="Times New Roman" w:hAnsi="Times New Roman"/>
                <w:sz w:val="15"/>
              </w:rPr>
              <w:t xml:space="preserve">AdamW, learning rate 2×10⁻³, weight decay 10⁻⁴, cosine schedule, batch 512, at most 25 epochs, patience 5</w:t>
            </w:r>
          </w:p>
        </w:tc>
      </w:tr>
      <w:tr>
        <w:tc>
          <w:tcPr/>
          <w:p>
            <w:pPr>
              <w:pStyle w:val="Compact"/>
              <w:ind w:firstLine="0"/>
              <w:jc w:val="left"/>
            </w:pPr>
            <w:r>
              <w:rPr>
                <w:rFonts w:ascii="Times New Roman" w:hAnsi="Times New Roman"/>
                <w:sz w:val="15"/>
              </w:rPr>
              <w:t xml:space="preserve">Pre-training</w:t>
            </w:r>
          </w:p>
        </w:tc>
        <w:tc>
          <w:tcPr/>
          <w:p>
            <w:pPr>
              <w:pStyle w:val="Compact"/>
              <w:ind w:firstLine="0"/>
              <w:jc w:val="left"/>
            </w:pPr>
            <w:r>
              <w:rPr>
                <w:rFonts w:ascii="Times New Roman" w:hAnsi="Times New Roman"/>
                <w:sz w:val="15"/>
              </w:rPr>
              <w:t xml:space="preserve">10 epochs; contiguous 30 % mask; MSE on hidden positions</w:t>
            </w:r>
          </w:p>
        </w:tc>
      </w:tr>
      <w:tr>
        <w:tc>
          <w:tcPr/>
          <w:p>
            <w:pPr>
              <w:pStyle w:val="Compact"/>
              <w:ind w:firstLine="0"/>
              <w:jc w:val="left"/>
            </w:pPr>
            <w:r>
              <w:rPr>
                <w:rFonts w:ascii="Times New Roman" w:hAnsi="Times New Roman"/>
                <w:sz w:val="15"/>
              </w:rPr>
              <w:t xml:space="preserve">LightGBM</w:t>
            </w:r>
          </w:p>
        </w:tc>
        <w:tc>
          <w:tcPr/>
          <w:p>
            <w:pPr>
              <w:pStyle w:val="Compact"/>
              <w:ind w:firstLine="0"/>
              <w:jc w:val="left"/>
            </w:pPr>
            <w:r>
              <w:rPr>
                <w:rFonts w:ascii="Times New Roman" w:hAnsi="Times New Roman"/>
                <w:sz w:val="15"/>
              </w:rPr>
              <w:t xml:space="preserve">Up to 2000 trees, learning rate 0.03, 31 leaves, 40 samples per leaf, 0.8 row and column subsampling, early stopping after 100 rounds</w:t>
            </w:r>
          </w:p>
        </w:tc>
      </w:tr>
      <w:tr>
        <w:tc>
          <w:tcPr/>
          <w:p>
            <w:pPr>
              <w:pStyle w:val="Compact"/>
              <w:ind w:firstLine="0"/>
              <w:jc w:val="left"/>
            </w:pPr>
            <w:r>
              <w:rPr>
                <w:rFonts w:ascii="Times New Roman" w:hAnsi="Times New Roman"/>
                <w:sz w:val="15"/>
              </w:rPr>
              <w:t xml:space="preserve">Intervals</w:t>
            </w:r>
          </w:p>
        </w:tc>
        <w:tc>
          <w:tcPr/>
          <w:p>
            <w:pPr>
              <w:pStyle w:val="Compact"/>
              <w:ind w:firstLine="0"/>
              <w:jc w:val="left"/>
            </w:pPr>
            <w:r>
              <w:rPr>
                <w:rFonts w:ascii="Times New Roman" w:hAnsi="Times New Roman"/>
                <w:sz w:val="15"/>
              </w:rPr>
              <w:t xml:space="preserve">α = 0.1 (90 % nominal), split CQR on calibration cells</w:t>
            </w:r>
          </w:p>
        </w:tc>
      </w:tr>
      <w:tr>
        <w:tc>
          <w:tcPr/>
          <w:p>
            <w:pPr>
              <w:pStyle w:val="Compact"/>
              <w:ind w:firstLine="0"/>
              <w:jc w:val="left"/>
            </w:pPr>
            <w:r>
              <w:rPr>
                <w:rFonts w:ascii="Times New Roman" w:hAnsi="Times New Roman"/>
                <w:sz w:val="15"/>
              </w:rPr>
              <w:t xml:space="preserve">Software</w:t>
            </w:r>
          </w:p>
        </w:tc>
        <w:tc>
          <w:tcPr/>
          <w:p>
            <w:pPr>
              <w:pStyle w:val="Compact"/>
              <w:ind w:firstLine="0"/>
              <w:jc w:val="left"/>
            </w:pPr>
            <w:r>
              <w:rPr>
                <w:rFonts w:ascii="Times New Roman" w:hAnsi="Times New Roman"/>
                <w:sz w:val="15"/>
              </w:rPr>
              <w:t xml:space="preserve">Python 3.13, PyTorch 2.11 (CPU), LightGBM 4.6, scikit-learn 1.7</w:t>
            </w:r>
          </w:p>
        </w:tc>
      </w:tr>
    </w:tbl>
    <w:bookmarkStart w:id="43" w:name="fig5_data_workflow"/>
    <w:p>
      <w:pPr>
        <w:sectPr>
          <w:type w:val="continuous"/>
          <w:pgSz w:w="12240" w:h="15840"/>
          <w:pgMar w:top="1080" w:bottom="1440" w:left="900" w:right="900" w:header="720" w:footer="720" w:gutter="0"/>
          <w:cols w:num="2" w:space="360"/>
        </w:sectPr>
      </w:pPr>
    </w:p>
    <w:p>
      <w:pPr>
        <w:pStyle w:val="CaptionedFigure"/>
      </w:pPr>
      <w:r>
        <w:drawing>
          <wp:inline>
            <wp:extent cx="6400800" cy="2678697"/>
            <wp:effectExtent b="0" l="0" r="0" t="0"/>
            <wp:docPr descr="Fig. 6. Cell-separated partitioning and leakage controls (conceptual diagram)." title="" id="41" name="Picture"/>
            <a:graphic>
              <a:graphicData uri="http://schemas.openxmlformats.org/drawingml/2006/picture">
                <pic:pic>
                  <pic:nvPicPr>
                    <pic:cNvPr descr="../figures/fig5_data_workflow.png" id="42" name="Picture"/>
                    <pic:cNvPicPr>
                      <a:picLocks noChangeArrowheads="1" noChangeAspect="1"/>
                    </pic:cNvPicPr>
                  </pic:nvPicPr>
                  <pic:blipFill>
                    <a:blip r:embed="rId40"/>
                    <a:stretch>
                      <a:fillRect/>
                    </a:stretch>
                  </pic:blipFill>
                  <pic:spPr bwMode="auto">
                    <a:xfrm>
                      <a:off x="0" y="0"/>
                      <a:ext cx="6400800" cy="2678697"/>
                    </a:xfrm>
                    <a:prstGeom prst="rect">
                      <a:avLst/>
                    </a:prstGeom>
                    <a:noFill/>
                    <a:ln w="9525">
                      <a:noFill/>
                      <a:headEnd/>
                      <a:tailEnd/>
                    </a:ln>
                  </pic:spPr>
                </pic:pic>
              </a:graphicData>
            </a:graphic>
          </wp:inline>
        </w:drawing>
      </w:r>
    </w:p>
    <w:p>
      <w:pPr>
        <w:pStyle w:val="ImageCaption"/>
      </w:pPr>
      <w:r>
        <w:t xml:space="preserve">Fig. 6. Cell-separated partitioning and leakage controls (conceptual diagram).</w:t>
      </w:r>
    </w:p>
    <w:p>
      <w:pPr>
        <w:sectPr>
          <w:type w:val="continuous"/>
          <w:pgSz w:w="12240" w:h="15840"/>
          <w:pgMar w:top="1080" w:bottom="1440" w:left="900" w:right="900" w:header="720" w:footer="720" w:gutter="0"/>
          <w:cols w:num="1" w:space="360"/>
        </w:sectPr>
      </w:pPr>
    </w:p>
    <w:bookmarkEnd w:id="43"/>
    <w:bookmarkEnd w:id="44"/>
    <w:bookmarkStart w:id="75" w:name="vi.-results-and-discussion"/>
    <w:p>
      <w:pPr>
        <w:pStyle w:val="Heading1"/>
      </w:pPr>
      <w:r>
        <w:rPr>
          <w:rFonts w:ascii="Times New Roman" w:hAnsi="Times New Roman"/>
          <w:b w:val="0"/>
          <w:smallCaps/>
          <w:sz w:val="20"/>
        </w:rPr>
        <w:t xml:space="preserve">VI. Results and Discussion</w:t>
      </w:r>
    </w:p>
    <w:bookmarkStart w:id="57" w:name="a.-accuracy-on-unseen-cells"/>
    <w:p>
      <w:pPr>
        <w:pStyle w:val="Heading2"/>
      </w:pPr>
      <w:r>
        <w:rPr>
          <w:rFonts w:ascii="Times New Roman" w:hAnsi="Times New Roman"/>
          <w:b w:val="0"/>
          <w:i/>
          <w:sz w:val="20"/>
        </w:rPr>
        <w:t xml:space="preserve">A. Accuracy on Unseen Cells</w:t>
      </w:r>
    </w:p>
    <w:p>
      <w:pPr>
        <w:pStyle w:val="FirstParagraph"/>
      </w:pPr>
      <w:r>
        <w:t xml:space="preserve">Table V reports test results averaged over three seeds, and Fig. 7 compares the models. With all labels, LightGBM on handcrafted features plus raw views achieved the lowest error, 4.89 ± 0.19 % SOH RMSE (MAE 3.37 %, R² = 0.793), closely followed by LightGBM on handcrafted features alone (4.94 ± 0.14 %). Both convolutional encoders were about 0.9 percentage points worse: supervised, 5.81 ± 0.28 %; self-supervised, 5.78 ± 0.26 %. The gap was consistent within every seed (0.81, 0.94 and 0.92 points). Ridge regression reached 7.46 ± 0.41 %.</w:t>
      </w:r>
      <w:r>
        <w:t xml:space="preserve"> </w:t>
      </w:r>
      <w:r>
        <w:rPr>
          <w:b/>
          <w:bCs/>
        </w:rPr>
        <w:t xml:space="preserve">H1 is therefore not supported</w:t>
      </w:r>
      <w:r>
        <w:t xml:space="preserve">: in this setting, a compact set of physically motivated session features with gradient boosting is a stronger estimator than the learned encoder. One caveat is that the encoders’ validation error was still decreasing at the 25-epoch limit (Fig. 8), so a longer training budget could narrow the gap. Fig. 9 shows predicted against measured SOH for the best model.</w:t>
      </w:r>
    </w:p>
    <w:p>
      <w:pPr>
        <w:pStyle w:val="TableCaption"/>
        <w:keepNext/>
        <w:ind w:firstLine="0"/>
        <w:jc w:val="center"/>
      </w:pPr>
      <w:r>
        <w:rPr>
          <w:rFonts w:ascii="Times New Roman" w:hAnsi="Times New Roman"/>
          <w:smallCaps w:val="0"/>
          <w:sz w:val="16"/>
        </w:rPr>
        <w:t xml:space="preserve">TABLE V</w:t>
      </w:r>
    </w:p>
    <w:p>
      <w:pPr>
        <w:pStyle w:val="TableCaption"/>
      </w:pPr>
      <w:r>
        <w:t xml:space="preserve">SOH ESTIMATION ON UNSEEN CELLS (MEAN ± STANDARD DEVIATION OVER THREE SEEDS)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1131"/>
        <w:gridCol w:w="1131"/>
        <w:gridCol w:w="1131"/>
        <w:gridCol w:w="1131"/>
        <w:gridCol w:w="1131"/>
        <w:gridCol w:w="1131"/>
        <w:gridCol w:w="1131"/>
      </w:tblGrid>
      <w:tr>
        <w:trPr>
          <w:tblHeader w:val="on"/>
        </w:trPr>
        <w:tc>
          <w:tcPr/>
          <w:p>
            <w:pPr>
              <w:pStyle w:val="Compact"/>
              <w:ind w:firstLine="0"/>
              <w:jc w:val="left"/>
            </w:pPr>
            <w:r>
              <w:rPr>
                <w:rFonts w:ascii="Times New Roman" w:hAnsi="Times New Roman"/>
                <w:b/>
                <w:sz w:val="15"/>
              </w:rPr>
              <w:t xml:space="preserve">Labels</w:t>
            </w:r>
          </w:p>
        </w:tc>
        <w:tc>
          <w:tcPr/>
          <w:p>
            <w:pPr>
              <w:pStyle w:val="Compact"/>
              <w:ind w:firstLine="0"/>
              <w:jc w:val="left"/>
            </w:pPr>
            <w:r>
              <w:rPr>
                <w:rFonts w:ascii="Times New Roman" w:hAnsi="Times New Roman"/>
                <w:b/>
                <w:sz w:val="15"/>
              </w:rPr>
              <w:t xml:space="preserve">Model</w:t>
            </w:r>
          </w:p>
        </w:tc>
        <w:tc>
          <w:tcPr/>
          <w:p>
            <w:pPr>
              <w:pStyle w:val="Compact"/>
              <w:ind w:firstLine="0"/>
              <w:jc w:val="left"/>
            </w:pPr>
            <w:r>
              <w:rPr>
                <w:rFonts w:ascii="Times New Roman" w:hAnsi="Times New Roman"/>
                <w:b/>
                <w:sz w:val="15"/>
              </w:rPr>
              <w:t xml:space="preserve">RMSE (% SOH)</w:t>
            </w:r>
          </w:p>
        </w:tc>
        <w:tc>
          <w:tcPr/>
          <w:p>
            <w:pPr>
              <w:pStyle w:val="Compact"/>
              <w:ind w:firstLine="0"/>
              <w:jc w:val="left"/>
            </w:pPr>
            <w:r>
              <w:rPr>
                <w:rFonts w:ascii="Times New Roman" w:hAnsi="Times New Roman"/>
                <w:b/>
                <w:sz w:val="15"/>
              </w:rPr>
              <w:t xml:space="preserve">MAE (% SOH)</w:t>
            </w:r>
          </w:p>
        </w:tc>
        <w:tc>
          <w:tcPr/>
          <w:p>
            <w:pPr>
              <w:pStyle w:val="Compact"/>
              <w:ind w:firstLine="0"/>
              <w:jc w:val="left"/>
            </w:pPr>
            <w:r>
              <w:rPr>
                <w:rFonts w:ascii="Times New Roman" w:hAnsi="Times New Roman"/>
                <w:b/>
                <w:sz w:val="15"/>
              </w:rPr>
              <w:t xml:space="preserve">R²</w:t>
            </w:r>
          </w:p>
        </w:tc>
        <w:tc>
          <w:tcPr/>
          <w:p>
            <w:pPr>
              <w:pStyle w:val="Compact"/>
              <w:ind w:firstLine="0"/>
              <w:jc w:val="left"/>
            </w:pPr>
            <w:r>
              <w:rPr>
                <w:rFonts w:ascii="Times New Roman" w:hAnsi="Times New Roman"/>
                <w:b/>
                <w:sz w:val="15"/>
              </w:rPr>
              <w:t xml:space="preserve">90 % PI coverage</w:t>
            </w:r>
          </w:p>
        </w:tc>
        <w:tc>
          <w:tcPr/>
          <w:p>
            <w:pPr>
              <w:pStyle w:val="Compact"/>
              <w:ind w:firstLine="0"/>
              <w:jc w:val="left"/>
            </w:pPr>
            <w:r>
              <w:rPr>
                <w:rFonts w:ascii="Times New Roman" w:hAnsi="Times New Roman"/>
                <w:b/>
                <w:sz w:val="15"/>
              </w:rPr>
              <w:t xml:space="preserve">PI width (% SOH)</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Ridge (hand)</w:t>
            </w:r>
          </w:p>
        </w:tc>
        <w:tc>
          <w:tcPr/>
          <w:p>
            <w:pPr>
              <w:pStyle w:val="Compact"/>
              <w:ind w:firstLine="0"/>
              <w:jc w:val="left"/>
            </w:pPr>
            <w:r>
              <w:rPr>
                <w:rFonts w:ascii="Times New Roman" w:hAnsi="Times New Roman"/>
                <w:sz w:val="15"/>
              </w:rPr>
              <w:t xml:space="preserve">7.46 ± 0.41</w:t>
            </w:r>
          </w:p>
        </w:tc>
        <w:tc>
          <w:tcPr/>
          <w:p>
            <w:pPr>
              <w:pStyle w:val="Compact"/>
              <w:ind w:firstLine="0"/>
              <w:jc w:val="left"/>
            </w:pPr>
            <w:r>
              <w:rPr>
                <w:rFonts w:ascii="Times New Roman" w:hAnsi="Times New Roman"/>
                <w:sz w:val="15"/>
              </w:rPr>
              <w:t xml:space="preserve">5.65</w:t>
            </w:r>
          </w:p>
        </w:tc>
        <w:tc>
          <w:tcPr/>
          <w:p>
            <w:pPr>
              <w:pStyle w:val="Compact"/>
              <w:ind w:firstLine="0"/>
              <w:jc w:val="left"/>
            </w:pPr>
            <w:r>
              <w:rPr>
                <w:rFonts w:ascii="Times New Roman" w:hAnsi="Times New Roman"/>
                <w:sz w:val="15"/>
              </w:rPr>
              <w:t xml:space="preserve">0.519</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4.94 ± 0.14</w:t>
            </w:r>
          </w:p>
        </w:tc>
        <w:tc>
          <w:tcPr/>
          <w:p>
            <w:pPr>
              <w:pStyle w:val="Compact"/>
              <w:ind w:firstLine="0"/>
              <w:jc w:val="left"/>
            </w:pPr>
            <w:r>
              <w:rPr>
                <w:rFonts w:ascii="Times New Roman" w:hAnsi="Times New Roman"/>
                <w:sz w:val="15"/>
              </w:rPr>
              <w:t xml:space="preserve">3.43</w:t>
            </w:r>
          </w:p>
        </w:tc>
        <w:tc>
          <w:tcPr/>
          <w:p>
            <w:pPr>
              <w:pStyle w:val="Compact"/>
              <w:ind w:firstLine="0"/>
              <w:jc w:val="left"/>
            </w:pPr>
            <w:r>
              <w:rPr>
                <w:rFonts w:ascii="Times New Roman" w:hAnsi="Times New Roman"/>
                <w:sz w:val="15"/>
              </w:rPr>
              <w:t xml:space="preserve">0.788</w:t>
            </w:r>
          </w:p>
        </w:tc>
        <w:tc>
          <w:tcPr/>
          <w:p>
            <w:pPr>
              <w:pStyle w:val="Compact"/>
              <w:ind w:firstLine="0"/>
              <w:jc w:val="left"/>
            </w:pPr>
            <w:r>
              <w:rPr>
                <w:rFonts w:ascii="Times New Roman" w:hAnsi="Times New Roman"/>
                <w:sz w:val="15"/>
              </w:rPr>
              <w:t xml:space="preserve">0.897</w:t>
            </w:r>
          </w:p>
        </w:tc>
        <w:tc>
          <w:tcPr/>
          <w:p>
            <w:pPr>
              <w:pStyle w:val="Compact"/>
              <w:ind w:firstLine="0"/>
              <w:jc w:val="left"/>
            </w:pPr>
            <w:r>
              <w:rPr>
                <w:rFonts w:ascii="Times New Roman" w:hAnsi="Times New Roman"/>
                <w:sz w:val="15"/>
              </w:rPr>
              <w:t xml:space="preserve">14.05</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LightGBM (hand+curves)</w:t>
            </w:r>
          </w:p>
        </w:tc>
        <w:tc>
          <w:tcPr/>
          <w:p>
            <w:pPr>
              <w:pStyle w:val="Compact"/>
              <w:ind w:firstLine="0"/>
              <w:jc w:val="left"/>
            </w:pPr>
            <w:r>
              <w:rPr>
                <w:rFonts w:ascii="Times New Roman" w:hAnsi="Times New Roman"/>
                <w:sz w:val="15"/>
              </w:rPr>
              <w:t xml:space="preserve">4.89 ± 0.19</w:t>
            </w:r>
          </w:p>
        </w:tc>
        <w:tc>
          <w:tcPr/>
          <w:p>
            <w:pPr>
              <w:pStyle w:val="Compact"/>
              <w:ind w:firstLine="0"/>
              <w:jc w:val="left"/>
            </w:pPr>
            <w:r>
              <w:rPr>
                <w:rFonts w:ascii="Times New Roman" w:hAnsi="Times New Roman"/>
                <w:sz w:val="15"/>
              </w:rPr>
              <w:t xml:space="preserve">3.37</w:t>
            </w:r>
          </w:p>
        </w:tc>
        <w:tc>
          <w:tcPr/>
          <w:p>
            <w:pPr>
              <w:pStyle w:val="Compact"/>
              <w:ind w:firstLine="0"/>
              <w:jc w:val="left"/>
            </w:pPr>
            <w:r>
              <w:rPr>
                <w:rFonts w:ascii="Times New Roman" w:hAnsi="Times New Roman"/>
                <w:sz w:val="15"/>
              </w:rPr>
              <w:t xml:space="preserve">0.793</w:t>
            </w:r>
          </w:p>
        </w:tc>
        <w:tc>
          <w:tcPr/>
          <w:p>
            <w:pPr>
              <w:pStyle w:val="Compact"/>
              <w:ind w:firstLine="0"/>
              <w:jc w:val="left"/>
            </w:pPr>
            <w:r>
              <w:rPr>
                <w:rFonts w:ascii="Times New Roman" w:hAnsi="Times New Roman"/>
                <w:sz w:val="15"/>
              </w:rPr>
              <w:t xml:space="preserve">0.895</w:t>
            </w:r>
          </w:p>
        </w:tc>
        <w:tc>
          <w:tcPr/>
          <w:p>
            <w:pPr>
              <w:pStyle w:val="Compact"/>
              <w:ind w:firstLine="0"/>
              <w:jc w:val="left"/>
            </w:pPr>
            <w:r>
              <w:rPr>
                <w:rFonts w:ascii="Times New Roman" w:hAnsi="Times New Roman"/>
                <w:sz w:val="15"/>
              </w:rPr>
              <w:t xml:space="preserve">14.12</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5.81 ± 0.28</w:t>
            </w:r>
          </w:p>
        </w:tc>
        <w:tc>
          <w:tcPr/>
          <w:p>
            <w:pPr>
              <w:pStyle w:val="Compact"/>
              <w:ind w:firstLine="0"/>
              <w:jc w:val="left"/>
            </w:pPr>
            <w:r>
              <w:rPr>
                <w:rFonts w:ascii="Times New Roman" w:hAnsi="Times New Roman"/>
                <w:sz w:val="15"/>
              </w:rPr>
              <w:t xml:space="preserve">4.14</w:t>
            </w:r>
          </w:p>
        </w:tc>
        <w:tc>
          <w:tcPr/>
          <w:p>
            <w:pPr>
              <w:pStyle w:val="Compact"/>
              <w:ind w:firstLine="0"/>
              <w:jc w:val="left"/>
            </w:pPr>
            <w:r>
              <w:rPr>
                <w:rFonts w:ascii="Times New Roman" w:hAnsi="Times New Roman"/>
                <w:sz w:val="15"/>
              </w:rPr>
              <w:t xml:space="preserve">0.707</w:t>
            </w:r>
          </w:p>
        </w:tc>
        <w:tc>
          <w:tcPr/>
          <w:p>
            <w:pPr>
              <w:pStyle w:val="Compact"/>
              <w:ind w:firstLine="0"/>
              <w:jc w:val="left"/>
            </w:pPr>
            <w:r>
              <w:rPr>
                <w:rFonts w:ascii="Times New Roman" w:hAnsi="Times New Roman"/>
                <w:sz w:val="15"/>
              </w:rPr>
              <w:t xml:space="preserve">0.892</w:t>
            </w:r>
          </w:p>
        </w:tc>
        <w:tc>
          <w:tcPr/>
          <w:p>
            <w:pPr>
              <w:pStyle w:val="Compact"/>
              <w:ind w:firstLine="0"/>
              <w:jc w:val="left"/>
            </w:pPr>
            <w:r>
              <w:rPr>
                <w:rFonts w:ascii="Times New Roman" w:hAnsi="Times New Roman"/>
                <w:sz w:val="15"/>
              </w:rPr>
              <w:t xml:space="preserve">17.17</w:t>
            </w:r>
          </w:p>
        </w:tc>
      </w:tr>
      <w:tr>
        <w:tc>
          <w:tcPr/>
          <w:p>
            <w:pPr>
              <w:pStyle w:val="Compact"/>
              <w:ind w:firstLine="0"/>
              <w:jc w:val="left"/>
            </w:pPr>
            <w:r>
              <w:rPr>
                <w:rFonts w:ascii="Times New Roman" w:hAnsi="Times New Roman"/>
                <w:sz w:val="15"/>
              </w:rPr>
              <w:t xml:space="preserve">100 % of train cells</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5.78 ± 0.26</w:t>
            </w:r>
          </w:p>
        </w:tc>
        <w:tc>
          <w:tcPr/>
          <w:p>
            <w:pPr>
              <w:pStyle w:val="Compact"/>
              <w:ind w:firstLine="0"/>
              <w:jc w:val="left"/>
            </w:pPr>
            <w:r>
              <w:rPr>
                <w:rFonts w:ascii="Times New Roman" w:hAnsi="Times New Roman"/>
                <w:sz w:val="15"/>
              </w:rPr>
              <w:t xml:space="preserve">4.08</w:t>
            </w:r>
          </w:p>
        </w:tc>
        <w:tc>
          <w:tcPr/>
          <w:p>
            <w:pPr>
              <w:pStyle w:val="Compact"/>
              <w:ind w:firstLine="0"/>
              <w:jc w:val="left"/>
            </w:pPr>
            <w:r>
              <w:rPr>
                <w:rFonts w:ascii="Times New Roman" w:hAnsi="Times New Roman"/>
                <w:sz w:val="15"/>
              </w:rPr>
              <w:t xml:space="preserve">0.710</w:t>
            </w:r>
          </w:p>
        </w:tc>
        <w:tc>
          <w:tcPr/>
          <w:p>
            <w:pPr>
              <w:pStyle w:val="Compact"/>
              <w:ind w:firstLine="0"/>
              <w:jc w:val="left"/>
            </w:pPr>
            <w:r>
              <w:rPr>
                <w:rFonts w:ascii="Times New Roman" w:hAnsi="Times New Roman"/>
                <w:sz w:val="15"/>
              </w:rPr>
              <w:t xml:space="preserve">0.893</w:t>
            </w:r>
          </w:p>
        </w:tc>
        <w:tc>
          <w:tcPr/>
          <w:p>
            <w:pPr>
              <w:pStyle w:val="Compact"/>
              <w:ind w:firstLine="0"/>
              <w:jc w:val="left"/>
            </w:pPr>
            <w:r>
              <w:rPr>
                <w:rFonts w:ascii="Times New Roman" w:hAnsi="Times New Roman"/>
                <w:sz w:val="15"/>
              </w:rPr>
              <w:t xml:space="preserve">17.10</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Ridge (hand)</w:t>
            </w:r>
          </w:p>
        </w:tc>
        <w:tc>
          <w:tcPr/>
          <w:p>
            <w:pPr>
              <w:pStyle w:val="Compact"/>
              <w:ind w:firstLine="0"/>
              <w:jc w:val="left"/>
            </w:pPr>
            <w:r>
              <w:rPr>
                <w:rFonts w:ascii="Times New Roman" w:hAnsi="Times New Roman"/>
                <w:sz w:val="15"/>
              </w:rPr>
              <w:t xml:space="preserve">17.64 ± 14.38</w:t>
            </w:r>
          </w:p>
        </w:tc>
        <w:tc>
          <w:tcPr/>
          <w:p>
            <w:pPr>
              <w:pStyle w:val="Compact"/>
              <w:ind w:firstLine="0"/>
              <w:jc w:val="left"/>
            </w:pPr>
            <w:r>
              <w:rPr>
                <w:rFonts w:ascii="Times New Roman" w:hAnsi="Times New Roman"/>
                <w:sz w:val="15"/>
              </w:rPr>
              <w:t xml:space="preserve">10.30</w:t>
            </w:r>
          </w:p>
        </w:tc>
        <w:tc>
          <w:tcPr/>
          <w:p>
            <w:pPr>
              <w:pStyle w:val="Compact"/>
              <w:ind w:firstLine="0"/>
              <w:jc w:val="left"/>
            </w:pPr>
            <w:r>
              <w:rPr>
                <w:rFonts w:ascii="Times New Roman" w:hAnsi="Times New Roman"/>
                <w:sz w:val="15"/>
              </w:rPr>
              <w:t xml:space="preserve">-2.321</w:t>
            </w:r>
          </w:p>
        </w:tc>
        <w:tc>
          <w:tcPr/>
          <w:p>
            <w:pPr>
              <w:pStyle w:val="Compact"/>
              <w:ind w:firstLine="0"/>
              <w:jc w:val="left"/>
            </w:pPr>
            <w:r>
              <w:rPr>
                <w:rFonts w:ascii="Times New Roman" w:hAnsi="Times New Roman"/>
                <w:sz w:val="15"/>
              </w:rPr>
              <w:t xml:space="preserve">—</w:t>
            </w:r>
          </w:p>
        </w:tc>
        <w:tc>
          <w:tcPr/>
          <w:p>
            <w:pPr>
              <w:pStyle w:val="Compact"/>
              <w:ind w:firstLine="0"/>
              <w:jc w:val="left"/>
            </w:pPr>
            <w:r>
              <w:rPr>
                <w:rFonts w:ascii="Times New Roman" w:hAnsi="Times New Roman"/>
                <w:sz w:val="15"/>
              </w:rPr>
              <w:t xml:space="preserve">—</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6.89 ± 0.88</w:t>
            </w:r>
          </w:p>
        </w:tc>
        <w:tc>
          <w:tcPr/>
          <w:p>
            <w:pPr>
              <w:pStyle w:val="Compact"/>
              <w:ind w:firstLine="0"/>
              <w:jc w:val="left"/>
            </w:pPr>
            <w:r>
              <w:rPr>
                <w:rFonts w:ascii="Times New Roman" w:hAnsi="Times New Roman"/>
                <w:sz w:val="15"/>
              </w:rPr>
              <w:t xml:space="preserve">4.78</w:t>
            </w:r>
          </w:p>
        </w:tc>
        <w:tc>
          <w:tcPr/>
          <w:p>
            <w:pPr>
              <w:pStyle w:val="Compact"/>
              <w:ind w:firstLine="0"/>
              <w:jc w:val="left"/>
            </w:pPr>
            <w:r>
              <w:rPr>
                <w:rFonts w:ascii="Times New Roman" w:hAnsi="Times New Roman"/>
                <w:sz w:val="15"/>
              </w:rPr>
              <w:t xml:space="preserve">0.591</w:t>
            </w:r>
          </w:p>
        </w:tc>
        <w:tc>
          <w:tcPr/>
          <w:p>
            <w:pPr>
              <w:pStyle w:val="Compact"/>
              <w:ind w:firstLine="0"/>
              <w:jc w:val="left"/>
            </w:pPr>
            <w:r>
              <w:rPr>
                <w:rFonts w:ascii="Times New Roman" w:hAnsi="Times New Roman"/>
                <w:sz w:val="15"/>
              </w:rPr>
              <w:t xml:space="preserve">0.885</w:t>
            </w:r>
          </w:p>
        </w:tc>
        <w:tc>
          <w:tcPr/>
          <w:p>
            <w:pPr>
              <w:pStyle w:val="Compact"/>
              <w:ind w:firstLine="0"/>
              <w:jc w:val="left"/>
            </w:pPr>
            <w:r>
              <w:rPr>
                <w:rFonts w:ascii="Times New Roman" w:hAnsi="Times New Roman"/>
                <w:sz w:val="15"/>
              </w:rPr>
              <w:t xml:space="preserve">18.38</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LightGBM (hand+curves)</w:t>
            </w:r>
          </w:p>
        </w:tc>
        <w:tc>
          <w:tcPr/>
          <w:p>
            <w:pPr>
              <w:pStyle w:val="Compact"/>
              <w:ind w:firstLine="0"/>
              <w:jc w:val="left"/>
            </w:pPr>
            <w:r>
              <w:rPr>
                <w:rFonts w:ascii="Times New Roman" w:hAnsi="Times New Roman"/>
                <w:sz w:val="15"/>
              </w:rPr>
              <w:t xml:space="preserve">6.89 ± 0.84</w:t>
            </w:r>
          </w:p>
        </w:tc>
        <w:tc>
          <w:tcPr/>
          <w:p>
            <w:pPr>
              <w:pStyle w:val="Compact"/>
              <w:ind w:firstLine="0"/>
              <w:jc w:val="left"/>
            </w:pPr>
            <w:r>
              <w:rPr>
                <w:rFonts w:ascii="Times New Roman" w:hAnsi="Times New Roman"/>
                <w:sz w:val="15"/>
              </w:rPr>
              <w:t xml:space="preserve">4.78</w:t>
            </w:r>
          </w:p>
        </w:tc>
        <w:tc>
          <w:tcPr/>
          <w:p>
            <w:pPr>
              <w:pStyle w:val="Compact"/>
              <w:ind w:firstLine="0"/>
              <w:jc w:val="left"/>
            </w:pPr>
            <w:r>
              <w:rPr>
                <w:rFonts w:ascii="Times New Roman" w:hAnsi="Times New Roman"/>
                <w:sz w:val="15"/>
              </w:rPr>
              <w:t xml:space="preserve">0.590</w:t>
            </w:r>
          </w:p>
        </w:tc>
        <w:tc>
          <w:tcPr/>
          <w:p>
            <w:pPr>
              <w:pStyle w:val="Compact"/>
              <w:ind w:firstLine="0"/>
              <w:jc w:val="left"/>
            </w:pPr>
            <w:r>
              <w:rPr>
                <w:rFonts w:ascii="Times New Roman" w:hAnsi="Times New Roman"/>
                <w:sz w:val="15"/>
              </w:rPr>
              <w:t xml:space="preserve">0.888</w:t>
            </w:r>
          </w:p>
        </w:tc>
        <w:tc>
          <w:tcPr/>
          <w:p>
            <w:pPr>
              <w:pStyle w:val="Compact"/>
              <w:ind w:firstLine="0"/>
              <w:jc w:val="left"/>
            </w:pPr>
            <w:r>
              <w:rPr>
                <w:rFonts w:ascii="Times New Roman" w:hAnsi="Times New Roman"/>
                <w:sz w:val="15"/>
              </w:rPr>
              <w:t xml:space="preserve">18.78</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7.30 ± 0.51</w:t>
            </w:r>
          </w:p>
        </w:tc>
        <w:tc>
          <w:tcPr/>
          <w:p>
            <w:pPr>
              <w:pStyle w:val="Compact"/>
              <w:ind w:firstLine="0"/>
              <w:jc w:val="left"/>
            </w:pPr>
            <w:r>
              <w:rPr>
                <w:rFonts w:ascii="Times New Roman" w:hAnsi="Times New Roman"/>
                <w:sz w:val="15"/>
              </w:rPr>
              <w:t xml:space="preserve">5.41</w:t>
            </w:r>
          </w:p>
        </w:tc>
        <w:tc>
          <w:tcPr/>
          <w:p>
            <w:pPr>
              <w:pStyle w:val="Compact"/>
              <w:ind w:firstLine="0"/>
              <w:jc w:val="left"/>
            </w:pPr>
            <w:r>
              <w:rPr>
                <w:rFonts w:ascii="Times New Roman" w:hAnsi="Times New Roman"/>
                <w:sz w:val="15"/>
              </w:rPr>
              <w:t xml:space="preserve">0.538</w:t>
            </w:r>
          </w:p>
        </w:tc>
        <w:tc>
          <w:tcPr/>
          <w:p>
            <w:pPr>
              <w:pStyle w:val="Compact"/>
              <w:ind w:firstLine="0"/>
              <w:jc w:val="left"/>
            </w:pPr>
            <w:r>
              <w:rPr>
                <w:rFonts w:ascii="Times New Roman" w:hAnsi="Times New Roman"/>
                <w:sz w:val="15"/>
              </w:rPr>
              <w:t xml:space="preserve">0.885</w:t>
            </w:r>
          </w:p>
        </w:tc>
        <w:tc>
          <w:tcPr/>
          <w:p>
            <w:pPr>
              <w:pStyle w:val="Compact"/>
              <w:ind w:firstLine="0"/>
              <w:jc w:val="left"/>
            </w:pPr>
            <w:r>
              <w:rPr>
                <w:rFonts w:ascii="Times New Roman" w:hAnsi="Times New Roman"/>
                <w:sz w:val="15"/>
              </w:rPr>
              <w:t xml:space="preserve">22.89</w:t>
            </w:r>
          </w:p>
        </w:tc>
      </w:tr>
      <w:tr>
        <w:tc>
          <w:tcPr/>
          <w:p>
            <w:pPr>
              <w:pStyle w:val="Compact"/>
              <w:ind w:firstLine="0"/>
              <w:jc w:val="left"/>
            </w:pPr>
            <w:r>
              <w:rPr>
                <w:rFonts w:ascii="Times New Roman" w:hAnsi="Times New Roman"/>
                <w:sz w:val="15"/>
              </w:rPr>
              <w:t xml:space="preserve">10 % of train cells</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7.26 ± 0.77</w:t>
            </w:r>
          </w:p>
        </w:tc>
        <w:tc>
          <w:tcPr/>
          <w:p>
            <w:pPr>
              <w:pStyle w:val="Compact"/>
              <w:ind w:firstLine="0"/>
              <w:jc w:val="left"/>
            </w:pPr>
            <w:r>
              <w:rPr>
                <w:rFonts w:ascii="Times New Roman" w:hAnsi="Times New Roman"/>
                <w:sz w:val="15"/>
              </w:rPr>
              <w:t xml:space="preserve">5.32</w:t>
            </w:r>
          </w:p>
        </w:tc>
        <w:tc>
          <w:tcPr/>
          <w:p>
            <w:pPr>
              <w:pStyle w:val="Compact"/>
              <w:ind w:firstLine="0"/>
              <w:jc w:val="left"/>
            </w:pPr>
            <w:r>
              <w:rPr>
                <w:rFonts w:ascii="Times New Roman" w:hAnsi="Times New Roman"/>
                <w:sz w:val="15"/>
              </w:rPr>
              <w:t xml:space="preserve">0.543</w:t>
            </w:r>
          </w:p>
        </w:tc>
        <w:tc>
          <w:tcPr/>
          <w:p>
            <w:pPr>
              <w:pStyle w:val="Compact"/>
              <w:ind w:firstLine="0"/>
              <w:jc w:val="left"/>
            </w:pPr>
            <w:r>
              <w:rPr>
                <w:rFonts w:ascii="Times New Roman" w:hAnsi="Times New Roman"/>
                <w:sz w:val="15"/>
              </w:rPr>
              <w:t xml:space="preserve">0.883</w:t>
            </w:r>
          </w:p>
        </w:tc>
        <w:tc>
          <w:tcPr/>
          <w:p>
            <w:pPr>
              <w:pStyle w:val="Compact"/>
              <w:ind w:firstLine="0"/>
              <w:jc w:val="left"/>
            </w:pPr>
            <w:r>
              <w:rPr>
                <w:rFonts w:ascii="Times New Roman" w:hAnsi="Times New Roman"/>
                <w:sz w:val="15"/>
              </w:rPr>
              <w:t xml:space="preserve">22.89</w:t>
            </w:r>
          </w:p>
        </w:tc>
      </w:tr>
    </w:tbl>
    <w:p>
      <w:pPr>
        <w:sectPr>
          <w:type w:val="continuous"/>
          <w:pgSz w:w="12240" w:h="15840"/>
          <w:pgMar w:top="1080" w:bottom="1440" w:left="900" w:right="900" w:header="720" w:footer="720" w:gutter="0"/>
          <w:cols w:num="1" w:space="360"/>
        </w:sectPr>
      </w:pPr>
    </w:p>
    <w:bookmarkStart w:id="48" w:name="fig10_model_comparison"/>
    <w:p>
      <w:pPr>
        <w:pStyle w:val="CaptionedFigure"/>
      </w:pPr>
      <w:r>
        <w:drawing>
          <wp:inline>
            <wp:extent cx="3154680" cy="2399376"/>
            <wp:effectExtent b="0" l="0" r="0" t="0"/>
            <wp:docPr descr="Fig. 7. Test RMSE by model and label budget (mean ± standard deviation over three seeds)." title="" id="46" name="Picture"/>
            <a:graphic>
              <a:graphicData uri="http://schemas.openxmlformats.org/drawingml/2006/picture">
                <pic:pic>
                  <pic:nvPicPr>
                    <pic:cNvPr descr="../figures/fig10_model_comparison.png" id="47" name="Picture"/>
                    <pic:cNvPicPr>
                      <a:picLocks noChangeArrowheads="1" noChangeAspect="1"/>
                    </pic:cNvPicPr>
                  </pic:nvPicPr>
                  <pic:blipFill>
                    <a:blip r:embed="rId45"/>
                    <a:stretch>
                      <a:fillRect/>
                    </a:stretch>
                  </pic:blipFill>
                  <pic:spPr bwMode="auto">
                    <a:xfrm>
                      <a:off x="0" y="0"/>
                      <a:ext cx="3154680" cy="2399376"/>
                    </a:xfrm>
                    <a:prstGeom prst="rect">
                      <a:avLst/>
                    </a:prstGeom>
                    <a:noFill/>
                    <a:ln w="9525">
                      <a:noFill/>
                      <a:headEnd/>
                      <a:tailEnd/>
                    </a:ln>
                  </pic:spPr>
                </pic:pic>
              </a:graphicData>
            </a:graphic>
          </wp:inline>
        </w:drawing>
      </w:r>
    </w:p>
    <w:p>
      <w:pPr>
        <w:pStyle w:val="ImageCaption"/>
      </w:pPr>
      <w:r>
        <w:t xml:space="preserve">Fig. 7. Test RMSE by model and label budget (mean ± standard deviation over three seeds).</w:t>
      </w:r>
    </w:p>
    <w:bookmarkEnd w:id="48"/>
    <w:bookmarkStart w:id="52" w:name="fig6_training_curves"/>
    <w:p>
      <w:pPr>
        <w:pStyle w:val="CaptionedFigure"/>
      </w:pPr>
      <w:r>
        <w:drawing>
          <wp:inline>
            <wp:extent cx="3154680" cy="3800783"/>
            <wp:effectExtent b="0" l="0" r="0" t="0"/>
            <wp:docPr descr="Fig. 8. Training behaviour (seed 0, all labels): masked-reconstruction loss during pre-training (top) and validation RMSE during fine-tuning (bottom)." title="" id="50" name="Picture"/>
            <a:graphic>
              <a:graphicData uri="http://schemas.openxmlformats.org/drawingml/2006/picture">
                <pic:pic>
                  <pic:nvPicPr>
                    <pic:cNvPr descr="../figures/fig6_training_curves.png" id="51" name="Picture"/>
                    <pic:cNvPicPr>
                      <a:picLocks noChangeArrowheads="1" noChangeAspect="1"/>
                    </pic:cNvPicPr>
                  </pic:nvPicPr>
                  <pic:blipFill>
                    <a:blip r:embed="rId49"/>
                    <a:stretch>
                      <a:fillRect/>
                    </a:stretch>
                  </pic:blipFill>
                  <pic:spPr bwMode="auto">
                    <a:xfrm>
                      <a:off x="0" y="0"/>
                      <a:ext cx="3154680" cy="3800783"/>
                    </a:xfrm>
                    <a:prstGeom prst="rect">
                      <a:avLst/>
                    </a:prstGeom>
                    <a:noFill/>
                    <a:ln w="9525">
                      <a:noFill/>
                      <a:headEnd/>
                      <a:tailEnd/>
                    </a:ln>
                  </pic:spPr>
                </pic:pic>
              </a:graphicData>
            </a:graphic>
          </wp:inline>
        </w:drawing>
      </w:r>
    </w:p>
    <w:p>
      <w:pPr>
        <w:pStyle w:val="ImageCaption"/>
      </w:pPr>
      <w:r>
        <w:t xml:space="preserve">Fig. 8. Training behaviour (seed 0, all labels): masked-reconstruction loss during pre-training (top) and validation RMSE during fine-tuning (bottom).</w:t>
      </w:r>
    </w:p>
    <w:bookmarkEnd w:id="52"/>
    <w:bookmarkStart w:id="56" w:name="fig7_pred_vs_measured"/>
    <w:p>
      <w:pPr>
        <w:pStyle w:val="CaptionedFigure"/>
      </w:pPr>
      <w:r>
        <w:drawing>
          <wp:inline>
            <wp:extent cx="3154680" cy="3091901"/>
            <wp:effectExtent b="0" l="0" r="0" t="0"/>
            <wp:docPr descr="Fig. 9. Predicted against measured SOH for the best model on the seed-0 test cells; the dashed line is the identity." title="" id="54" name="Picture"/>
            <a:graphic>
              <a:graphicData uri="http://schemas.openxmlformats.org/drawingml/2006/picture">
                <pic:pic>
                  <pic:nvPicPr>
                    <pic:cNvPr descr="../figures/fig7_pred_vs_measured.png" id="55" name="Picture"/>
                    <pic:cNvPicPr>
                      <a:picLocks noChangeArrowheads="1" noChangeAspect="1"/>
                    </pic:cNvPicPr>
                  </pic:nvPicPr>
                  <pic:blipFill>
                    <a:blip r:embed="rId53"/>
                    <a:stretch>
                      <a:fillRect/>
                    </a:stretch>
                  </pic:blipFill>
                  <pic:spPr bwMode="auto">
                    <a:xfrm>
                      <a:off x="0" y="0"/>
                      <a:ext cx="3154680" cy="3091901"/>
                    </a:xfrm>
                    <a:prstGeom prst="rect">
                      <a:avLst/>
                    </a:prstGeom>
                    <a:noFill/>
                    <a:ln w="9525">
                      <a:noFill/>
                      <a:headEnd/>
                      <a:tailEnd/>
                    </a:ln>
                  </pic:spPr>
                </pic:pic>
              </a:graphicData>
            </a:graphic>
          </wp:inline>
        </w:drawing>
      </w:r>
    </w:p>
    <w:p>
      <w:pPr>
        <w:pStyle w:val="ImageCaption"/>
      </w:pPr>
      <w:r>
        <w:t xml:space="preserve">Fig. 9. Predicted against measured SOH for the best model on the seed-0 test cells; the dashed line is the identity.</w:t>
      </w:r>
    </w:p>
    <w:bookmarkEnd w:id="56"/>
    <w:p>
      <w:pPr>
        <w:pStyle w:val="BodyText"/>
      </w:pPr>
      <w:r>
        <w:t xml:space="preserve">Errors varied strongly by source (Table VI). For the best model they were lowest on MATR (3.10 %) and Oxford (3.72 %), and highest on NASA (7.59 %) and SNL (6.56 %). These two sources combine the smallest cell counts per condition with the widest range of temperatures, chemistries or protocols.</w:t>
      </w:r>
    </w:p>
    <w:p>
      <w:pPr>
        <w:pStyle w:val="TableCaption"/>
        <w:keepNext/>
        <w:ind w:firstLine="0"/>
        <w:jc w:val="center"/>
      </w:pPr>
      <w:r>
        <w:rPr>
          <w:rFonts w:ascii="Times New Roman" w:hAnsi="Times New Roman"/>
          <w:smallCaps w:val="0"/>
          <w:sz w:val="16"/>
        </w:rPr>
        <w:t xml:space="preserve">TABLE VI</w:t>
      </w:r>
    </w:p>
    <w:p>
      <w:pPr>
        <w:pStyle w:val="TableCaption"/>
      </w:pPr>
      <w:r>
        <w:t xml:space="preserve">TEST RMSE (% SOH) BY SOURCE (MEAN OVER THREE SEEDS)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990"/>
        <w:gridCol w:w="990"/>
        <w:gridCol w:w="990"/>
        <w:gridCol w:w="990"/>
        <w:gridCol w:w="990"/>
        <w:gridCol w:w="990"/>
        <w:gridCol w:w="990"/>
        <w:gridCol w:w="990"/>
      </w:tblGrid>
      <w:tr>
        <w:trPr>
          <w:tblHeader w:val="on"/>
        </w:trPr>
        <w:tc>
          <w:tcPr/>
          <w:p>
            <w:pPr>
              <w:pStyle w:val="Compact"/>
              <w:ind w:firstLine="0"/>
              <w:jc w:val="left"/>
            </w:pPr>
            <w:r>
              <w:rPr>
                <w:rFonts w:ascii="Times New Roman" w:hAnsi="Times New Roman"/>
                <w:b/>
                <w:sz w:val="15"/>
              </w:rPr>
              <w:t xml:space="preserve">Labels</w:t>
            </w:r>
          </w:p>
        </w:tc>
        <w:tc>
          <w:tcPr/>
          <w:p>
            <w:pPr>
              <w:pStyle w:val="Compact"/>
              <w:ind w:firstLine="0"/>
              <w:jc w:val="left"/>
            </w:pPr>
            <w:r>
              <w:rPr>
                <w:rFonts w:ascii="Times New Roman" w:hAnsi="Times New Roman"/>
                <w:b/>
                <w:sz w:val="15"/>
              </w:rPr>
              <w:t xml:space="preserve">Model</w:t>
            </w:r>
          </w:p>
        </w:tc>
        <w:tc>
          <w:tcPr/>
          <w:p>
            <w:pPr>
              <w:pStyle w:val="Compact"/>
              <w:ind w:firstLine="0"/>
              <w:jc w:val="left"/>
            </w:pPr>
            <w:r>
              <w:rPr>
                <w:rFonts w:ascii="Times New Roman" w:hAnsi="Times New Roman"/>
                <w:b/>
                <w:sz w:val="15"/>
              </w:rPr>
              <w:t xml:space="preserve">CALCE</w:t>
            </w:r>
          </w:p>
        </w:tc>
        <w:tc>
          <w:tcPr/>
          <w:p>
            <w:pPr>
              <w:pStyle w:val="Compact"/>
              <w:ind w:firstLine="0"/>
              <w:jc w:val="left"/>
            </w:pPr>
            <w:r>
              <w:rPr>
                <w:rFonts w:ascii="Times New Roman" w:hAnsi="Times New Roman"/>
                <w:b/>
                <w:sz w:val="15"/>
              </w:rPr>
              <w:t xml:space="preserve">HUST</w:t>
            </w:r>
          </w:p>
        </w:tc>
        <w:tc>
          <w:tcPr/>
          <w:p>
            <w:pPr>
              <w:pStyle w:val="Compact"/>
              <w:ind w:firstLine="0"/>
              <w:jc w:val="left"/>
            </w:pPr>
            <w:r>
              <w:rPr>
                <w:rFonts w:ascii="Times New Roman" w:hAnsi="Times New Roman"/>
                <w:b/>
                <w:sz w:val="15"/>
              </w:rPr>
              <w:t xml:space="preserve">MATR</w:t>
            </w:r>
          </w:p>
        </w:tc>
        <w:tc>
          <w:tcPr/>
          <w:p>
            <w:pPr>
              <w:pStyle w:val="Compact"/>
              <w:ind w:firstLine="0"/>
              <w:jc w:val="left"/>
            </w:pPr>
            <w:r>
              <w:rPr>
                <w:rFonts w:ascii="Times New Roman" w:hAnsi="Times New Roman"/>
                <w:b/>
                <w:sz w:val="15"/>
              </w:rPr>
              <w:t xml:space="preserve">NASA</w:t>
            </w:r>
          </w:p>
        </w:tc>
        <w:tc>
          <w:tcPr/>
          <w:p>
            <w:pPr>
              <w:pStyle w:val="Compact"/>
              <w:ind w:firstLine="0"/>
              <w:jc w:val="left"/>
            </w:pPr>
            <w:r>
              <w:rPr>
                <w:rFonts w:ascii="Times New Roman" w:hAnsi="Times New Roman"/>
                <w:b/>
                <w:sz w:val="15"/>
              </w:rPr>
              <w:t xml:space="preserve">Oxford</w:t>
            </w:r>
          </w:p>
        </w:tc>
        <w:tc>
          <w:tcPr/>
          <w:p>
            <w:pPr>
              <w:pStyle w:val="Compact"/>
              <w:ind w:firstLine="0"/>
              <w:jc w:val="left"/>
            </w:pPr>
            <w:r>
              <w:rPr>
                <w:rFonts w:ascii="Times New Roman" w:hAnsi="Times New Roman"/>
                <w:b/>
                <w:sz w:val="15"/>
              </w:rPr>
              <w:t xml:space="preserve">SNL</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CNN (SSL)</w:t>
            </w:r>
          </w:p>
        </w:tc>
        <w:tc>
          <w:tcPr/>
          <w:p>
            <w:pPr>
              <w:pStyle w:val="Compact"/>
              <w:ind w:firstLine="0"/>
              <w:jc w:val="left"/>
            </w:pPr>
            <w:r>
              <w:rPr>
                <w:rFonts w:ascii="Times New Roman" w:hAnsi="Times New Roman"/>
                <w:sz w:val="15"/>
              </w:rPr>
              <w:t xml:space="preserve">7.57</w:t>
            </w:r>
          </w:p>
        </w:tc>
        <w:tc>
          <w:tcPr/>
          <w:p>
            <w:pPr>
              <w:pStyle w:val="Compact"/>
              <w:ind w:firstLine="0"/>
              <w:jc w:val="left"/>
            </w:pPr>
            <w:r>
              <w:rPr>
                <w:rFonts w:ascii="Times New Roman" w:hAnsi="Times New Roman"/>
                <w:sz w:val="15"/>
              </w:rPr>
              <w:t xml:space="preserve">5.72</w:t>
            </w:r>
          </w:p>
        </w:tc>
        <w:tc>
          <w:tcPr/>
          <w:p>
            <w:pPr>
              <w:pStyle w:val="Compact"/>
              <w:ind w:firstLine="0"/>
              <w:jc w:val="left"/>
            </w:pPr>
            <w:r>
              <w:rPr>
                <w:rFonts w:ascii="Times New Roman" w:hAnsi="Times New Roman"/>
                <w:sz w:val="15"/>
              </w:rPr>
              <w:t xml:space="preserve">3.8</w:t>
            </w:r>
          </w:p>
        </w:tc>
        <w:tc>
          <w:tcPr/>
          <w:p>
            <w:pPr>
              <w:pStyle w:val="Compact"/>
              <w:ind w:firstLine="0"/>
              <w:jc w:val="left"/>
            </w:pPr>
            <w:r>
              <w:rPr>
                <w:rFonts w:ascii="Times New Roman" w:hAnsi="Times New Roman"/>
                <w:sz w:val="15"/>
              </w:rPr>
              <w:t xml:space="preserve">8.5</w:t>
            </w:r>
          </w:p>
        </w:tc>
        <w:tc>
          <w:tcPr/>
          <w:p>
            <w:pPr>
              <w:pStyle w:val="Compact"/>
              <w:ind w:firstLine="0"/>
              <w:jc w:val="left"/>
            </w:pPr>
            <w:r>
              <w:rPr>
                <w:rFonts w:ascii="Times New Roman" w:hAnsi="Times New Roman"/>
                <w:sz w:val="15"/>
              </w:rPr>
              <w:t xml:space="preserve">5.27</w:t>
            </w:r>
          </w:p>
        </w:tc>
        <w:tc>
          <w:tcPr/>
          <w:p>
            <w:pPr>
              <w:pStyle w:val="Compact"/>
              <w:ind w:firstLine="0"/>
              <w:jc w:val="left"/>
            </w:pPr>
            <w:r>
              <w:rPr>
                <w:rFonts w:ascii="Times New Roman" w:hAnsi="Times New Roman"/>
                <w:sz w:val="15"/>
              </w:rPr>
              <w:t xml:space="preserve">8.22</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CNN (sup.)</w:t>
            </w:r>
          </w:p>
        </w:tc>
        <w:tc>
          <w:tcPr/>
          <w:p>
            <w:pPr>
              <w:pStyle w:val="Compact"/>
              <w:ind w:firstLine="0"/>
              <w:jc w:val="left"/>
            </w:pPr>
            <w:r>
              <w:rPr>
                <w:rFonts w:ascii="Times New Roman" w:hAnsi="Times New Roman"/>
                <w:sz w:val="15"/>
              </w:rPr>
              <w:t xml:space="preserve">7.68</w:t>
            </w:r>
          </w:p>
        </w:tc>
        <w:tc>
          <w:tcPr/>
          <w:p>
            <w:pPr>
              <w:pStyle w:val="Compact"/>
              <w:ind w:firstLine="0"/>
              <w:jc w:val="left"/>
            </w:pPr>
            <w:r>
              <w:rPr>
                <w:rFonts w:ascii="Times New Roman" w:hAnsi="Times New Roman"/>
                <w:sz w:val="15"/>
              </w:rPr>
              <w:t xml:space="preserve">5.79</w:t>
            </w:r>
          </w:p>
        </w:tc>
        <w:tc>
          <w:tcPr/>
          <w:p>
            <w:pPr>
              <w:pStyle w:val="Compact"/>
              <w:ind w:firstLine="0"/>
              <w:jc w:val="left"/>
            </w:pPr>
            <w:r>
              <w:rPr>
                <w:rFonts w:ascii="Times New Roman" w:hAnsi="Times New Roman"/>
                <w:sz w:val="15"/>
              </w:rPr>
              <w:t xml:space="preserve">3.83</w:t>
            </w:r>
          </w:p>
        </w:tc>
        <w:tc>
          <w:tcPr/>
          <w:p>
            <w:pPr>
              <w:pStyle w:val="Compact"/>
              <w:ind w:firstLine="0"/>
              <w:jc w:val="left"/>
            </w:pPr>
            <w:r>
              <w:rPr>
                <w:rFonts w:ascii="Times New Roman" w:hAnsi="Times New Roman"/>
                <w:sz w:val="15"/>
              </w:rPr>
              <w:t xml:space="preserve">8.58</w:t>
            </w:r>
          </w:p>
        </w:tc>
        <w:tc>
          <w:tcPr/>
          <w:p>
            <w:pPr>
              <w:pStyle w:val="Compact"/>
              <w:ind w:firstLine="0"/>
              <w:jc w:val="left"/>
            </w:pPr>
            <w:r>
              <w:rPr>
                <w:rFonts w:ascii="Times New Roman" w:hAnsi="Times New Roman"/>
                <w:sz w:val="15"/>
              </w:rPr>
              <w:t xml:space="preserve">5.13</w:t>
            </w:r>
          </w:p>
        </w:tc>
        <w:tc>
          <w:tcPr/>
          <w:p>
            <w:pPr>
              <w:pStyle w:val="Compact"/>
              <w:ind w:firstLine="0"/>
              <w:jc w:val="left"/>
            </w:pPr>
            <w:r>
              <w:rPr>
                <w:rFonts w:ascii="Times New Roman" w:hAnsi="Times New Roman"/>
                <w:sz w:val="15"/>
              </w:rPr>
              <w:t xml:space="preserve">8.23</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5.73</w:t>
            </w:r>
          </w:p>
        </w:tc>
        <w:tc>
          <w:tcPr/>
          <w:p>
            <w:pPr>
              <w:pStyle w:val="Compact"/>
              <w:ind w:firstLine="0"/>
              <w:jc w:val="left"/>
            </w:pPr>
            <w:r>
              <w:rPr>
                <w:rFonts w:ascii="Times New Roman" w:hAnsi="Times New Roman"/>
                <w:sz w:val="15"/>
              </w:rPr>
              <w:t xml:space="preserve">5.54</w:t>
            </w:r>
          </w:p>
        </w:tc>
        <w:tc>
          <w:tcPr/>
          <w:p>
            <w:pPr>
              <w:pStyle w:val="Compact"/>
              <w:ind w:firstLine="0"/>
              <w:jc w:val="left"/>
            </w:pPr>
            <w:r>
              <w:rPr>
                <w:rFonts w:ascii="Times New Roman" w:hAnsi="Times New Roman"/>
                <w:sz w:val="15"/>
              </w:rPr>
              <w:t xml:space="preserve">3.19</w:t>
            </w:r>
          </w:p>
        </w:tc>
        <w:tc>
          <w:tcPr/>
          <w:p>
            <w:pPr>
              <w:pStyle w:val="Compact"/>
              <w:ind w:firstLine="0"/>
              <w:jc w:val="left"/>
            </w:pPr>
            <w:r>
              <w:rPr>
                <w:rFonts w:ascii="Times New Roman" w:hAnsi="Times New Roman"/>
                <w:sz w:val="15"/>
              </w:rPr>
              <w:t xml:space="preserve">7.65</w:t>
            </w:r>
          </w:p>
        </w:tc>
        <w:tc>
          <w:tcPr/>
          <w:p>
            <w:pPr>
              <w:pStyle w:val="Compact"/>
              <w:ind w:firstLine="0"/>
              <w:jc w:val="left"/>
            </w:pPr>
            <w:r>
              <w:rPr>
                <w:rFonts w:ascii="Times New Roman" w:hAnsi="Times New Roman"/>
                <w:sz w:val="15"/>
              </w:rPr>
              <w:t xml:space="preserve">3.87</w:t>
            </w:r>
          </w:p>
        </w:tc>
        <w:tc>
          <w:tcPr/>
          <w:p>
            <w:pPr>
              <w:pStyle w:val="Compact"/>
              <w:ind w:firstLine="0"/>
              <w:jc w:val="left"/>
            </w:pPr>
            <w:r>
              <w:rPr>
                <w:rFonts w:ascii="Times New Roman" w:hAnsi="Times New Roman"/>
                <w:sz w:val="15"/>
              </w:rPr>
              <w:t xml:space="preserve">6.55</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LightGBM (hand+curves)</w:t>
            </w:r>
          </w:p>
        </w:tc>
        <w:tc>
          <w:tcPr/>
          <w:p>
            <w:pPr>
              <w:pStyle w:val="Compact"/>
              <w:ind w:firstLine="0"/>
              <w:jc w:val="left"/>
            </w:pPr>
            <w:r>
              <w:rPr>
                <w:rFonts w:ascii="Times New Roman" w:hAnsi="Times New Roman"/>
                <w:sz w:val="15"/>
              </w:rPr>
              <w:t xml:space="preserve">5.68</w:t>
            </w:r>
          </w:p>
        </w:tc>
        <w:tc>
          <w:tcPr/>
          <w:p>
            <w:pPr>
              <w:pStyle w:val="Compact"/>
              <w:ind w:firstLine="0"/>
              <w:jc w:val="left"/>
            </w:pPr>
            <w:r>
              <w:rPr>
                <w:rFonts w:ascii="Times New Roman" w:hAnsi="Times New Roman"/>
                <w:sz w:val="15"/>
              </w:rPr>
              <w:t xml:space="preserve">5.48</w:t>
            </w:r>
          </w:p>
        </w:tc>
        <w:tc>
          <w:tcPr/>
          <w:p>
            <w:pPr>
              <w:pStyle w:val="Compact"/>
              <w:ind w:firstLine="0"/>
              <w:jc w:val="left"/>
            </w:pPr>
            <w:r>
              <w:rPr>
                <w:rFonts w:ascii="Times New Roman" w:hAnsi="Times New Roman"/>
                <w:sz w:val="15"/>
              </w:rPr>
              <w:t xml:space="preserve">3.1</w:t>
            </w:r>
          </w:p>
        </w:tc>
        <w:tc>
          <w:tcPr/>
          <w:p>
            <w:pPr>
              <w:pStyle w:val="Compact"/>
              <w:ind w:firstLine="0"/>
              <w:jc w:val="left"/>
            </w:pPr>
            <w:r>
              <w:rPr>
                <w:rFonts w:ascii="Times New Roman" w:hAnsi="Times New Roman"/>
                <w:sz w:val="15"/>
              </w:rPr>
              <w:t xml:space="preserve">7.59</w:t>
            </w:r>
          </w:p>
        </w:tc>
        <w:tc>
          <w:tcPr/>
          <w:p>
            <w:pPr>
              <w:pStyle w:val="Compact"/>
              <w:ind w:firstLine="0"/>
              <w:jc w:val="left"/>
            </w:pPr>
            <w:r>
              <w:rPr>
                <w:rFonts w:ascii="Times New Roman" w:hAnsi="Times New Roman"/>
                <w:sz w:val="15"/>
              </w:rPr>
              <w:t xml:space="preserve">3.72</w:t>
            </w:r>
          </w:p>
        </w:tc>
        <w:tc>
          <w:tcPr/>
          <w:p>
            <w:pPr>
              <w:pStyle w:val="Compact"/>
              <w:ind w:firstLine="0"/>
              <w:jc w:val="left"/>
            </w:pPr>
            <w:r>
              <w:rPr>
                <w:rFonts w:ascii="Times New Roman" w:hAnsi="Times New Roman"/>
                <w:sz w:val="15"/>
              </w:rPr>
              <w:t xml:space="preserve">6.56</w:t>
            </w:r>
          </w:p>
        </w:tc>
      </w:tr>
      <w:tr>
        <w:tc>
          <w:tcPr/>
          <w:p>
            <w:pPr>
              <w:pStyle w:val="Compact"/>
              <w:ind w:firstLine="0"/>
              <w:jc w:val="left"/>
            </w:pPr>
            <w:r>
              <w:rPr>
                <w:rFonts w:ascii="Times New Roman" w:hAnsi="Times New Roman"/>
                <w:sz w:val="15"/>
              </w:rPr>
              <w:t xml:space="preserve">100 %</w:t>
            </w:r>
          </w:p>
        </w:tc>
        <w:tc>
          <w:tcPr/>
          <w:p>
            <w:pPr>
              <w:pStyle w:val="Compact"/>
              <w:ind w:firstLine="0"/>
              <w:jc w:val="left"/>
            </w:pPr>
            <w:r>
              <w:rPr>
                <w:rFonts w:ascii="Times New Roman" w:hAnsi="Times New Roman"/>
                <w:sz w:val="15"/>
              </w:rPr>
              <w:t xml:space="preserve">Ridge</w:t>
            </w:r>
          </w:p>
        </w:tc>
        <w:tc>
          <w:tcPr/>
          <w:p>
            <w:pPr>
              <w:pStyle w:val="Compact"/>
              <w:ind w:firstLine="0"/>
              <w:jc w:val="left"/>
            </w:pPr>
            <w:r>
              <w:rPr>
                <w:rFonts w:ascii="Times New Roman" w:hAnsi="Times New Roman"/>
                <w:sz w:val="15"/>
              </w:rPr>
              <w:t xml:space="preserve">10.42</w:t>
            </w:r>
          </w:p>
        </w:tc>
        <w:tc>
          <w:tcPr/>
          <w:p>
            <w:pPr>
              <w:pStyle w:val="Compact"/>
              <w:ind w:firstLine="0"/>
              <w:jc w:val="left"/>
            </w:pPr>
            <w:r>
              <w:rPr>
                <w:rFonts w:ascii="Times New Roman" w:hAnsi="Times New Roman"/>
                <w:sz w:val="15"/>
              </w:rPr>
              <w:t xml:space="preserve">8.41</w:t>
            </w:r>
          </w:p>
        </w:tc>
        <w:tc>
          <w:tcPr/>
          <w:p>
            <w:pPr>
              <w:pStyle w:val="Compact"/>
              <w:ind w:firstLine="0"/>
              <w:jc w:val="left"/>
            </w:pPr>
            <w:r>
              <w:rPr>
                <w:rFonts w:ascii="Times New Roman" w:hAnsi="Times New Roman"/>
                <w:sz w:val="15"/>
              </w:rPr>
              <w:t xml:space="preserve">5.38</w:t>
            </w:r>
          </w:p>
        </w:tc>
        <w:tc>
          <w:tcPr/>
          <w:p>
            <w:pPr>
              <w:pStyle w:val="Compact"/>
              <w:ind w:firstLine="0"/>
              <w:jc w:val="left"/>
            </w:pPr>
            <w:r>
              <w:rPr>
                <w:rFonts w:ascii="Times New Roman" w:hAnsi="Times New Roman"/>
                <w:sz w:val="15"/>
              </w:rPr>
              <w:t xml:space="preserve">8.45</w:t>
            </w:r>
          </w:p>
        </w:tc>
        <w:tc>
          <w:tcPr/>
          <w:p>
            <w:pPr>
              <w:pStyle w:val="Compact"/>
              <w:ind w:firstLine="0"/>
              <w:jc w:val="left"/>
            </w:pPr>
            <w:r>
              <w:rPr>
                <w:rFonts w:ascii="Times New Roman" w:hAnsi="Times New Roman"/>
                <w:sz w:val="15"/>
              </w:rPr>
              <w:t xml:space="preserve">6.24</w:t>
            </w:r>
          </w:p>
        </w:tc>
        <w:tc>
          <w:tcPr/>
          <w:p>
            <w:pPr>
              <w:pStyle w:val="Compact"/>
              <w:ind w:firstLine="0"/>
              <w:jc w:val="left"/>
            </w:pPr>
            <w:r>
              <w:rPr>
                <w:rFonts w:ascii="Times New Roman" w:hAnsi="Times New Roman"/>
                <w:sz w:val="15"/>
              </w:rPr>
              <w:t xml:space="preserve">9.51</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CNN (SSL)</w:t>
            </w:r>
          </w:p>
        </w:tc>
        <w:tc>
          <w:tcPr/>
          <w:p>
            <w:pPr>
              <w:pStyle w:val="Compact"/>
              <w:ind w:firstLine="0"/>
              <w:jc w:val="left"/>
            </w:pPr>
            <w:r>
              <w:rPr>
                <w:rFonts w:ascii="Times New Roman" w:hAnsi="Times New Roman"/>
                <w:sz w:val="15"/>
              </w:rPr>
              <w:t xml:space="preserve">9.59</w:t>
            </w:r>
          </w:p>
        </w:tc>
        <w:tc>
          <w:tcPr/>
          <w:p>
            <w:pPr>
              <w:pStyle w:val="Compact"/>
              <w:ind w:firstLine="0"/>
              <w:jc w:val="left"/>
            </w:pPr>
            <w:r>
              <w:rPr>
                <w:rFonts w:ascii="Times New Roman" w:hAnsi="Times New Roman"/>
                <w:sz w:val="15"/>
              </w:rPr>
              <w:t xml:space="preserve">6.8</w:t>
            </w:r>
          </w:p>
        </w:tc>
        <w:tc>
          <w:tcPr/>
          <w:p>
            <w:pPr>
              <w:pStyle w:val="Compact"/>
              <w:ind w:firstLine="0"/>
              <w:jc w:val="left"/>
            </w:pPr>
            <w:r>
              <w:rPr>
                <w:rFonts w:ascii="Times New Roman" w:hAnsi="Times New Roman"/>
                <w:sz w:val="15"/>
              </w:rPr>
              <w:t xml:space="preserve">4.61</w:t>
            </w:r>
          </w:p>
        </w:tc>
        <w:tc>
          <w:tcPr/>
          <w:p>
            <w:pPr>
              <w:pStyle w:val="Compact"/>
              <w:ind w:firstLine="0"/>
              <w:jc w:val="left"/>
            </w:pPr>
            <w:r>
              <w:rPr>
                <w:rFonts w:ascii="Times New Roman" w:hAnsi="Times New Roman"/>
                <w:sz w:val="15"/>
              </w:rPr>
              <w:t xml:space="preserve">11.24</w:t>
            </w:r>
          </w:p>
        </w:tc>
        <w:tc>
          <w:tcPr/>
          <w:p>
            <w:pPr>
              <w:pStyle w:val="Compact"/>
              <w:ind w:firstLine="0"/>
              <w:jc w:val="left"/>
            </w:pPr>
            <w:r>
              <w:rPr>
                <w:rFonts w:ascii="Times New Roman" w:hAnsi="Times New Roman"/>
                <w:sz w:val="15"/>
              </w:rPr>
              <w:t xml:space="preserve">6.96</w:t>
            </w:r>
          </w:p>
        </w:tc>
        <w:tc>
          <w:tcPr/>
          <w:p>
            <w:pPr>
              <w:pStyle w:val="Compact"/>
              <w:ind w:firstLine="0"/>
              <w:jc w:val="left"/>
            </w:pPr>
            <w:r>
              <w:rPr>
                <w:rFonts w:ascii="Times New Roman" w:hAnsi="Times New Roman"/>
                <w:sz w:val="15"/>
              </w:rPr>
              <w:t xml:space="preserve">10.24</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CNN (sup.)</w:t>
            </w:r>
          </w:p>
        </w:tc>
        <w:tc>
          <w:tcPr/>
          <w:p>
            <w:pPr>
              <w:pStyle w:val="Compact"/>
              <w:ind w:firstLine="0"/>
              <w:jc w:val="left"/>
            </w:pPr>
            <w:r>
              <w:rPr>
                <w:rFonts w:ascii="Times New Roman" w:hAnsi="Times New Roman"/>
                <w:sz w:val="15"/>
              </w:rPr>
              <w:t xml:space="preserve">10.49</w:t>
            </w:r>
          </w:p>
        </w:tc>
        <w:tc>
          <w:tcPr/>
          <w:p>
            <w:pPr>
              <w:pStyle w:val="Compact"/>
              <w:ind w:firstLine="0"/>
              <w:jc w:val="left"/>
            </w:pPr>
            <w:r>
              <w:rPr>
                <w:rFonts w:ascii="Times New Roman" w:hAnsi="Times New Roman"/>
                <w:sz w:val="15"/>
              </w:rPr>
              <w:t xml:space="preserve">7.05</w:t>
            </w:r>
          </w:p>
        </w:tc>
        <w:tc>
          <w:tcPr/>
          <w:p>
            <w:pPr>
              <w:pStyle w:val="Compact"/>
              <w:ind w:firstLine="0"/>
              <w:jc w:val="left"/>
            </w:pPr>
            <w:r>
              <w:rPr>
                <w:rFonts w:ascii="Times New Roman" w:hAnsi="Times New Roman"/>
                <w:sz w:val="15"/>
              </w:rPr>
              <w:t xml:space="preserve">4.68</w:t>
            </w:r>
          </w:p>
        </w:tc>
        <w:tc>
          <w:tcPr/>
          <w:p>
            <w:pPr>
              <w:pStyle w:val="Compact"/>
              <w:ind w:firstLine="0"/>
              <w:jc w:val="left"/>
            </w:pPr>
            <w:r>
              <w:rPr>
                <w:rFonts w:ascii="Times New Roman" w:hAnsi="Times New Roman"/>
                <w:sz w:val="15"/>
              </w:rPr>
              <w:t xml:space="preserve">11.56</w:t>
            </w:r>
          </w:p>
        </w:tc>
        <w:tc>
          <w:tcPr/>
          <w:p>
            <w:pPr>
              <w:pStyle w:val="Compact"/>
              <w:ind w:firstLine="0"/>
              <w:jc w:val="left"/>
            </w:pPr>
            <w:r>
              <w:rPr>
                <w:rFonts w:ascii="Times New Roman" w:hAnsi="Times New Roman"/>
                <w:sz w:val="15"/>
              </w:rPr>
              <w:t xml:space="preserve">7.21</w:t>
            </w:r>
          </w:p>
        </w:tc>
        <w:tc>
          <w:tcPr/>
          <w:p>
            <w:pPr>
              <w:pStyle w:val="Compact"/>
              <w:ind w:firstLine="0"/>
              <w:jc w:val="left"/>
            </w:pPr>
            <w:r>
              <w:rPr>
                <w:rFonts w:ascii="Times New Roman" w:hAnsi="Times New Roman"/>
                <w:sz w:val="15"/>
              </w:rPr>
              <w:t xml:space="preserve">9.93</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10.46</w:t>
            </w:r>
          </w:p>
        </w:tc>
        <w:tc>
          <w:tcPr/>
          <w:p>
            <w:pPr>
              <w:pStyle w:val="Compact"/>
              <w:ind w:firstLine="0"/>
              <w:jc w:val="left"/>
            </w:pPr>
            <w:r>
              <w:rPr>
                <w:rFonts w:ascii="Times New Roman" w:hAnsi="Times New Roman"/>
                <w:sz w:val="15"/>
              </w:rPr>
              <w:t xml:space="preserve">5.94</w:t>
            </w:r>
          </w:p>
        </w:tc>
        <w:tc>
          <w:tcPr/>
          <w:p>
            <w:pPr>
              <w:pStyle w:val="Compact"/>
              <w:ind w:firstLine="0"/>
              <w:jc w:val="left"/>
            </w:pPr>
            <w:r>
              <w:rPr>
                <w:rFonts w:ascii="Times New Roman" w:hAnsi="Times New Roman"/>
                <w:sz w:val="15"/>
              </w:rPr>
              <w:t xml:space="preserve">4.23</w:t>
            </w:r>
          </w:p>
        </w:tc>
        <w:tc>
          <w:tcPr/>
          <w:p>
            <w:pPr>
              <w:pStyle w:val="Compact"/>
              <w:ind w:firstLine="0"/>
              <w:jc w:val="left"/>
            </w:pPr>
            <w:r>
              <w:rPr>
                <w:rFonts w:ascii="Times New Roman" w:hAnsi="Times New Roman"/>
                <w:sz w:val="15"/>
              </w:rPr>
              <w:t xml:space="preserve">11.72</w:t>
            </w:r>
          </w:p>
        </w:tc>
        <w:tc>
          <w:tcPr/>
          <w:p>
            <w:pPr>
              <w:pStyle w:val="Compact"/>
              <w:ind w:firstLine="0"/>
              <w:jc w:val="left"/>
            </w:pPr>
            <w:r>
              <w:rPr>
                <w:rFonts w:ascii="Times New Roman" w:hAnsi="Times New Roman"/>
                <w:sz w:val="15"/>
              </w:rPr>
              <w:t xml:space="preserve">8.51</w:t>
            </w:r>
          </w:p>
        </w:tc>
        <w:tc>
          <w:tcPr/>
          <w:p>
            <w:pPr>
              <w:pStyle w:val="Compact"/>
              <w:ind w:firstLine="0"/>
              <w:jc w:val="left"/>
            </w:pPr>
            <w:r>
              <w:rPr>
                <w:rFonts w:ascii="Times New Roman" w:hAnsi="Times New Roman"/>
                <w:sz w:val="15"/>
              </w:rPr>
              <w:t xml:space="preserve">9.64</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LightGBM (hand+curves)</w:t>
            </w:r>
          </w:p>
        </w:tc>
        <w:tc>
          <w:tcPr/>
          <w:p>
            <w:pPr>
              <w:pStyle w:val="Compact"/>
              <w:ind w:firstLine="0"/>
              <w:jc w:val="left"/>
            </w:pPr>
            <w:r>
              <w:rPr>
                <w:rFonts w:ascii="Times New Roman" w:hAnsi="Times New Roman"/>
                <w:sz w:val="15"/>
              </w:rPr>
              <w:t xml:space="preserve">10.72</w:t>
            </w:r>
          </w:p>
        </w:tc>
        <w:tc>
          <w:tcPr/>
          <w:p>
            <w:pPr>
              <w:pStyle w:val="Compact"/>
              <w:ind w:firstLine="0"/>
              <w:jc w:val="left"/>
            </w:pPr>
            <w:r>
              <w:rPr>
                <w:rFonts w:ascii="Times New Roman" w:hAnsi="Times New Roman"/>
                <w:sz w:val="15"/>
              </w:rPr>
              <w:t xml:space="preserve">5.93</w:t>
            </w:r>
          </w:p>
        </w:tc>
        <w:tc>
          <w:tcPr/>
          <w:p>
            <w:pPr>
              <w:pStyle w:val="Compact"/>
              <w:ind w:firstLine="0"/>
              <w:jc w:val="left"/>
            </w:pPr>
            <w:r>
              <w:rPr>
                <w:rFonts w:ascii="Times New Roman" w:hAnsi="Times New Roman"/>
                <w:sz w:val="15"/>
              </w:rPr>
              <w:t xml:space="preserve">4.26</w:t>
            </w:r>
          </w:p>
        </w:tc>
        <w:tc>
          <w:tcPr/>
          <w:p>
            <w:pPr>
              <w:pStyle w:val="Compact"/>
              <w:ind w:firstLine="0"/>
              <w:jc w:val="left"/>
            </w:pPr>
            <w:r>
              <w:rPr>
                <w:rFonts w:ascii="Times New Roman" w:hAnsi="Times New Roman"/>
                <w:sz w:val="15"/>
              </w:rPr>
              <w:t xml:space="preserve">11.17</w:t>
            </w:r>
          </w:p>
        </w:tc>
        <w:tc>
          <w:tcPr/>
          <w:p>
            <w:pPr>
              <w:pStyle w:val="Compact"/>
              <w:ind w:firstLine="0"/>
              <w:jc w:val="left"/>
            </w:pPr>
            <w:r>
              <w:rPr>
                <w:rFonts w:ascii="Times New Roman" w:hAnsi="Times New Roman"/>
                <w:sz w:val="15"/>
              </w:rPr>
              <w:t xml:space="preserve">8.59</w:t>
            </w:r>
          </w:p>
        </w:tc>
        <w:tc>
          <w:tcPr/>
          <w:p>
            <w:pPr>
              <w:pStyle w:val="Compact"/>
              <w:ind w:firstLine="0"/>
              <w:jc w:val="left"/>
            </w:pPr>
            <w:r>
              <w:rPr>
                <w:rFonts w:ascii="Times New Roman" w:hAnsi="Times New Roman"/>
                <w:sz w:val="15"/>
              </w:rPr>
              <w:t xml:space="preserve">9.72</w:t>
            </w:r>
          </w:p>
        </w:tc>
      </w:tr>
      <w:tr>
        <w:tc>
          <w:tcPr/>
          <w:p>
            <w:pPr>
              <w:pStyle w:val="Compact"/>
              <w:ind w:firstLine="0"/>
              <w:jc w:val="left"/>
            </w:pPr>
            <w:r>
              <w:rPr>
                <w:rFonts w:ascii="Times New Roman" w:hAnsi="Times New Roman"/>
                <w:sz w:val="15"/>
              </w:rPr>
              <w:t xml:space="preserve">10 %</w:t>
            </w:r>
          </w:p>
        </w:tc>
        <w:tc>
          <w:tcPr/>
          <w:p>
            <w:pPr>
              <w:pStyle w:val="Compact"/>
              <w:ind w:firstLine="0"/>
              <w:jc w:val="left"/>
            </w:pPr>
            <w:r>
              <w:rPr>
                <w:rFonts w:ascii="Times New Roman" w:hAnsi="Times New Roman"/>
                <w:sz w:val="15"/>
              </w:rPr>
              <w:t xml:space="preserve">Ridge</w:t>
            </w:r>
          </w:p>
        </w:tc>
        <w:tc>
          <w:tcPr/>
          <w:p>
            <w:pPr>
              <w:pStyle w:val="Compact"/>
              <w:ind w:firstLine="0"/>
              <w:jc w:val="left"/>
            </w:pPr>
            <w:r>
              <w:rPr>
                <w:rFonts w:ascii="Times New Roman" w:hAnsi="Times New Roman"/>
                <w:sz w:val="15"/>
              </w:rPr>
              <w:t xml:space="preserve">14.13</w:t>
            </w:r>
          </w:p>
        </w:tc>
        <w:tc>
          <w:tcPr/>
          <w:p>
            <w:pPr>
              <w:pStyle w:val="Compact"/>
              <w:ind w:firstLine="0"/>
              <w:jc w:val="left"/>
            </w:pPr>
            <w:r>
              <w:rPr>
                <w:rFonts w:ascii="Times New Roman" w:hAnsi="Times New Roman"/>
                <w:sz w:val="15"/>
              </w:rPr>
              <w:t xml:space="preserve">7.57</w:t>
            </w:r>
          </w:p>
        </w:tc>
        <w:tc>
          <w:tcPr/>
          <w:p>
            <w:pPr>
              <w:pStyle w:val="Compact"/>
              <w:ind w:firstLine="0"/>
              <w:jc w:val="left"/>
            </w:pPr>
            <w:r>
              <w:rPr>
                <w:rFonts w:ascii="Times New Roman" w:hAnsi="Times New Roman"/>
                <w:sz w:val="15"/>
              </w:rPr>
              <w:t xml:space="preserve">5.21</w:t>
            </w:r>
          </w:p>
        </w:tc>
        <w:tc>
          <w:tcPr/>
          <w:p>
            <w:pPr>
              <w:pStyle w:val="Compact"/>
              <w:ind w:firstLine="0"/>
              <w:jc w:val="left"/>
            </w:pPr>
            <w:r>
              <w:rPr>
                <w:rFonts w:ascii="Times New Roman" w:hAnsi="Times New Roman"/>
                <w:sz w:val="15"/>
              </w:rPr>
              <w:t xml:space="preserve">47.03</w:t>
            </w:r>
          </w:p>
        </w:tc>
        <w:tc>
          <w:tcPr/>
          <w:p>
            <w:pPr>
              <w:pStyle w:val="Compact"/>
              <w:ind w:firstLine="0"/>
              <w:jc w:val="left"/>
            </w:pPr>
            <w:r>
              <w:rPr>
                <w:rFonts w:ascii="Times New Roman" w:hAnsi="Times New Roman"/>
                <w:sz w:val="15"/>
              </w:rPr>
              <w:t xml:space="preserve">22.72</w:t>
            </w:r>
          </w:p>
        </w:tc>
        <w:tc>
          <w:tcPr/>
          <w:p>
            <w:pPr>
              <w:pStyle w:val="Compact"/>
              <w:ind w:firstLine="0"/>
              <w:jc w:val="left"/>
            </w:pPr>
            <w:r>
              <w:rPr>
                <w:rFonts w:ascii="Times New Roman" w:hAnsi="Times New Roman"/>
                <w:sz w:val="15"/>
              </w:rPr>
              <w:t xml:space="preserve">24.73</w:t>
            </w:r>
          </w:p>
        </w:tc>
      </w:tr>
    </w:tbl>
    <w:p>
      <w:pPr>
        <w:sectPr>
          <w:type w:val="continuous"/>
          <w:pgSz w:w="12240" w:h="15840"/>
          <w:pgMar w:top="1080" w:bottom="1440" w:left="900" w:right="900" w:header="720" w:footer="720" w:gutter="0"/>
          <w:cols w:num="1" w:space="360"/>
        </w:sectPr>
      </w:pPr>
    </w:p>
    <w:bookmarkEnd w:id="57"/>
    <w:bookmarkStart w:id="58" w:name="X0fc7b1ff9a0cde68eae194ee7f05e5c0795ac9e"/>
    <w:p>
      <w:pPr>
        <w:pStyle w:val="Heading2"/>
      </w:pPr>
      <w:r>
        <w:rPr>
          <w:rFonts w:ascii="Times New Roman" w:hAnsi="Times New Roman"/>
          <w:b w:val="0"/>
          <w:i/>
          <w:sz w:val="20"/>
        </w:rPr>
        <w:t xml:space="preserve">B. Effect of Self-Supervised Pre-Training and Label Scarcity</w:t>
      </w:r>
    </w:p>
    <w:p>
      <w:pPr>
        <w:pStyle w:val="FirstParagraph"/>
      </w:pPr>
      <w:r>
        <w:t xml:space="preserve">Pre-training changed RMSE relative to the supervised encoder by −0.01, −0.01 and −0.08 points with all labels, and by +0.09, −0.35 and +0.13 points with 10 % labels, across seeds 0–2. The average change (−0.03 and −0.04 points) is far smaller than the seed-to-seed standard deviation (0.26 and 0.77 points).</w:t>
      </w:r>
      <w:r>
        <w:t xml:space="preserve"> </w:t>
      </w:r>
      <w:r>
        <w:rPr>
          <w:b/>
          <w:bCs/>
        </w:rPr>
        <w:t xml:space="preserve">H2 is therefore not supported</w:t>
      </w:r>
      <w:r>
        <w:t xml:space="preserve"> </w:t>
      </w:r>
      <w:r>
        <w:t xml:space="preserve">at this scale: masked reconstruction of 30 % of an observed session did not yield representations that improved SOH estimation, even when labels were scarce. With 10 % labels (about 20 training cells), every model degraded: LightGBM reached 6.89 ± 0.84 %, the encoders 7.26–7.30 %. Ridge regression was unstable (17.64 ± 14.38 %; 34.21 % on seed 2), consistent with extrapolation from very few cells.</w:t>
      </w:r>
    </w:p>
    <w:bookmarkEnd w:id="58"/>
    <w:bookmarkStart w:id="63" w:name="X0556cd4eeeed9c033ef898631d2330e4fe057fb"/>
    <w:p>
      <w:pPr>
        <w:pStyle w:val="Heading2"/>
      </w:pPr>
      <w:r>
        <w:rPr>
          <w:rFonts w:ascii="Times New Roman" w:hAnsi="Times New Roman"/>
          <w:b w:val="0"/>
          <w:i/>
          <w:sz w:val="20"/>
        </w:rPr>
        <w:t xml:space="preserve">C. Sensitivity to Session Start and Width</w:t>
      </w:r>
    </w:p>
    <w:p>
      <w:pPr>
        <w:pStyle w:val="FirstParagraph"/>
      </w:pPr>
      <w:r>
        <w:t xml:space="preserve">Fig. 10 shows test RMSE as a function of the session parameters, which are hidden from the models. For LightGBM on handcrafted features, error decreased from 5.24 % for the shortest sessions (15–20 % of a full charge) to 4.45 % for the longest (35–40 %). Error was highest for sessions starting near empty (5.18 % for</w:t>
      </w:r>
      <w:r>
        <w:t xml:space="preserve"> </w:t>
      </w:r>
      <m:oMath>
        <m:r>
          <m:t>s</m:t>
        </m:r>
        <m:r>
          <m:rPr>
            <m:sty m:val="p"/>
          </m:rPr>
          <m:t>≤</m:t>
        </m:r>
        <m:r>
          <m:t>0.15</m:t>
        </m:r>
      </m:oMath>
      <w:r>
        <w:t xml:space="preserve">) and lowest for starts at 35–45 % of the charge (4.56 %). The encoders followed the same trends at a higher level. Longer sessions that cover the mid-SOC region are therefore the most informative, which is consistent with degradation signatures concentrated in the voltage plateaus.</w:t>
      </w:r>
    </w:p>
    <w:bookmarkStart w:id="62" w:name="fig8_window_sensitivity"/>
    <w:p>
      <w:pPr>
        <w:pStyle w:val="CaptionedFigure"/>
      </w:pPr>
      <w:r>
        <w:drawing>
          <wp:inline>
            <wp:extent cx="3154680" cy="3985816"/>
            <wp:effectExtent b="0" l="0" r="0" t="0"/>
            <wp:docPr descr="Fig. 10. Test RMSE versus session width (top) and session start (bottom), both as fractions of a full charge (all labels, three seeds pooled)." title="" id="60" name="Picture"/>
            <a:graphic>
              <a:graphicData uri="http://schemas.openxmlformats.org/drawingml/2006/picture">
                <pic:pic>
                  <pic:nvPicPr>
                    <pic:cNvPr descr="../figures/fig8_window_sensitivity.png" id="61" name="Picture"/>
                    <pic:cNvPicPr>
                      <a:picLocks noChangeArrowheads="1" noChangeAspect="1"/>
                    </pic:cNvPicPr>
                  </pic:nvPicPr>
                  <pic:blipFill>
                    <a:blip r:embed="rId59"/>
                    <a:stretch>
                      <a:fillRect/>
                    </a:stretch>
                  </pic:blipFill>
                  <pic:spPr bwMode="auto">
                    <a:xfrm>
                      <a:off x="0" y="0"/>
                      <a:ext cx="3154680" cy="3985816"/>
                    </a:xfrm>
                    <a:prstGeom prst="rect">
                      <a:avLst/>
                    </a:prstGeom>
                    <a:noFill/>
                    <a:ln w="9525">
                      <a:noFill/>
                      <a:headEnd/>
                      <a:tailEnd/>
                    </a:ln>
                  </pic:spPr>
                </pic:pic>
              </a:graphicData>
            </a:graphic>
          </wp:inline>
        </w:drawing>
      </w:r>
    </w:p>
    <w:p>
      <w:pPr>
        <w:pStyle w:val="ImageCaption"/>
      </w:pPr>
      <w:r>
        <w:t xml:space="preserve">Fig. 10. Test RMSE versus session width (top) and session start (bottom), both as fractions of a full charge (all labels, three seeds pooled).</w:t>
      </w:r>
    </w:p>
    <w:bookmarkEnd w:id="62"/>
    <w:bookmarkEnd w:id="63"/>
    <w:bookmarkStart w:id="68" w:name="d.-calibration-of-prediction-intervals"/>
    <w:p>
      <w:pPr>
        <w:pStyle w:val="Heading2"/>
      </w:pPr>
      <w:r>
        <w:rPr>
          <w:rFonts w:ascii="Times New Roman" w:hAnsi="Times New Roman"/>
          <w:b w:val="0"/>
          <w:i/>
          <w:sz w:val="20"/>
        </w:rPr>
        <w:t xml:space="preserve">D. Calibration of Prediction Intervals</w:t>
      </w:r>
    </w:p>
    <w:p>
      <w:pPr>
        <w:pStyle w:val="FirstParagraph"/>
      </w:pPr>
      <w:r>
        <w:t xml:space="preserve">With all labels, split CQR produced a marginal coverage of 0.895 with a mean width of 14.1 % SOH for LightGBM, and 0.893 with 17.1 % for the self-supervised encoder; with 10 % labels, coverage was 0.883–0.888. The conformal correction acted in opposite directions for the two model families. It widened the LightGBM quantile intervals by 0.74 points on average, because the raw quantiles under-covered, and narrowed the CNN intervals by 0.93 points, because the raw quantiles over-covered. Marginal coverage did not hold uniformly, however (Fig. 11). Per-source coverage of the best model ranged from 0.808 (NASA) to 0.914 (MATR), and per-cell coverage had a median of 0.921 but a minimum of 0.099.</w:t>
      </w:r>
      <w:r>
        <w:t xml:space="preserve"> </w:t>
      </w:r>
      <w:r>
        <w:rPr>
          <w:b/>
          <w:bCs/>
        </w:rPr>
        <w:t xml:space="preserve">H3 is partly supported</w:t>
      </w:r>
      <w:r>
        <w:t xml:space="preserve">: CQR is approximately calibrated</w:t>
      </w:r>
      <w:r>
        <w:t xml:space="preserve"> </w:t>
      </w:r>
      <w:r>
        <w:rPr>
          <w:i/>
          <w:iCs/>
        </w:rPr>
        <w:t xml:space="preserve">on average</w:t>
      </w:r>
      <w:r>
        <w:t xml:space="preserve"> </w:t>
      </w:r>
      <w:r>
        <w:t xml:space="preserve">over unseen cells, but it provides no per-battery guarantee. An interval about 14 points wide is also too wide for warranty-grade decisions, although it suffices for coarse health categories.</w:t>
      </w:r>
    </w:p>
    <w:bookmarkStart w:id="67" w:name="fig9_calibration"/>
    <w:p>
      <w:pPr>
        <w:pStyle w:val="CaptionedFigure"/>
      </w:pPr>
      <w:r>
        <w:drawing>
          <wp:inline>
            <wp:extent cx="3154680" cy="4352852"/>
            <wp:effectExtent b="0" l="0" r="0" t="0"/>
            <wp:docPr descr="Fig. 11. Calibration of 90 % CQR intervals for the best model: coverage per source over three seeds (top) and intervals for one test cell (bottom)." title="" id="65" name="Picture"/>
            <a:graphic>
              <a:graphicData uri="http://schemas.openxmlformats.org/drawingml/2006/picture">
                <pic:pic>
                  <pic:nvPicPr>
                    <pic:cNvPr descr="../figures/fig9_calibration.png" id="66" name="Picture"/>
                    <pic:cNvPicPr>
                      <a:picLocks noChangeArrowheads="1" noChangeAspect="1"/>
                    </pic:cNvPicPr>
                  </pic:nvPicPr>
                  <pic:blipFill>
                    <a:blip r:embed="rId64"/>
                    <a:stretch>
                      <a:fillRect/>
                    </a:stretch>
                  </pic:blipFill>
                  <pic:spPr bwMode="auto">
                    <a:xfrm>
                      <a:off x="0" y="0"/>
                      <a:ext cx="3154680" cy="4352852"/>
                    </a:xfrm>
                    <a:prstGeom prst="rect">
                      <a:avLst/>
                    </a:prstGeom>
                    <a:noFill/>
                    <a:ln w="9525">
                      <a:noFill/>
                      <a:headEnd/>
                      <a:tailEnd/>
                    </a:ln>
                  </pic:spPr>
                </pic:pic>
              </a:graphicData>
            </a:graphic>
          </wp:inline>
        </w:drawing>
      </w:r>
    </w:p>
    <w:p>
      <w:pPr>
        <w:pStyle w:val="ImageCaption"/>
      </w:pPr>
      <w:r>
        <w:t xml:space="preserve">Fig. 11. Calibration of 90 % CQR intervals for the best model: coverage per source over three seeds (top) and intervals for one test cell (bottom).</w:t>
      </w:r>
    </w:p>
    <w:bookmarkEnd w:id="67"/>
    <w:bookmarkEnd w:id="68"/>
    <w:bookmarkStart w:id="73" w:name="e.-generalization-to-an-unseen-dataset"/>
    <w:p>
      <w:pPr>
        <w:pStyle w:val="Heading2"/>
      </w:pPr>
      <w:r>
        <w:rPr>
          <w:rFonts w:ascii="Times New Roman" w:hAnsi="Times New Roman"/>
          <w:b w:val="0"/>
          <w:i/>
          <w:sz w:val="20"/>
        </w:rPr>
        <w:t xml:space="preserve">E. Generalization to an Unseen Dataset</w:t>
      </w:r>
    </w:p>
    <w:p>
      <w:pPr>
        <w:pStyle w:val="FirstParagraph"/>
      </w:pPr>
      <w:r>
        <w:t xml:space="preserve">When an entire source was held out (Table VII, Fig. 12), every model failed to generalize. RMSE rose to 6.44–7.65 % (MATR held out), 7.94–8.49 % (HUST) and 10.92–12.18 % (SNL), and</w:t>
      </w:r>
      <w:r>
        <w:t xml:space="preserve"> </w:t>
      </w:r>
      <m:oMath>
        <m:sSup>
          <m:e>
            <m:r>
              <m:t>R</m:t>
            </m:r>
          </m:e>
          <m:sup>
            <m:r>
              <m:t>2</m:t>
            </m:r>
          </m:sup>
        </m:sSup>
      </m:oMath>
      <w:r>
        <w:t xml:space="preserve"> </w:t>
      </w:r>
      <w:r>
        <w:t xml:space="preserve">was at or below zero in all nine cases; that is, no model predicted SOH of an unseen dataset better than that dataset’s own mean. Coverage collapsed where the held-out SOH distribution differed most from the training sources. For HUST, whose cells have SOH up to 1.14 (above rated capacity), coverage fell to 0.21–0.32; for SNL, with its three chemistries and DoD windows, it fell to 0.61–0.65; for MATR it remained 0.83–0.95. Self-supervised pre-training gave the lowest error on held-out MATR (6.44 % vs. 7.51 % for LightGBM and 7.65 % for the supervised encoder) but not on HUST (8.06 % vs. 7.94 %) or SNL (12.18 % vs. 10.92 %), so it is not a consistent remedy for dataset shift. Because the calibration cells come from the training sources, the exchangeability assumption behind (8) is violated, and the measured coverage shows its practical consequence: a deployment on a new vehicle platform needs labelled calibration data, and likely training data, from that platform.</w:t>
      </w:r>
    </w:p>
    <w:p>
      <w:pPr>
        <w:pStyle w:val="TableCaption"/>
        <w:keepNext/>
        <w:ind w:firstLine="0"/>
        <w:jc w:val="center"/>
      </w:pPr>
      <w:r>
        <w:rPr>
          <w:rFonts w:ascii="Times New Roman" w:hAnsi="Times New Roman"/>
          <w:smallCaps w:val="0"/>
          <w:sz w:val="16"/>
        </w:rPr>
        <w:t xml:space="preserve">TABLE VII</w:t>
      </w:r>
    </w:p>
    <w:p>
      <w:pPr>
        <w:pStyle w:val="TableCaption"/>
      </w:pPr>
      <w:r>
        <w:t xml:space="preserve">LEAVE-ONE-DATASET-OUT RESULTS (SEED 0, ALL LABELS)</w:t>
      </w:r>
    </w:p>
    <w:p>
      <w:pPr>
        <w:sectPr>
          <w:type w:val="continuous"/>
          <w:pgSz w:w="12240" w:h="15840"/>
          <w:pgMar w:top="1080" w:bottom="1440" w:left="900" w:right="900" w:header="720" w:footer="720" w:gutter="0"/>
          <w:cols w:num="2" w:space="360"/>
        </w:sectPr>
      </w:pP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990"/>
        <w:gridCol w:w="990"/>
        <w:gridCol w:w="990"/>
        <w:gridCol w:w="990"/>
        <w:gridCol w:w="990"/>
        <w:gridCol w:w="990"/>
        <w:gridCol w:w="990"/>
        <w:gridCol w:w="990"/>
      </w:tblGrid>
      <w:tr>
        <w:trPr>
          <w:tblHeader w:val="on"/>
        </w:trPr>
        <w:tc>
          <w:tcPr/>
          <w:p>
            <w:pPr>
              <w:pStyle w:val="Compact"/>
              <w:ind w:firstLine="0"/>
              <w:jc w:val="left"/>
            </w:pPr>
            <w:r>
              <w:rPr>
                <w:rFonts w:ascii="Times New Roman" w:hAnsi="Times New Roman"/>
                <w:b/>
                <w:sz w:val="15"/>
              </w:rPr>
              <w:t xml:space="preserve">Held-out source</w:t>
            </w:r>
          </w:p>
        </w:tc>
        <w:tc>
          <w:tcPr/>
          <w:p>
            <w:pPr>
              <w:pStyle w:val="Compact"/>
              <w:ind w:firstLine="0"/>
              <w:jc w:val="left"/>
            </w:pPr>
            <w:r>
              <w:rPr>
                <w:rFonts w:ascii="Times New Roman" w:hAnsi="Times New Roman"/>
                <w:b/>
                <w:sz w:val="15"/>
              </w:rPr>
              <w:t xml:space="preserve">Model</w:t>
            </w:r>
          </w:p>
        </w:tc>
        <w:tc>
          <w:tcPr/>
          <w:p>
            <w:pPr>
              <w:pStyle w:val="Compact"/>
              <w:ind w:firstLine="0"/>
              <w:jc w:val="left"/>
            </w:pPr>
            <w:r>
              <w:rPr>
                <w:rFonts w:ascii="Times New Roman" w:hAnsi="Times New Roman"/>
                <w:b/>
                <w:sz w:val="15"/>
              </w:rPr>
              <w:t xml:space="preserve">Train cells</w:t>
            </w:r>
          </w:p>
        </w:tc>
        <w:tc>
          <w:tcPr/>
          <w:p>
            <w:pPr>
              <w:pStyle w:val="Compact"/>
              <w:ind w:firstLine="0"/>
              <w:jc w:val="left"/>
            </w:pPr>
            <w:r>
              <w:rPr>
                <w:rFonts w:ascii="Times New Roman" w:hAnsi="Times New Roman"/>
                <w:b/>
                <w:sz w:val="15"/>
              </w:rPr>
              <w:t xml:space="preserve">Test cells</w:t>
            </w:r>
          </w:p>
        </w:tc>
        <w:tc>
          <w:tcPr/>
          <w:p>
            <w:pPr>
              <w:pStyle w:val="Compact"/>
              <w:ind w:firstLine="0"/>
              <w:jc w:val="left"/>
            </w:pPr>
            <w:r>
              <w:rPr>
                <w:rFonts w:ascii="Times New Roman" w:hAnsi="Times New Roman"/>
                <w:b/>
                <w:sz w:val="15"/>
              </w:rPr>
              <w:t xml:space="preserve">RMSE (% SOH)</w:t>
            </w:r>
          </w:p>
        </w:tc>
        <w:tc>
          <w:tcPr/>
          <w:p>
            <w:pPr>
              <w:pStyle w:val="Compact"/>
              <w:ind w:firstLine="0"/>
              <w:jc w:val="left"/>
            </w:pPr>
            <w:r>
              <w:rPr>
                <w:rFonts w:ascii="Times New Roman" w:hAnsi="Times New Roman"/>
                <w:b/>
                <w:sz w:val="15"/>
              </w:rPr>
              <w:t xml:space="preserve">MAE (% SOH)</w:t>
            </w:r>
          </w:p>
        </w:tc>
        <w:tc>
          <w:tcPr/>
          <w:p>
            <w:pPr>
              <w:pStyle w:val="Compact"/>
              <w:ind w:firstLine="0"/>
              <w:jc w:val="left"/>
            </w:pPr>
            <w:r>
              <w:rPr>
                <w:rFonts w:ascii="Times New Roman" w:hAnsi="Times New Roman"/>
                <w:b/>
                <w:sz w:val="15"/>
              </w:rPr>
              <w:t xml:space="preserve">90 % PI coverage</w:t>
            </w:r>
          </w:p>
        </w:tc>
        <w:tc>
          <w:tcPr/>
          <w:p>
            <w:pPr>
              <w:pStyle w:val="Compact"/>
              <w:ind w:firstLine="0"/>
              <w:jc w:val="left"/>
            </w:pPr>
            <w:r>
              <w:rPr>
                <w:rFonts w:ascii="Times New Roman" w:hAnsi="Times New Roman"/>
                <w:b/>
                <w:sz w:val="15"/>
              </w:rPr>
              <w:t xml:space="preserve">PI width (% SOH)</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135</w:t>
            </w:r>
          </w:p>
        </w:tc>
        <w:tc>
          <w:tcPr/>
          <w:p>
            <w:pPr>
              <w:pStyle w:val="Compact"/>
              <w:ind w:firstLine="0"/>
              <w:jc w:val="left"/>
            </w:pPr>
            <w:r>
              <w:rPr>
                <w:rFonts w:ascii="Times New Roman" w:hAnsi="Times New Roman"/>
                <w:sz w:val="15"/>
              </w:rPr>
              <w:t xml:space="preserve">169</w:t>
            </w:r>
          </w:p>
        </w:tc>
        <w:tc>
          <w:tcPr/>
          <w:p>
            <w:pPr>
              <w:pStyle w:val="Compact"/>
              <w:ind w:firstLine="0"/>
              <w:jc w:val="left"/>
            </w:pPr>
            <w:r>
              <w:rPr>
                <w:rFonts w:ascii="Times New Roman" w:hAnsi="Times New Roman"/>
                <w:sz w:val="15"/>
              </w:rPr>
              <w:t xml:space="preserve">7.51</w:t>
            </w:r>
          </w:p>
        </w:tc>
        <w:tc>
          <w:tcPr/>
          <w:p>
            <w:pPr>
              <w:pStyle w:val="Compact"/>
              <w:ind w:firstLine="0"/>
              <w:jc w:val="left"/>
            </w:pPr>
            <w:r>
              <w:rPr>
                <w:rFonts w:ascii="Times New Roman" w:hAnsi="Times New Roman"/>
                <w:sz w:val="15"/>
              </w:rPr>
              <w:t xml:space="preserve">5.94</w:t>
            </w:r>
          </w:p>
        </w:tc>
        <w:tc>
          <w:tcPr/>
          <w:p>
            <w:pPr>
              <w:pStyle w:val="Compact"/>
              <w:ind w:firstLine="0"/>
              <w:jc w:val="left"/>
            </w:pPr>
            <w:r>
              <w:rPr>
                <w:rFonts w:ascii="Times New Roman" w:hAnsi="Times New Roman"/>
                <w:sz w:val="15"/>
              </w:rPr>
              <w:t xml:space="preserve">0.830</w:t>
            </w:r>
          </w:p>
        </w:tc>
        <w:tc>
          <w:tcPr/>
          <w:p>
            <w:pPr>
              <w:pStyle w:val="Compact"/>
              <w:ind w:firstLine="0"/>
              <w:jc w:val="left"/>
            </w:pPr>
            <w:r>
              <w:rPr>
                <w:rFonts w:ascii="Times New Roman" w:hAnsi="Times New Roman"/>
                <w:sz w:val="15"/>
              </w:rPr>
              <w:t xml:space="preserve">20.67</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135</w:t>
            </w:r>
          </w:p>
        </w:tc>
        <w:tc>
          <w:tcPr/>
          <w:p>
            <w:pPr>
              <w:pStyle w:val="Compact"/>
              <w:ind w:firstLine="0"/>
              <w:jc w:val="left"/>
            </w:pPr>
            <w:r>
              <w:rPr>
                <w:rFonts w:ascii="Times New Roman" w:hAnsi="Times New Roman"/>
                <w:sz w:val="15"/>
              </w:rPr>
              <w:t xml:space="preserve">169</w:t>
            </w:r>
          </w:p>
        </w:tc>
        <w:tc>
          <w:tcPr/>
          <w:p>
            <w:pPr>
              <w:pStyle w:val="Compact"/>
              <w:ind w:firstLine="0"/>
              <w:jc w:val="left"/>
            </w:pPr>
            <w:r>
              <w:rPr>
                <w:rFonts w:ascii="Times New Roman" w:hAnsi="Times New Roman"/>
                <w:sz w:val="15"/>
              </w:rPr>
              <w:t xml:space="preserve">7.65</w:t>
            </w:r>
          </w:p>
        </w:tc>
        <w:tc>
          <w:tcPr/>
          <w:p>
            <w:pPr>
              <w:pStyle w:val="Compact"/>
              <w:ind w:firstLine="0"/>
              <w:jc w:val="left"/>
            </w:pPr>
            <w:r>
              <w:rPr>
                <w:rFonts w:ascii="Times New Roman" w:hAnsi="Times New Roman"/>
                <w:sz w:val="15"/>
              </w:rPr>
              <w:t xml:space="preserve">5.71</w:t>
            </w:r>
          </w:p>
        </w:tc>
        <w:tc>
          <w:tcPr/>
          <w:p>
            <w:pPr>
              <w:pStyle w:val="Compact"/>
              <w:ind w:firstLine="0"/>
              <w:jc w:val="left"/>
            </w:pPr>
            <w:r>
              <w:rPr>
                <w:rFonts w:ascii="Times New Roman" w:hAnsi="Times New Roman"/>
                <w:sz w:val="15"/>
              </w:rPr>
              <w:t xml:space="preserve">0.910</w:t>
            </w:r>
          </w:p>
        </w:tc>
        <w:tc>
          <w:tcPr/>
          <w:p>
            <w:pPr>
              <w:pStyle w:val="Compact"/>
              <w:ind w:firstLine="0"/>
              <w:jc w:val="left"/>
            </w:pPr>
            <w:r>
              <w:rPr>
                <w:rFonts w:ascii="Times New Roman" w:hAnsi="Times New Roman"/>
                <w:sz w:val="15"/>
              </w:rPr>
              <w:t xml:space="preserve">23.33</w:t>
            </w:r>
          </w:p>
        </w:tc>
      </w:tr>
      <w:tr>
        <w:tc>
          <w:tcPr/>
          <w:p>
            <w:pPr>
              <w:pStyle w:val="Compact"/>
              <w:ind w:firstLine="0"/>
              <w:jc w:val="left"/>
            </w:pPr>
            <w:r>
              <w:rPr>
                <w:rFonts w:ascii="Times New Roman" w:hAnsi="Times New Roman"/>
                <w:sz w:val="15"/>
              </w:rPr>
              <w:t xml:space="preserve">MATR</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135</w:t>
            </w:r>
          </w:p>
        </w:tc>
        <w:tc>
          <w:tcPr/>
          <w:p>
            <w:pPr>
              <w:pStyle w:val="Compact"/>
              <w:ind w:firstLine="0"/>
              <w:jc w:val="left"/>
            </w:pPr>
            <w:r>
              <w:rPr>
                <w:rFonts w:ascii="Times New Roman" w:hAnsi="Times New Roman"/>
                <w:sz w:val="15"/>
              </w:rPr>
              <w:t xml:space="preserve">169</w:t>
            </w:r>
          </w:p>
        </w:tc>
        <w:tc>
          <w:tcPr/>
          <w:p>
            <w:pPr>
              <w:pStyle w:val="Compact"/>
              <w:ind w:firstLine="0"/>
              <w:jc w:val="left"/>
            </w:pPr>
            <w:r>
              <w:rPr>
                <w:rFonts w:ascii="Times New Roman" w:hAnsi="Times New Roman"/>
                <w:sz w:val="15"/>
              </w:rPr>
              <w:t xml:space="preserve">6.44</w:t>
            </w:r>
          </w:p>
        </w:tc>
        <w:tc>
          <w:tcPr/>
          <w:p>
            <w:pPr>
              <w:pStyle w:val="Compact"/>
              <w:ind w:firstLine="0"/>
              <w:jc w:val="left"/>
            </w:pPr>
            <w:r>
              <w:rPr>
                <w:rFonts w:ascii="Times New Roman" w:hAnsi="Times New Roman"/>
                <w:sz w:val="15"/>
              </w:rPr>
              <w:t xml:space="preserve">4.88</w:t>
            </w:r>
          </w:p>
        </w:tc>
        <w:tc>
          <w:tcPr/>
          <w:p>
            <w:pPr>
              <w:pStyle w:val="Compact"/>
              <w:ind w:firstLine="0"/>
              <w:jc w:val="left"/>
            </w:pPr>
            <w:r>
              <w:rPr>
                <w:rFonts w:ascii="Times New Roman" w:hAnsi="Times New Roman"/>
                <w:sz w:val="15"/>
              </w:rPr>
              <w:t xml:space="preserve">0.946</w:t>
            </w:r>
          </w:p>
        </w:tc>
        <w:tc>
          <w:tcPr/>
          <w:p>
            <w:pPr>
              <w:pStyle w:val="Compact"/>
              <w:ind w:firstLine="0"/>
              <w:jc w:val="left"/>
            </w:pPr>
            <w:r>
              <w:rPr>
                <w:rFonts w:ascii="Times New Roman" w:hAnsi="Times New Roman"/>
                <w:sz w:val="15"/>
              </w:rPr>
              <w:t xml:space="preserve">23.91</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201</w:t>
            </w:r>
          </w:p>
        </w:tc>
        <w:tc>
          <w:tcPr/>
          <w:p>
            <w:pPr>
              <w:pStyle w:val="Compact"/>
              <w:ind w:firstLine="0"/>
              <w:jc w:val="left"/>
            </w:pPr>
            <w:r>
              <w:rPr>
                <w:rFonts w:ascii="Times New Roman" w:hAnsi="Times New Roman"/>
                <w:sz w:val="15"/>
              </w:rPr>
              <w:t xml:space="preserve">77</w:t>
            </w:r>
          </w:p>
        </w:tc>
        <w:tc>
          <w:tcPr/>
          <w:p>
            <w:pPr>
              <w:pStyle w:val="Compact"/>
              <w:ind w:firstLine="0"/>
              <w:jc w:val="left"/>
            </w:pPr>
            <w:r>
              <w:rPr>
                <w:rFonts w:ascii="Times New Roman" w:hAnsi="Times New Roman"/>
                <w:sz w:val="15"/>
              </w:rPr>
              <w:t xml:space="preserve">8.49</w:t>
            </w:r>
          </w:p>
        </w:tc>
        <w:tc>
          <w:tcPr/>
          <w:p>
            <w:pPr>
              <w:pStyle w:val="Compact"/>
              <w:ind w:firstLine="0"/>
              <w:jc w:val="left"/>
            </w:pPr>
            <w:r>
              <w:rPr>
                <w:rFonts w:ascii="Times New Roman" w:hAnsi="Times New Roman"/>
                <w:sz w:val="15"/>
              </w:rPr>
              <w:t xml:space="preserve">7.52</w:t>
            </w:r>
          </w:p>
        </w:tc>
        <w:tc>
          <w:tcPr/>
          <w:p>
            <w:pPr>
              <w:pStyle w:val="Compact"/>
              <w:ind w:firstLine="0"/>
              <w:jc w:val="left"/>
            </w:pPr>
            <w:r>
              <w:rPr>
                <w:rFonts w:ascii="Times New Roman" w:hAnsi="Times New Roman"/>
                <w:sz w:val="15"/>
              </w:rPr>
              <w:t xml:space="preserve">0.212</w:t>
            </w:r>
          </w:p>
        </w:tc>
        <w:tc>
          <w:tcPr/>
          <w:p>
            <w:pPr>
              <w:pStyle w:val="Compact"/>
              <w:ind w:firstLine="0"/>
              <w:jc w:val="left"/>
            </w:pPr>
            <w:r>
              <w:rPr>
                <w:rFonts w:ascii="Times New Roman" w:hAnsi="Times New Roman"/>
                <w:sz w:val="15"/>
              </w:rPr>
              <w:t xml:space="preserve">6.98</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201</w:t>
            </w:r>
          </w:p>
        </w:tc>
        <w:tc>
          <w:tcPr/>
          <w:p>
            <w:pPr>
              <w:pStyle w:val="Compact"/>
              <w:ind w:firstLine="0"/>
              <w:jc w:val="left"/>
            </w:pPr>
            <w:r>
              <w:rPr>
                <w:rFonts w:ascii="Times New Roman" w:hAnsi="Times New Roman"/>
                <w:sz w:val="15"/>
              </w:rPr>
              <w:t xml:space="preserve">77</w:t>
            </w:r>
          </w:p>
        </w:tc>
        <w:tc>
          <w:tcPr/>
          <w:p>
            <w:pPr>
              <w:pStyle w:val="Compact"/>
              <w:ind w:firstLine="0"/>
              <w:jc w:val="left"/>
            </w:pPr>
            <w:r>
              <w:rPr>
                <w:rFonts w:ascii="Times New Roman" w:hAnsi="Times New Roman"/>
                <w:sz w:val="15"/>
              </w:rPr>
              <w:t xml:space="preserve">7.94</w:t>
            </w:r>
          </w:p>
        </w:tc>
        <w:tc>
          <w:tcPr/>
          <w:p>
            <w:pPr>
              <w:pStyle w:val="Compact"/>
              <w:ind w:firstLine="0"/>
              <w:jc w:val="left"/>
            </w:pPr>
            <w:r>
              <w:rPr>
                <w:rFonts w:ascii="Times New Roman" w:hAnsi="Times New Roman"/>
                <w:sz w:val="15"/>
              </w:rPr>
              <w:t xml:space="preserve">6.99</w:t>
            </w:r>
          </w:p>
        </w:tc>
        <w:tc>
          <w:tcPr/>
          <w:p>
            <w:pPr>
              <w:pStyle w:val="Compact"/>
              <w:ind w:firstLine="0"/>
              <w:jc w:val="left"/>
            </w:pPr>
            <w:r>
              <w:rPr>
                <w:rFonts w:ascii="Times New Roman" w:hAnsi="Times New Roman"/>
                <w:sz w:val="15"/>
              </w:rPr>
              <w:t xml:space="preserve">0.309</w:t>
            </w:r>
          </w:p>
        </w:tc>
        <w:tc>
          <w:tcPr/>
          <w:p>
            <w:pPr>
              <w:pStyle w:val="Compact"/>
              <w:ind w:firstLine="0"/>
              <w:jc w:val="left"/>
            </w:pPr>
            <w:r>
              <w:rPr>
                <w:rFonts w:ascii="Times New Roman" w:hAnsi="Times New Roman"/>
                <w:sz w:val="15"/>
              </w:rPr>
              <w:t xml:space="preserve">10.06</w:t>
            </w:r>
          </w:p>
        </w:tc>
      </w:tr>
      <w:tr>
        <w:tc>
          <w:tcPr/>
          <w:p>
            <w:pPr>
              <w:pStyle w:val="Compact"/>
              <w:ind w:firstLine="0"/>
              <w:jc w:val="left"/>
            </w:pPr>
            <w:r>
              <w:rPr>
                <w:rFonts w:ascii="Times New Roman" w:hAnsi="Times New Roman"/>
                <w:sz w:val="15"/>
              </w:rPr>
              <w:t xml:space="preserve">HUST</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201</w:t>
            </w:r>
          </w:p>
        </w:tc>
        <w:tc>
          <w:tcPr/>
          <w:p>
            <w:pPr>
              <w:pStyle w:val="Compact"/>
              <w:ind w:firstLine="0"/>
              <w:jc w:val="left"/>
            </w:pPr>
            <w:r>
              <w:rPr>
                <w:rFonts w:ascii="Times New Roman" w:hAnsi="Times New Roman"/>
                <w:sz w:val="15"/>
              </w:rPr>
              <w:t xml:space="preserve">77</w:t>
            </w:r>
          </w:p>
        </w:tc>
        <w:tc>
          <w:tcPr/>
          <w:p>
            <w:pPr>
              <w:pStyle w:val="Compact"/>
              <w:ind w:firstLine="0"/>
              <w:jc w:val="left"/>
            </w:pPr>
            <w:r>
              <w:rPr>
                <w:rFonts w:ascii="Times New Roman" w:hAnsi="Times New Roman"/>
                <w:sz w:val="15"/>
              </w:rPr>
              <w:t xml:space="preserve">8.06</w:t>
            </w:r>
          </w:p>
        </w:tc>
        <w:tc>
          <w:tcPr/>
          <w:p>
            <w:pPr>
              <w:pStyle w:val="Compact"/>
              <w:ind w:firstLine="0"/>
              <w:jc w:val="left"/>
            </w:pPr>
            <w:r>
              <w:rPr>
                <w:rFonts w:ascii="Times New Roman" w:hAnsi="Times New Roman"/>
                <w:sz w:val="15"/>
              </w:rPr>
              <w:t xml:space="preserve">7.10</w:t>
            </w:r>
          </w:p>
        </w:tc>
        <w:tc>
          <w:tcPr/>
          <w:p>
            <w:pPr>
              <w:pStyle w:val="Compact"/>
              <w:ind w:firstLine="0"/>
              <w:jc w:val="left"/>
            </w:pPr>
            <w:r>
              <w:rPr>
                <w:rFonts w:ascii="Times New Roman" w:hAnsi="Times New Roman"/>
                <w:sz w:val="15"/>
              </w:rPr>
              <w:t xml:space="preserve">0.316</w:t>
            </w:r>
          </w:p>
        </w:tc>
        <w:tc>
          <w:tcPr/>
          <w:p>
            <w:pPr>
              <w:pStyle w:val="Compact"/>
              <w:ind w:firstLine="0"/>
              <w:jc w:val="left"/>
            </w:pPr>
            <w:r>
              <w:rPr>
                <w:rFonts w:ascii="Times New Roman" w:hAnsi="Times New Roman"/>
                <w:sz w:val="15"/>
              </w:rPr>
              <w:t xml:space="preserve">10.37</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LightGBM (hand)</w:t>
            </w:r>
          </w:p>
        </w:tc>
        <w:tc>
          <w:tcPr/>
          <w:p>
            <w:pPr>
              <w:pStyle w:val="Compact"/>
              <w:ind w:firstLine="0"/>
              <w:jc w:val="left"/>
            </w:pPr>
            <w:r>
              <w:rPr>
                <w:rFonts w:ascii="Times New Roman" w:hAnsi="Times New Roman"/>
                <w:sz w:val="15"/>
              </w:rPr>
              <w:t xml:space="preserve">213</w:t>
            </w:r>
          </w:p>
        </w:tc>
        <w:tc>
          <w:tcPr/>
          <w:p>
            <w:pPr>
              <w:pStyle w:val="Compact"/>
              <w:ind w:firstLine="0"/>
              <w:jc w:val="left"/>
            </w:pPr>
            <w:r>
              <w:rPr>
                <w:rFonts w:ascii="Times New Roman" w:hAnsi="Times New Roman"/>
                <w:sz w:val="15"/>
              </w:rPr>
              <w:t xml:space="preserve">61</w:t>
            </w:r>
          </w:p>
        </w:tc>
        <w:tc>
          <w:tcPr/>
          <w:p>
            <w:pPr>
              <w:pStyle w:val="Compact"/>
              <w:ind w:firstLine="0"/>
              <w:jc w:val="left"/>
            </w:pPr>
            <w:r>
              <w:rPr>
                <w:rFonts w:ascii="Times New Roman" w:hAnsi="Times New Roman"/>
                <w:sz w:val="15"/>
              </w:rPr>
              <w:t xml:space="preserve">10.92</w:t>
            </w:r>
          </w:p>
        </w:tc>
        <w:tc>
          <w:tcPr/>
          <w:p>
            <w:pPr>
              <w:pStyle w:val="Compact"/>
              <w:ind w:firstLine="0"/>
              <w:jc w:val="left"/>
            </w:pPr>
            <w:r>
              <w:rPr>
                <w:rFonts w:ascii="Times New Roman" w:hAnsi="Times New Roman"/>
                <w:sz w:val="15"/>
              </w:rPr>
              <w:t xml:space="preserve">8.91</w:t>
            </w:r>
          </w:p>
        </w:tc>
        <w:tc>
          <w:tcPr/>
          <w:p>
            <w:pPr>
              <w:pStyle w:val="Compact"/>
              <w:ind w:firstLine="0"/>
              <w:jc w:val="left"/>
            </w:pPr>
            <w:r>
              <w:rPr>
                <w:rFonts w:ascii="Times New Roman" w:hAnsi="Times New Roman"/>
                <w:sz w:val="15"/>
              </w:rPr>
              <w:t xml:space="preserve">0.626</w:t>
            </w:r>
          </w:p>
        </w:tc>
        <w:tc>
          <w:tcPr/>
          <w:p>
            <w:pPr>
              <w:pStyle w:val="Compact"/>
              <w:ind w:firstLine="0"/>
              <w:jc w:val="left"/>
            </w:pPr>
            <w:r>
              <w:rPr>
                <w:rFonts w:ascii="Times New Roman" w:hAnsi="Times New Roman"/>
                <w:sz w:val="15"/>
              </w:rPr>
              <w:t xml:space="preserve">21.27</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CNN (supervised)</w:t>
            </w:r>
          </w:p>
        </w:tc>
        <w:tc>
          <w:tcPr/>
          <w:p>
            <w:pPr>
              <w:pStyle w:val="Compact"/>
              <w:ind w:firstLine="0"/>
              <w:jc w:val="left"/>
            </w:pPr>
            <w:r>
              <w:rPr>
                <w:rFonts w:ascii="Times New Roman" w:hAnsi="Times New Roman"/>
                <w:sz w:val="15"/>
              </w:rPr>
              <w:t xml:space="preserve">213</w:t>
            </w:r>
          </w:p>
        </w:tc>
        <w:tc>
          <w:tcPr/>
          <w:p>
            <w:pPr>
              <w:pStyle w:val="Compact"/>
              <w:ind w:firstLine="0"/>
              <w:jc w:val="left"/>
            </w:pPr>
            <w:r>
              <w:rPr>
                <w:rFonts w:ascii="Times New Roman" w:hAnsi="Times New Roman"/>
                <w:sz w:val="15"/>
              </w:rPr>
              <w:t xml:space="preserve">61</w:t>
            </w:r>
          </w:p>
        </w:tc>
        <w:tc>
          <w:tcPr/>
          <w:p>
            <w:pPr>
              <w:pStyle w:val="Compact"/>
              <w:ind w:firstLine="0"/>
              <w:jc w:val="left"/>
            </w:pPr>
            <w:r>
              <w:rPr>
                <w:rFonts w:ascii="Times New Roman" w:hAnsi="Times New Roman"/>
                <w:sz w:val="15"/>
              </w:rPr>
              <w:t xml:space="preserve">11.86</w:t>
            </w:r>
          </w:p>
        </w:tc>
        <w:tc>
          <w:tcPr/>
          <w:p>
            <w:pPr>
              <w:pStyle w:val="Compact"/>
              <w:ind w:firstLine="0"/>
              <w:jc w:val="left"/>
            </w:pPr>
            <w:r>
              <w:rPr>
                <w:rFonts w:ascii="Times New Roman" w:hAnsi="Times New Roman"/>
                <w:sz w:val="15"/>
              </w:rPr>
              <w:t xml:space="preserve">9.56</w:t>
            </w:r>
          </w:p>
        </w:tc>
        <w:tc>
          <w:tcPr/>
          <w:p>
            <w:pPr>
              <w:pStyle w:val="Compact"/>
              <w:ind w:firstLine="0"/>
              <w:jc w:val="left"/>
            </w:pPr>
            <w:r>
              <w:rPr>
                <w:rFonts w:ascii="Times New Roman" w:hAnsi="Times New Roman"/>
                <w:sz w:val="15"/>
              </w:rPr>
              <w:t xml:space="preserve">0.610</w:t>
            </w:r>
          </w:p>
        </w:tc>
        <w:tc>
          <w:tcPr/>
          <w:p>
            <w:pPr>
              <w:pStyle w:val="Compact"/>
              <w:ind w:firstLine="0"/>
              <w:jc w:val="left"/>
            </w:pPr>
            <w:r>
              <w:rPr>
                <w:rFonts w:ascii="Times New Roman" w:hAnsi="Times New Roman"/>
                <w:sz w:val="15"/>
              </w:rPr>
              <w:t xml:space="preserve">23.39</w:t>
            </w:r>
          </w:p>
        </w:tc>
      </w:tr>
      <w:tr>
        <w:tc>
          <w:tcPr/>
          <w:p>
            <w:pPr>
              <w:pStyle w:val="Compact"/>
              <w:ind w:firstLine="0"/>
              <w:jc w:val="left"/>
            </w:pPr>
            <w:r>
              <w:rPr>
                <w:rFonts w:ascii="Times New Roman" w:hAnsi="Times New Roman"/>
                <w:sz w:val="15"/>
              </w:rPr>
              <w:t xml:space="preserve">SNL</w:t>
            </w:r>
          </w:p>
        </w:tc>
        <w:tc>
          <w:tcPr/>
          <w:p>
            <w:pPr>
              <w:pStyle w:val="Compact"/>
              <w:ind w:firstLine="0"/>
              <w:jc w:val="left"/>
            </w:pPr>
            <w:r>
              <w:rPr>
                <w:rFonts w:ascii="Times New Roman" w:hAnsi="Times New Roman"/>
                <w:sz w:val="15"/>
              </w:rPr>
              <w:t xml:space="preserve">CNN (SSL + fine-tune)</w:t>
            </w:r>
          </w:p>
        </w:tc>
        <w:tc>
          <w:tcPr/>
          <w:p>
            <w:pPr>
              <w:pStyle w:val="Compact"/>
              <w:ind w:firstLine="0"/>
              <w:jc w:val="left"/>
            </w:pPr>
            <w:r>
              <w:rPr>
                <w:rFonts w:ascii="Times New Roman" w:hAnsi="Times New Roman"/>
                <w:sz w:val="15"/>
              </w:rPr>
              <w:t xml:space="preserve">213</w:t>
            </w:r>
          </w:p>
        </w:tc>
        <w:tc>
          <w:tcPr/>
          <w:p>
            <w:pPr>
              <w:pStyle w:val="Compact"/>
              <w:ind w:firstLine="0"/>
              <w:jc w:val="left"/>
            </w:pPr>
            <w:r>
              <w:rPr>
                <w:rFonts w:ascii="Times New Roman" w:hAnsi="Times New Roman"/>
                <w:sz w:val="15"/>
              </w:rPr>
              <w:t xml:space="preserve">61</w:t>
            </w:r>
          </w:p>
        </w:tc>
        <w:tc>
          <w:tcPr/>
          <w:p>
            <w:pPr>
              <w:pStyle w:val="Compact"/>
              <w:ind w:firstLine="0"/>
              <w:jc w:val="left"/>
            </w:pPr>
            <w:r>
              <w:rPr>
                <w:rFonts w:ascii="Times New Roman" w:hAnsi="Times New Roman"/>
                <w:sz w:val="15"/>
              </w:rPr>
              <w:t xml:space="preserve">12.18</w:t>
            </w:r>
          </w:p>
        </w:tc>
        <w:tc>
          <w:tcPr/>
          <w:p>
            <w:pPr>
              <w:pStyle w:val="Compact"/>
              <w:ind w:firstLine="0"/>
              <w:jc w:val="left"/>
            </w:pPr>
            <w:r>
              <w:rPr>
                <w:rFonts w:ascii="Times New Roman" w:hAnsi="Times New Roman"/>
                <w:sz w:val="15"/>
              </w:rPr>
              <w:t xml:space="preserve">10.07</w:t>
            </w:r>
          </w:p>
        </w:tc>
        <w:tc>
          <w:tcPr/>
          <w:p>
            <w:pPr>
              <w:pStyle w:val="Compact"/>
              <w:ind w:firstLine="0"/>
              <w:jc w:val="left"/>
            </w:pPr>
            <w:r>
              <w:rPr>
                <w:rFonts w:ascii="Times New Roman" w:hAnsi="Times New Roman"/>
                <w:sz w:val="15"/>
              </w:rPr>
              <w:t xml:space="preserve">0.648</w:t>
            </w:r>
          </w:p>
        </w:tc>
        <w:tc>
          <w:tcPr/>
          <w:p>
            <w:pPr>
              <w:pStyle w:val="Compact"/>
              <w:ind w:firstLine="0"/>
              <w:jc w:val="left"/>
            </w:pPr>
            <w:r>
              <w:rPr>
                <w:rFonts w:ascii="Times New Roman" w:hAnsi="Times New Roman"/>
                <w:sz w:val="15"/>
              </w:rPr>
              <w:t xml:space="preserve">24.40</w:t>
            </w:r>
          </w:p>
        </w:tc>
      </w:tr>
    </w:tbl>
    <w:p>
      <w:pPr>
        <w:sectPr>
          <w:type w:val="continuous"/>
          <w:pgSz w:w="12240" w:h="15840"/>
          <w:pgMar w:top="1080" w:bottom="1440" w:left="900" w:right="900" w:header="720" w:footer="720" w:gutter="0"/>
          <w:cols w:num="1" w:space="360"/>
        </w:sectPr>
      </w:pPr>
    </w:p>
    <w:bookmarkStart w:id="72" w:name="fig11_cross_dataset"/>
    <w:p>
      <w:pPr>
        <w:pStyle w:val="CaptionedFigure"/>
      </w:pPr>
      <w:r>
        <w:drawing>
          <wp:inline>
            <wp:extent cx="3154680" cy="4052478"/>
            <wp:effectExtent b="0" l="0" r="0" t="0"/>
            <wp:docPr descr="Fig. 12. Leave-one-dataset-out RMSE (top) and 90 % interval coverage (bottom); the dashed line marks nominal coverage." title="" id="70" name="Picture"/>
            <a:graphic>
              <a:graphicData uri="http://schemas.openxmlformats.org/drawingml/2006/picture">
                <pic:pic>
                  <pic:nvPicPr>
                    <pic:cNvPr descr="../figures/fig11_cross_dataset.png" id="71" name="Picture"/>
                    <pic:cNvPicPr>
                      <a:picLocks noChangeArrowheads="1" noChangeAspect="1"/>
                    </pic:cNvPicPr>
                  </pic:nvPicPr>
                  <pic:blipFill>
                    <a:blip r:embed="rId69"/>
                    <a:stretch>
                      <a:fillRect/>
                    </a:stretch>
                  </pic:blipFill>
                  <pic:spPr bwMode="auto">
                    <a:xfrm>
                      <a:off x="0" y="0"/>
                      <a:ext cx="3154680" cy="4052478"/>
                    </a:xfrm>
                    <a:prstGeom prst="rect">
                      <a:avLst/>
                    </a:prstGeom>
                    <a:noFill/>
                    <a:ln w="9525">
                      <a:noFill/>
                      <a:headEnd/>
                      <a:tailEnd/>
                    </a:ln>
                  </pic:spPr>
                </pic:pic>
              </a:graphicData>
            </a:graphic>
          </wp:inline>
        </w:drawing>
      </w:r>
    </w:p>
    <w:p>
      <w:pPr>
        <w:pStyle w:val="ImageCaption"/>
      </w:pPr>
      <w:r>
        <w:t xml:space="preserve">Fig. 12. Leave-one-dataset-out RMSE (top) and 90 % interval coverage (bottom); the dashed line marks nominal coverage.</w:t>
      </w:r>
    </w:p>
    <w:bookmarkEnd w:id="72"/>
    <w:bookmarkEnd w:id="73"/>
    <w:bookmarkStart w:id="74" w:name="f.-computational-cost"/>
    <w:p>
      <w:pPr>
        <w:pStyle w:val="Heading2"/>
      </w:pPr>
      <w:r>
        <w:rPr>
          <w:rFonts w:ascii="Times New Roman" w:hAnsi="Times New Roman"/>
          <w:b w:val="0"/>
          <w:i/>
          <w:sz w:val="20"/>
        </w:rPr>
        <w:t xml:space="preserve">F. Computational Cost</w:t>
      </w:r>
    </w:p>
    <w:p>
      <w:pPr>
        <w:pStyle w:val="FirstParagraph"/>
      </w:pPr>
      <w:r>
        <w:t xml:space="preserve">On a 24-core CPU with 16 threads, training one LightGBM configuration (three quantile models) took 24–40 s, and training one encoder took about 6 min, plus pre-training. Inference latency was not measured and is not reported.</w:t>
      </w:r>
    </w:p>
    <w:bookmarkEnd w:id="74"/>
    <w:bookmarkEnd w:id="75"/>
    <w:bookmarkStart w:id="76" w:name="vii.-integration-into-smartev"/>
    <w:p>
      <w:pPr>
        <w:pStyle w:val="Heading1"/>
      </w:pPr>
      <w:r>
        <w:rPr>
          <w:rFonts w:ascii="Times New Roman" w:hAnsi="Times New Roman"/>
          <w:b w:val="0"/>
          <w:smallCaps/>
          <w:sz w:val="20"/>
        </w:rPr>
        <w:t xml:space="preserve">VII. Integration Into SmartEV</w:t>
      </w:r>
    </w:p>
    <w:p>
      <w:pPr>
        <w:pStyle w:val="FirstParagraph"/>
      </w:pPr>
      <w:r>
        <w:t xml:space="preserve">SmartEV (Fig. 1) provides charging-station discovery, slot reservation with Redis-based holds, server-verified payments, route planning and a battery dashboard. Its FastAPI service currently hosts heuristic recommendation and demand modules. The estimator studied here has been evaluated offline only. A prototype integration would receive each completed session (voltage and accumulated charge, chemistry, ambient temperature, C-rate) and return the median SOH and its 90 % interval. It would smooth successive estimates per vehicle, show range information with its uncertainty, and use the interval width to decide between an informational message (</w:t>
      </w:r>
      <w:r>
        <w:t xml:space="preserve">“estimate improving”</w:t>
      </w:r>
      <w:r>
        <w:t xml:space="preserve">) and an alert. Given the coverage loss under dataset shift (Section VI-E), recalibration on field data and continuous coverage monitoring would be prerequisites. The estimator does not guarantee battery safety or optimize charging.</w:t>
      </w:r>
    </w:p>
    <w:bookmarkEnd w:id="76"/>
    <w:bookmarkStart w:id="77" w:name="Xf0a46c65489b409fcc43747e33df480de4adfc0"/>
    <w:p>
      <w:pPr>
        <w:pStyle w:val="Heading1"/>
      </w:pPr>
      <w:r>
        <w:rPr>
          <w:rFonts w:ascii="Times New Roman" w:hAnsi="Times New Roman"/>
          <w:b w:val="0"/>
          <w:smallCaps/>
          <w:sz w:val="20"/>
        </w:rPr>
        <w:t xml:space="preserve">VIII. Limitations and Threats to Validity</w:t>
      </w:r>
    </w:p>
    <w:p>
      <w:pPr>
        <w:pStyle w:val="FirstParagraph"/>
      </w:pPr>
      <w:r>
        <w:t xml:space="preserve">Table VIII summarizes the main threats to validity and their implications for deployment.</w:t>
      </w:r>
    </w:p>
    <w:p>
      <w:pPr>
        <w:pStyle w:val="TableCaption"/>
        <w:keepNext/>
        <w:ind w:firstLine="0"/>
        <w:jc w:val="center"/>
      </w:pPr>
      <w:r>
        <w:rPr>
          <w:rFonts w:ascii="Times New Roman" w:hAnsi="Times New Roman"/>
          <w:smallCaps w:val="0"/>
          <w:sz w:val="16"/>
        </w:rPr>
        <w:t xml:space="preserve">TABLE VIII</w:t>
      </w:r>
    </w:p>
    <w:p>
      <w:pPr>
        <w:pStyle w:val="TableCaption"/>
      </w:pPr>
      <w:r>
        <w:t xml:space="preserve">LIMITATIONS AND DEPLOYMENT IMPLICATIONS</w:t>
      </w:r>
    </w:p>
    <w:tbl>
      <w:tblPr>
        <w:tblStyle w:val="Table"/>
        <w:tblW w:type="pct" w:w="5000"/>
        <w:jc w:val="center"/>
        <w:tblLayout w:type="fixed"/>
        <w:tblLook w:firstRow="1" w:lastRow="0" w:firstColumn="0" w:lastColumn="0" w:noHBand="0" w:noVBand="0" w:val="0020"/>
        <w:tblBorders>
          <w:top w:val="single" w:sz="4" w:color="000000"/>
          <w:bottom w:val="single" w:sz="4" w:color="000000"/>
          <w:insideH w:val="single" w:sz="4" w:color="000000"/>
        </w:tblBorders>
      </w:tblPr>
      <w:tblGrid>
        <w:gridCol w:w="2640"/>
        <w:gridCol w:w="2640"/>
        <w:gridCol w:w="2640"/>
      </w:tblGrid>
      <w:tr>
        <w:trPr>
          <w:tblHeader w:val="on"/>
        </w:trPr>
        <w:tc>
          <w:tcPr/>
          <w:p>
            <w:pPr>
              <w:pStyle w:val="Compact"/>
              <w:ind w:firstLine="0"/>
              <w:jc w:val="left"/>
            </w:pPr>
            <w:r>
              <w:rPr>
                <w:rFonts w:ascii="Times New Roman" w:hAnsi="Times New Roman"/>
                <w:b/>
                <w:sz w:val="15"/>
              </w:rPr>
              <w:t xml:space="preserve">Limitation</w:t>
            </w:r>
          </w:p>
        </w:tc>
        <w:tc>
          <w:tcPr/>
          <w:p>
            <w:pPr>
              <w:pStyle w:val="Compact"/>
              <w:ind w:firstLine="0"/>
              <w:jc w:val="left"/>
            </w:pPr>
            <w:r>
              <w:rPr>
                <w:rFonts w:ascii="Times New Roman" w:hAnsi="Times New Roman"/>
                <w:b/>
                <w:sz w:val="15"/>
              </w:rPr>
              <w:t xml:space="preserve">Effect</w:t>
            </w:r>
          </w:p>
        </w:tc>
        <w:tc>
          <w:tcPr/>
          <w:p>
            <w:pPr>
              <w:pStyle w:val="Compact"/>
              <w:ind w:firstLine="0"/>
              <w:jc w:val="left"/>
            </w:pPr>
            <w:r>
              <w:rPr>
                <w:rFonts w:ascii="Times New Roman" w:hAnsi="Times New Roman"/>
                <w:b/>
                <w:sz w:val="15"/>
              </w:rPr>
              <w:t xml:space="preserve">Addressed here</w:t>
            </w:r>
          </w:p>
        </w:tc>
      </w:tr>
      <w:tr>
        <w:tc>
          <w:tcPr/>
          <w:p>
            <w:pPr>
              <w:pStyle w:val="Compact"/>
              <w:ind w:firstLine="0"/>
              <w:jc w:val="left"/>
            </w:pPr>
            <w:r>
              <w:rPr>
                <w:rFonts w:ascii="Times New Roman" w:hAnsi="Times New Roman"/>
                <w:sz w:val="15"/>
              </w:rPr>
              <w:t xml:space="preserve">Laboratory cells (0.74–3.2 Ah), controlled protocols</w:t>
            </w:r>
          </w:p>
        </w:tc>
        <w:tc>
          <w:tcPr/>
          <w:p>
            <w:pPr>
              <w:pStyle w:val="Compact"/>
              <w:ind w:firstLine="0"/>
              <w:jc w:val="left"/>
            </w:pPr>
            <w:r>
              <w:rPr>
                <w:rFonts w:ascii="Times New Roman" w:hAnsi="Times New Roman"/>
                <w:sz w:val="15"/>
              </w:rPr>
              <w:t xml:space="preserve">No pack effects, cell imbalance or BMS current/SOC errors</w:t>
            </w:r>
          </w:p>
        </w:tc>
        <w:tc>
          <w:tcPr/>
          <w:p>
            <w:pPr>
              <w:pStyle w:val="Compact"/>
              <w:ind w:firstLine="0"/>
              <w:jc w:val="left"/>
            </w:pPr>
            <w:r>
              <w:rPr>
                <w:rFonts w:ascii="Times New Roman" w:hAnsi="Times New Roman"/>
                <w:sz w:val="15"/>
              </w:rPr>
              <w:t xml:space="preserve">No; requires fleet data</w:t>
            </w:r>
          </w:p>
        </w:tc>
      </w:tr>
      <w:tr>
        <w:tc>
          <w:tcPr/>
          <w:p>
            <w:pPr>
              <w:pStyle w:val="Compact"/>
              <w:ind w:firstLine="0"/>
              <w:jc w:val="left"/>
            </w:pPr>
            <w:r>
              <w:rPr>
                <w:rFonts w:ascii="Times New Roman" w:hAnsi="Times New Roman"/>
                <w:sz w:val="15"/>
              </w:rPr>
              <w:t xml:space="preserve">Sessions cropped from measured full charges</w:t>
            </w:r>
          </w:p>
        </w:tc>
        <w:tc>
          <w:tcPr/>
          <w:p>
            <w:pPr>
              <w:pStyle w:val="Compact"/>
              <w:ind w:firstLine="0"/>
              <w:jc w:val="left"/>
            </w:pPr>
            <w:r>
              <w:rPr>
                <w:rFonts w:ascii="Times New Roman" w:hAnsi="Times New Roman"/>
                <w:sz w:val="15"/>
              </w:rPr>
              <w:t xml:space="preserve">Real sessions include rest, temperature and current transients</w:t>
            </w:r>
          </w:p>
        </w:tc>
        <w:tc>
          <w:tcPr/>
          <w:p>
            <w:pPr>
              <w:pStyle w:val="Compact"/>
              <w:ind w:firstLine="0"/>
              <w:jc w:val="left"/>
            </w:pPr>
            <w:r>
              <w:rPr>
                <w:rFonts w:ascii="Times New Roman" w:hAnsi="Times New Roman"/>
                <w:sz w:val="15"/>
              </w:rPr>
              <w:t xml:space="preserve">Partly (random start and width)</w:t>
            </w:r>
          </w:p>
        </w:tc>
      </w:tr>
      <w:tr>
        <w:tc>
          <w:tcPr/>
          <w:p>
            <w:pPr>
              <w:pStyle w:val="Compact"/>
              <w:ind w:firstLine="0"/>
              <w:jc w:val="left"/>
            </w:pPr>
            <w:r>
              <w:rPr>
                <w:rFonts w:ascii="Times New Roman" w:hAnsi="Times New Roman"/>
                <w:sz w:val="15"/>
              </w:rPr>
              <w:t xml:space="preserve">LFP dominates (264 of 361 cells)</w:t>
            </w:r>
          </w:p>
        </w:tc>
        <w:tc>
          <w:tcPr/>
          <w:p>
            <w:pPr>
              <w:pStyle w:val="Compact"/>
              <w:ind w:firstLine="0"/>
              <w:jc w:val="left"/>
            </w:pPr>
            <w:r>
              <w:rPr>
                <w:rFonts w:ascii="Times New Roman" w:hAnsi="Times New Roman"/>
                <w:sz w:val="15"/>
              </w:rPr>
              <w:t xml:space="preserve">Aggregate metrics weighted towards LFP</w:t>
            </w:r>
          </w:p>
        </w:tc>
        <w:tc>
          <w:tcPr/>
          <w:p>
            <w:pPr>
              <w:pStyle w:val="Compact"/>
              <w:ind w:firstLine="0"/>
              <w:jc w:val="left"/>
            </w:pPr>
            <w:r>
              <w:rPr>
                <w:rFonts w:ascii="Times New Roman" w:hAnsi="Times New Roman"/>
                <w:sz w:val="15"/>
              </w:rPr>
              <w:t xml:space="preserve">Per-source results reported</w:t>
            </w:r>
          </w:p>
        </w:tc>
      </w:tr>
      <w:tr>
        <w:tc>
          <w:tcPr/>
          <w:p>
            <w:pPr>
              <w:pStyle w:val="Compact"/>
              <w:ind w:firstLine="0"/>
              <w:jc w:val="left"/>
            </w:pPr>
            <w:r>
              <w:rPr>
                <w:rFonts w:ascii="Times New Roman" w:hAnsi="Times New Roman"/>
                <w:sz w:val="15"/>
              </w:rPr>
              <w:t xml:space="preserve">Dependent sessions within a cell</w:t>
            </w:r>
          </w:p>
        </w:tc>
        <w:tc>
          <w:tcPr/>
          <w:p>
            <w:pPr>
              <w:pStyle w:val="Compact"/>
              <w:ind w:firstLine="0"/>
              <w:jc w:val="left"/>
            </w:pPr>
            <w:r>
              <w:rPr>
                <w:rFonts w:ascii="Times New Roman" w:hAnsi="Times New Roman"/>
                <w:sz w:val="15"/>
              </w:rPr>
              <w:t xml:space="preserve">CQR exchangeability holds only approximately</w:t>
            </w:r>
          </w:p>
        </w:tc>
        <w:tc>
          <w:tcPr/>
          <w:p>
            <w:pPr>
              <w:pStyle w:val="Compact"/>
              <w:ind w:firstLine="0"/>
              <w:jc w:val="left"/>
            </w:pPr>
            <w:r>
              <w:rPr>
                <w:rFonts w:ascii="Times New Roman" w:hAnsi="Times New Roman"/>
                <w:sz w:val="15"/>
              </w:rPr>
              <w:t xml:space="preserve">Coverage measured per source and cell</w:t>
            </w:r>
          </w:p>
        </w:tc>
      </w:tr>
      <w:tr>
        <w:tc>
          <w:tcPr/>
          <w:p>
            <w:pPr>
              <w:pStyle w:val="Compact"/>
              <w:ind w:firstLine="0"/>
              <w:jc w:val="left"/>
            </w:pPr>
            <w:r>
              <w:rPr>
                <w:rFonts w:ascii="Times New Roman" w:hAnsi="Times New Roman"/>
                <w:sz w:val="15"/>
              </w:rPr>
              <w:t xml:space="preserve">Dataset shift</w:t>
            </w:r>
          </w:p>
        </w:tc>
        <w:tc>
          <w:tcPr/>
          <w:p>
            <w:pPr>
              <w:pStyle w:val="Compact"/>
              <w:ind w:firstLine="0"/>
              <w:jc w:val="left"/>
            </w:pPr>
            <w:r>
              <w:rPr>
                <w:rFonts w:ascii="Times New Roman" w:hAnsi="Times New Roman"/>
                <w:sz w:val="15"/>
              </w:rPr>
              <w:t xml:space="preserve">Coverage falls on an unseen dataset</w:t>
            </w:r>
          </w:p>
        </w:tc>
        <w:tc>
          <w:tcPr/>
          <w:p>
            <w:pPr>
              <w:pStyle w:val="Compact"/>
              <w:ind w:firstLine="0"/>
              <w:jc w:val="left"/>
            </w:pPr>
            <w:r>
              <w:rPr>
                <w:rFonts w:ascii="Times New Roman" w:hAnsi="Times New Roman"/>
                <w:sz w:val="15"/>
              </w:rPr>
              <w:t xml:space="preserve">Measured (leave-one-dataset-out)</w:t>
            </w:r>
          </w:p>
        </w:tc>
      </w:tr>
      <w:tr>
        <w:tc>
          <w:tcPr/>
          <w:p>
            <w:pPr>
              <w:pStyle w:val="Compact"/>
              <w:ind w:firstLine="0"/>
              <w:jc w:val="left"/>
            </w:pPr>
            <w:r>
              <w:rPr>
                <w:rFonts w:ascii="Times New Roman" w:hAnsi="Times New Roman"/>
                <w:sz w:val="15"/>
              </w:rPr>
              <w:t xml:space="preserve">Encoder training budget (25 epochs, CPU)</w:t>
            </w:r>
          </w:p>
        </w:tc>
        <w:tc>
          <w:tcPr/>
          <w:p>
            <w:pPr>
              <w:pStyle w:val="Compact"/>
              <w:ind w:firstLine="0"/>
              <w:jc w:val="left"/>
            </w:pPr>
            <w:r>
              <w:rPr>
                <w:rFonts w:ascii="Times New Roman" w:hAnsi="Times New Roman"/>
                <w:sz w:val="15"/>
              </w:rPr>
              <w:t xml:space="preserve">Encoders may be under-trained</w:t>
            </w:r>
          </w:p>
        </w:tc>
        <w:tc>
          <w:tcPr/>
          <w:p>
            <w:pPr>
              <w:pStyle w:val="Compact"/>
              <w:ind w:firstLine="0"/>
              <w:jc w:val="left"/>
            </w:pPr>
            <w:r>
              <w:rPr>
                <w:rFonts w:ascii="Times New Roman" w:hAnsi="Times New Roman"/>
                <w:sz w:val="15"/>
              </w:rPr>
              <w:t xml:space="preserve">Disclosed (Fig. 8)</w:t>
            </w:r>
          </w:p>
        </w:tc>
      </w:tr>
      <w:tr>
        <w:tc>
          <w:tcPr/>
          <w:p>
            <w:pPr>
              <w:pStyle w:val="Compact"/>
              <w:ind w:firstLine="0"/>
              <w:jc w:val="left"/>
            </w:pPr>
            <w:r>
              <w:rPr>
                <w:rFonts w:ascii="Times New Roman" w:hAnsi="Times New Roman"/>
                <w:sz w:val="15"/>
              </w:rPr>
              <w:t xml:space="preserve">Three seeds; limited hyperparameter search</w:t>
            </w:r>
          </w:p>
        </w:tc>
        <w:tc>
          <w:tcPr/>
          <w:p>
            <w:pPr>
              <w:pStyle w:val="Compact"/>
              <w:ind w:firstLine="0"/>
              <w:jc w:val="left"/>
            </w:pPr>
            <w:r>
              <w:rPr>
                <w:rFonts w:ascii="Times New Roman" w:hAnsi="Times New Roman"/>
                <w:sz w:val="15"/>
              </w:rPr>
              <w:t xml:space="preserve">Coarse variance estimates; results are not an upper bound</w:t>
            </w:r>
          </w:p>
        </w:tc>
        <w:tc>
          <w:tcPr/>
          <w:p>
            <w:pPr>
              <w:pStyle w:val="Compact"/>
              <w:ind w:firstLine="0"/>
              <w:jc w:val="left"/>
            </w:pPr>
            <w:r>
              <w:rPr>
                <w:rFonts w:ascii="Times New Roman" w:hAnsi="Times New Roman"/>
                <w:sz w:val="15"/>
              </w:rPr>
              <w:t xml:space="preserve">Disclosed</w:t>
            </w:r>
          </w:p>
        </w:tc>
      </w:tr>
      <w:tr>
        <w:tc>
          <w:tcPr/>
          <w:p>
            <w:pPr>
              <w:pStyle w:val="Compact"/>
              <w:ind w:firstLine="0"/>
              <w:jc w:val="left"/>
            </w:pPr>
            <w:r>
              <w:rPr>
                <w:rFonts w:ascii="Times New Roman" w:hAnsi="Times New Roman"/>
                <w:sz w:val="15"/>
              </w:rPr>
              <w:t xml:space="preserve">No field SOH labels</w:t>
            </w:r>
          </w:p>
        </w:tc>
        <w:tc>
          <w:tcPr/>
          <w:p>
            <w:pPr>
              <w:pStyle w:val="Compact"/>
              <w:ind w:firstLine="0"/>
              <w:jc w:val="left"/>
            </w:pPr>
            <w:r>
              <w:rPr>
                <w:rFonts w:ascii="Times New Roman" w:hAnsi="Times New Roman"/>
                <w:sz w:val="15"/>
              </w:rPr>
              <w:t xml:space="preserve">Field accuracy unknown</w:t>
            </w:r>
          </w:p>
        </w:tc>
        <w:tc>
          <w:tcPr/>
          <w:p>
            <w:pPr>
              <w:pStyle w:val="Compact"/>
              <w:ind w:firstLine="0"/>
              <w:jc w:val="left"/>
            </w:pPr>
            <w:r>
              <w:rPr>
                <w:rFonts w:ascii="Times New Roman" w:hAnsi="Times New Roman"/>
                <w:sz w:val="15"/>
              </w:rPr>
              <w:t xml:space="preserve">No</w:t>
            </w:r>
          </w:p>
        </w:tc>
      </w:tr>
    </w:tbl>
    <w:bookmarkEnd w:id="77"/>
    <w:bookmarkStart w:id="78" w:name="ix.-conclusion"/>
    <w:p>
      <w:pPr>
        <w:pStyle w:val="Heading1"/>
      </w:pPr>
      <w:r>
        <w:rPr>
          <w:rFonts w:ascii="Times New Roman" w:hAnsi="Times New Roman"/>
          <w:b w:val="0"/>
          <w:smallCaps/>
          <w:sz w:val="20"/>
        </w:rPr>
        <w:t xml:space="preserve">IX. Conclusion</w:t>
      </w:r>
    </w:p>
    <w:p>
      <w:pPr>
        <w:pStyle w:val="FirstParagraph"/>
      </w:pPr>
      <w:r>
        <w:t xml:space="preserve">From one arbitrary partial charging session, represented only by BMS-observable voltage and accumulated charge, SOH could be estimated on unseen laboratory cells with 4.89 ± 0.19 % RMSE by gradient-boosted trees on physically motivated session features. A dual-view convolutional encoder was about 0.9 points worse, and self-supervised masked-curve pre-training did not change its accuracy measurably, even with 10 % labels. Longer sessions that cover the mid-SOC region were the most informative. Split CQR gave near-nominal marginal coverage (0.895) on unseen cells of seen datasets, but coverage varied widely between datasets and individual cells. When a whole dataset was held out, no model generalized (</w:t>
      </w:r>
      <m:oMath>
        <m:sSup>
          <m:e>
            <m:r>
              <m:t>R</m:t>
            </m:r>
          </m:e>
          <m:sup>
            <m:r>
              <m:t>2</m:t>
            </m:r>
          </m:sup>
        </m:sSup>
        <m:r>
          <m:rPr>
            <m:sty m:val="p"/>
          </m:rPr>
          <m:t>≤</m:t>
        </m:r>
        <m:r>
          <m:t>0</m:t>
        </m:r>
      </m:oMath>
      <w:r>
        <w:t xml:space="preserve">) and coverage fell to 0.21–0.95 depending on the dataset. These are negative or qualified findings for H1–H3, and they suggest two priorities. First, partial-session SOH estimators should be benchmarked with cell- and dataset-separated protocols against strong feature-based baselines. Second, interval methods for dependent, shifted battery data, such as group- or domain-conditional conformal prediction, need further work. Future work will test longer encoder training and alternative pre-training objectives, physics-constrained degradation forecasting with explicitly enforced monotonicity [18], and field validation with fleet charging sessions.</w:t>
      </w:r>
    </w:p>
    <w:bookmarkEnd w:id="78"/>
    <w:bookmarkStart w:id="79" w:name="references"/>
    <w:p>
      <w:pPr>
        <w:pStyle w:val="Heading1"/>
      </w:pPr>
      <w:r>
        <w:rPr>
          <w:rFonts w:ascii="Times New Roman" w:hAnsi="Times New Roman"/>
          <w:b w:val="0"/>
          <w:smallCaps/>
          <w:sz w:val="20"/>
        </w:rPr>
        <w:t>References</w:t>
      </w:r>
    </w:p>
    <w:p>
      <w:pPr>
        <w:pStyle w:val="FirstParagraph"/>
        <w:ind w:hanging="360" w:left="360"/>
        <w:jc w:val="left"/>
      </w:pPr>
      <w:r>
        <w:rPr>
          <w:rFonts w:ascii="Times New Roman" w:hAnsi="Times New Roman"/>
          <w:sz w:val="16"/>
        </w:rPr>
        <w:t xml:space="preserve">[1] B. Chinomona, C. Chung, L.-K. Chang, W.-C. Su, and M.-C. Tsai,</w:t>
      </w:r>
      <w:r>
        <w:rPr>
          <w:rFonts w:ascii="Times New Roman" w:hAnsi="Times New Roman"/>
          <w:sz w:val="16"/>
        </w:rPr>
        <w:t xml:space="preserve"> </w:t>
      </w:r>
      <w:r>
        <w:rPr>
          <w:rFonts w:ascii="Times New Roman" w:hAnsi="Times New Roman"/>
          <w:sz w:val="16"/>
        </w:rPr>
        <w:t xml:space="preserve">“Long short-term memory approach to estimate battery remaining useful life using partial data,”</w:t>
      </w:r>
      <w:r>
        <w:rPr>
          <w:rFonts w:ascii="Times New Roman" w:hAnsi="Times New Roman"/>
          <w:sz w:val="16"/>
        </w:rPr>
        <w:t xml:space="preserve"> </w:t>
      </w:r>
      <w:r>
        <w:rPr>
          <w:rFonts w:ascii="Times New Roman" w:hAnsi="Times New Roman"/>
          <w:i/>
          <w:iCs/>
          <w:sz w:val="16"/>
        </w:rPr>
        <w:t xml:space="preserve">IEEE Access</w:t>
      </w:r>
      <w:r>
        <w:rPr>
          <w:rFonts w:ascii="Times New Roman" w:hAnsi="Times New Roman"/>
          <w:sz w:val="16"/>
        </w:rPr>
        <w:t xml:space="preserve">, vol. 8, pp. 165419–165431, 2020, doi: 10.1109/ACCESS.2020.3022505.</w:t>
      </w:r>
    </w:p>
    <w:p>
      <w:pPr>
        <w:pStyle w:val="BodyText"/>
        <w:ind w:hanging="360" w:left="360"/>
        <w:jc w:val="left"/>
      </w:pPr>
      <w:r>
        <w:rPr>
          <w:rFonts w:ascii="Times New Roman" w:hAnsi="Times New Roman"/>
          <w:sz w:val="16"/>
        </w:rPr>
        <w:t xml:space="preserve">[2] G. Lyu, H. Zhang, and Q. Miao,</w:t>
      </w:r>
      <w:r>
        <w:rPr>
          <w:rFonts w:ascii="Times New Roman" w:hAnsi="Times New Roman"/>
          <w:sz w:val="16"/>
        </w:rPr>
        <w:t xml:space="preserve"> </w:t>
      </w:r>
      <w:r>
        <w:rPr>
          <w:rFonts w:ascii="Times New Roman" w:hAnsi="Times New Roman"/>
          <w:sz w:val="16"/>
        </w:rPr>
        <w:t xml:space="preserve">“Parallel state fusion LSTM-based early-cycle stage lithium-ion battery RUL prediction under Lebesgue sampling framework,”</w:t>
      </w:r>
      <w:r>
        <w:rPr>
          <w:rFonts w:ascii="Times New Roman" w:hAnsi="Times New Roman"/>
          <w:sz w:val="16"/>
        </w:rPr>
        <w:t xml:space="preserve"> </w:t>
      </w:r>
      <w:r>
        <w:rPr>
          <w:rFonts w:ascii="Times New Roman" w:hAnsi="Times New Roman"/>
          <w:i/>
          <w:iCs/>
          <w:sz w:val="16"/>
        </w:rPr>
        <w:t xml:space="preserve">Reliab. Eng. Syst. Saf.</w:t>
      </w:r>
      <w:r>
        <w:rPr>
          <w:rFonts w:ascii="Times New Roman" w:hAnsi="Times New Roman"/>
          <w:sz w:val="16"/>
        </w:rPr>
        <w:t xml:space="preserve">, vol. 236, Art. no. 109315, 2023, doi: 10.1016/j.ress.2023.109315.</w:t>
      </w:r>
    </w:p>
    <w:p>
      <w:pPr>
        <w:pStyle w:val="BodyText"/>
        <w:ind w:hanging="360" w:left="360"/>
        <w:jc w:val="left"/>
      </w:pPr>
      <w:r>
        <w:rPr>
          <w:rFonts w:ascii="Times New Roman" w:hAnsi="Times New Roman"/>
          <w:sz w:val="16"/>
        </w:rPr>
        <w:t xml:space="preserve">[3] K. Liu, Y. Shang, Q. Ouyang, and W. D. Widanage,</w:t>
      </w:r>
      <w:r>
        <w:rPr>
          <w:rFonts w:ascii="Times New Roman" w:hAnsi="Times New Roman"/>
          <w:sz w:val="16"/>
        </w:rPr>
        <w:t xml:space="preserve"> </w:t>
      </w:r>
      <w:r>
        <w:rPr>
          <w:rFonts w:ascii="Times New Roman" w:hAnsi="Times New Roman"/>
          <w:sz w:val="16"/>
        </w:rPr>
        <w:t xml:space="preserve">“A data-driven approach with uncertainty quantification for predicting future capacities and remaining useful life of lithium-ion battery,”</w:t>
      </w:r>
      <w:r>
        <w:rPr>
          <w:rFonts w:ascii="Times New Roman" w:hAnsi="Times New Roman"/>
          <w:sz w:val="16"/>
        </w:rPr>
        <w:t xml:space="preserve"> </w:t>
      </w:r>
      <w:r>
        <w:rPr>
          <w:rFonts w:ascii="Times New Roman" w:hAnsi="Times New Roman"/>
          <w:i/>
          <w:iCs/>
          <w:sz w:val="16"/>
        </w:rPr>
        <w:t xml:space="preserve">IEEE Trans. Ind. Electron.</w:t>
      </w:r>
      <w:r>
        <w:rPr>
          <w:rFonts w:ascii="Times New Roman" w:hAnsi="Times New Roman"/>
          <w:sz w:val="16"/>
        </w:rPr>
        <w:t xml:space="preserve">, vol. 68, no. 4, pp. 3170–3180, Apr. 2021, doi: 10.1109/TIE.2020.2973876.</w:t>
      </w:r>
    </w:p>
    <w:p>
      <w:pPr>
        <w:pStyle w:val="BodyText"/>
        <w:ind w:hanging="360" w:left="360"/>
        <w:jc w:val="left"/>
      </w:pPr>
      <w:r>
        <w:rPr>
          <w:rFonts w:ascii="Times New Roman" w:hAnsi="Times New Roman"/>
          <w:sz w:val="16"/>
        </w:rPr>
        <w:t xml:space="preserve">[4] J. Zhu, T. Tan, L. Wu, and H. Yuan,</w:t>
      </w:r>
      <w:r>
        <w:rPr>
          <w:rFonts w:ascii="Times New Roman" w:hAnsi="Times New Roman"/>
          <w:sz w:val="16"/>
        </w:rPr>
        <w:t xml:space="preserve"> </w:t>
      </w:r>
      <w:r>
        <w:rPr>
          <w:rFonts w:ascii="Times New Roman" w:hAnsi="Times New Roman"/>
          <w:sz w:val="16"/>
        </w:rPr>
        <w:t xml:space="preserve">“RUL prediction of lithium-ion battery based on improved DGWO-ELM method in a random discharge rates environment,”</w:t>
      </w:r>
      <w:r>
        <w:rPr>
          <w:rFonts w:ascii="Times New Roman" w:hAnsi="Times New Roman"/>
          <w:sz w:val="16"/>
        </w:rPr>
        <w:t xml:space="preserve"> </w:t>
      </w:r>
      <w:r>
        <w:rPr>
          <w:rFonts w:ascii="Times New Roman" w:hAnsi="Times New Roman"/>
          <w:i/>
          <w:iCs/>
          <w:sz w:val="16"/>
        </w:rPr>
        <w:t xml:space="preserve">IEEE Access</w:t>
      </w:r>
      <w:r>
        <w:rPr>
          <w:rFonts w:ascii="Times New Roman" w:hAnsi="Times New Roman"/>
          <w:sz w:val="16"/>
        </w:rPr>
        <w:t xml:space="preserve">, vol. 7, pp. 125176–125187, 2019, doi: 10.1109/ACCESS.2019.2936822.</w:t>
      </w:r>
    </w:p>
    <w:p>
      <w:pPr>
        <w:pStyle w:val="BodyText"/>
        <w:ind w:hanging="360" w:left="360"/>
        <w:jc w:val="left"/>
      </w:pPr>
      <w:r>
        <w:rPr>
          <w:rFonts w:ascii="Times New Roman" w:hAnsi="Times New Roman"/>
          <w:sz w:val="16"/>
        </w:rPr>
        <w:t xml:space="preserve">[5] Z. Kong, S. Li, and C. Wang,</w:t>
      </w:r>
      <w:r>
        <w:rPr>
          <w:rFonts w:ascii="Times New Roman" w:hAnsi="Times New Roman"/>
          <w:sz w:val="16"/>
        </w:rPr>
        <w:t xml:space="preserve"> </w:t>
      </w:r>
      <w:r>
        <w:rPr>
          <w:rFonts w:ascii="Times New Roman" w:hAnsi="Times New Roman"/>
          <w:sz w:val="16"/>
        </w:rPr>
        <w:t xml:space="preserve">“Estimation and uncertainty quantification of remaining useful life (RUL) of electric vehicle batteries using a temporal deep model,”</w:t>
      </w:r>
      <w:r>
        <w:rPr>
          <w:rFonts w:ascii="Times New Roman" w:hAnsi="Times New Roman"/>
          <w:sz w:val="16"/>
        </w:rPr>
        <w:t xml:space="preserve"> </w:t>
      </w:r>
      <w:r>
        <w:rPr>
          <w:rFonts w:ascii="Times New Roman" w:hAnsi="Times New Roman"/>
          <w:i/>
          <w:iCs/>
          <w:sz w:val="16"/>
        </w:rPr>
        <w:t xml:space="preserve">Sci. Rep.</w:t>
      </w:r>
      <w:r>
        <w:rPr>
          <w:rFonts w:ascii="Times New Roman" w:hAnsi="Times New Roman"/>
          <w:sz w:val="16"/>
        </w:rPr>
        <w:t xml:space="preserve">, vol. 16, Art. no. 18704, 2026, doi: 10.1038/s41598-026-54385-4.</w:t>
      </w:r>
    </w:p>
    <w:p>
      <w:pPr>
        <w:pStyle w:val="BodyText"/>
        <w:ind w:hanging="360" w:left="360"/>
        <w:jc w:val="left"/>
      </w:pPr>
      <w:r>
        <w:rPr>
          <w:rFonts w:ascii="Times New Roman" w:hAnsi="Times New Roman"/>
          <w:sz w:val="16"/>
        </w:rPr>
        <w:t xml:space="preserve">[6] Y. Wei and D. Wu,</w:t>
      </w:r>
      <w:r>
        <w:rPr>
          <w:rFonts w:ascii="Times New Roman" w:hAnsi="Times New Roman"/>
          <w:sz w:val="16"/>
        </w:rPr>
        <w:t xml:space="preserve"> </w:t>
      </w:r>
      <w:r>
        <w:rPr>
          <w:rFonts w:ascii="Times New Roman" w:hAnsi="Times New Roman"/>
          <w:sz w:val="16"/>
        </w:rPr>
        <w:t xml:space="preserve">“Prediction of state of health and remaining useful life of lithium-ion battery using graph convolutional network with dual attention mechanisms,”</w:t>
      </w:r>
      <w:r>
        <w:rPr>
          <w:rFonts w:ascii="Times New Roman" w:hAnsi="Times New Roman"/>
          <w:sz w:val="16"/>
        </w:rPr>
        <w:t xml:space="preserve"> </w:t>
      </w:r>
      <w:r>
        <w:rPr>
          <w:rFonts w:ascii="Times New Roman" w:hAnsi="Times New Roman"/>
          <w:i/>
          <w:iCs/>
          <w:sz w:val="16"/>
        </w:rPr>
        <w:t xml:space="preserve">Reliab. Eng. Syst. Saf.</w:t>
      </w:r>
      <w:r>
        <w:rPr>
          <w:rFonts w:ascii="Times New Roman" w:hAnsi="Times New Roman"/>
          <w:sz w:val="16"/>
        </w:rPr>
        <w:t xml:space="preserve">, vol. 230, Art. no. 108947, 2023, doi: 10.1016/j.ress.2022.108947.</w:t>
      </w:r>
    </w:p>
    <w:p>
      <w:pPr>
        <w:pStyle w:val="BodyText"/>
        <w:ind w:hanging="360" w:left="360"/>
        <w:jc w:val="left"/>
      </w:pPr>
      <w:r>
        <w:rPr>
          <w:rFonts w:ascii="Times New Roman" w:hAnsi="Times New Roman"/>
          <w:sz w:val="16"/>
        </w:rPr>
        <w:t xml:space="preserve">[7] Z. Wang, N. Liu, C. Chen, and Y. Guo,</w:t>
      </w:r>
      <w:r>
        <w:rPr>
          <w:rFonts w:ascii="Times New Roman" w:hAnsi="Times New Roman"/>
          <w:sz w:val="16"/>
        </w:rPr>
        <w:t xml:space="preserve"> </w:t>
      </w:r>
      <w:r>
        <w:rPr>
          <w:rFonts w:ascii="Times New Roman" w:hAnsi="Times New Roman"/>
          <w:sz w:val="16"/>
        </w:rPr>
        <w:t xml:space="preserve">“Adaptive self-attention LSTM for RUL prediction of lithium-ion batteries,”</w:t>
      </w:r>
      <w:r>
        <w:rPr>
          <w:rFonts w:ascii="Times New Roman" w:hAnsi="Times New Roman"/>
          <w:sz w:val="16"/>
        </w:rPr>
        <w:t xml:space="preserve"> </w:t>
      </w:r>
      <w:r>
        <w:rPr>
          <w:rFonts w:ascii="Times New Roman" w:hAnsi="Times New Roman"/>
          <w:i/>
          <w:iCs/>
          <w:sz w:val="16"/>
        </w:rPr>
        <w:t xml:space="preserve">Inf. Sci.</w:t>
      </w:r>
      <w:r>
        <w:rPr>
          <w:rFonts w:ascii="Times New Roman" w:hAnsi="Times New Roman"/>
          <w:sz w:val="16"/>
        </w:rPr>
        <w:t xml:space="preserve">, vol. 635, pp. 398–413, 2023, doi: 10.1016/j.ins.2023.01.100.</w:t>
      </w:r>
    </w:p>
    <w:p>
      <w:pPr>
        <w:pStyle w:val="BodyText"/>
        <w:ind w:hanging="360" w:left="360"/>
        <w:jc w:val="left"/>
      </w:pPr>
      <w:r>
        <w:rPr>
          <w:rFonts w:ascii="Times New Roman" w:hAnsi="Times New Roman"/>
          <w:sz w:val="16"/>
        </w:rPr>
        <w:t xml:space="preserve">[8] K. A. Severson</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“Data-driven prediction of battery cycle life before capacity degradation,”</w:t>
      </w:r>
      <w:r>
        <w:rPr>
          <w:rFonts w:ascii="Times New Roman" w:hAnsi="Times New Roman"/>
          <w:sz w:val="16"/>
        </w:rPr>
        <w:t xml:space="preserve"> </w:t>
      </w:r>
      <w:r>
        <w:rPr>
          <w:rFonts w:ascii="Times New Roman" w:hAnsi="Times New Roman"/>
          <w:i/>
          <w:iCs/>
          <w:sz w:val="16"/>
        </w:rPr>
        <w:t xml:space="preserve">Nat. Energy</w:t>
      </w:r>
      <w:r>
        <w:rPr>
          <w:rFonts w:ascii="Times New Roman" w:hAnsi="Times New Roman"/>
          <w:sz w:val="16"/>
        </w:rPr>
        <w:t xml:space="preserve">, vol. 4, pp. 383–391, 2019, doi: 10.1038/s41560-019-0356-8.</w:t>
      </w:r>
    </w:p>
    <w:p>
      <w:pPr>
        <w:pStyle w:val="BodyText"/>
        <w:ind w:hanging="360" w:left="360"/>
        <w:jc w:val="left"/>
      </w:pPr>
      <w:r>
        <w:rPr>
          <w:rFonts w:ascii="Times New Roman" w:hAnsi="Times New Roman"/>
          <w:sz w:val="16"/>
        </w:rPr>
        <w:t xml:space="preserve">[9] B. Saha and K. Goebel,</w:t>
      </w:r>
      <w:r>
        <w:rPr>
          <w:rFonts w:ascii="Times New Roman" w:hAnsi="Times New Roman"/>
          <w:sz w:val="16"/>
        </w:rPr>
        <w:t xml:space="preserve"> </w:t>
      </w:r>
      <w:r>
        <w:rPr>
          <w:rFonts w:ascii="Times New Roman" w:hAnsi="Times New Roman"/>
          <w:sz w:val="16"/>
        </w:rPr>
        <w:t xml:space="preserve">“Battery data set,”</w:t>
      </w:r>
      <w:r>
        <w:rPr>
          <w:rFonts w:ascii="Times New Roman" w:hAnsi="Times New Roman"/>
          <w:sz w:val="16"/>
        </w:rPr>
        <w:t xml:space="preserve"> </w:t>
      </w:r>
      <w:r>
        <w:rPr>
          <w:rFonts w:ascii="Times New Roman" w:hAnsi="Times New Roman"/>
          <w:sz w:val="16"/>
        </w:rPr>
        <w:t xml:space="preserve">NASA Ames Prognostics Data Repository, NASA Ames Research Center, Moffett Field, CA, USA, 2007.</w:t>
      </w:r>
    </w:p>
    <w:p>
      <w:pPr>
        <w:pStyle w:val="BodyText"/>
        <w:ind w:hanging="360" w:left="360"/>
        <w:jc w:val="left"/>
      </w:pPr>
      <w:r>
        <w:rPr>
          <w:rFonts w:ascii="Times New Roman" w:hAnsi="Times New Roman"/>
          <w:sz w:val="16"/>
        </w:rPr>
        <w:t xml:space="preserve">[10] Y. Xing, E. W. M. Ma, K.-L. Tsui, and M. Pecht,</w:t>
      </w:r>
      <w:r>
        <w:rPr>
          <w:rFonts w:ascii="Times New Roman" w:hAnsi="Times New Roman"/>
          <w:sz w:val="16"/>
        </w:rPr>
        <w:t xml:space="preserve"> </w:t>
      </w:r>
      <w:r>
        <w:rPr>
          <w:rFonts w:ascii="Times New Roman" w:hAnsi="Times New Roman"/>
          <w:sz w:val="16"/>
        </w:rPr>
        <w:t xml:space="preserve">“An ensemble model for predicting the remaining useful performance of lithium-ion batteries,”</w:t>
      </w:r>
      <w:r>
        <w:rPr>
          <w:rFonts w:ascii="Times New Roman" w:hAnsi="Times New Roman"/>
          <w:sz w:val="16"/>
        </w:rPr>
        <w:t xml:space="preserve"> </w:t>
      </w:r>
      <w:r>
        <w:rPr>
          <w:rFonts w:ascii="Times New Roman" w:hAnsi="Times New Roman"/>
          <w:i/>
          <w:iCs/>
          <w:sz w:val="16"/>
        </w:rPr>
        <w:t xml:space="preserve">Microelectron. Reliab.</w:t>
      </w:r>
      <w:r>
        <w:rPr>
          <w:rFonts w:ascii="Times New Roman" w:hAnsi="Times New Roman"/>
          <w:sz w:val="16"/>
        </w:rPr>
        <w:t xml:space="preserve">, vol. 53, no. 6, pp. 811–820, 2013, doi: 10.1016/j.microrel.2012.12.003.</w:t>
      </w:r>
    </w:p>
    <w:p>
      <w:pPr>
        <w:pStyle w:val="BodyText"/>
        <w:ind w:hanging="360" w:left="360"/>
        <w:jc w:val="left"/>
      </w:pPr>
      <w:r>
        <w:rPr>
          <w:rFonts w:ascii="Times New Roman" w:hAnsi="Times New Roman"/>
          <w:sz w:val="16"/>
        </w:rPr>
        <w:t xml:space="preserve">[11] C. R. Birkl,</w:t>
      </w:r>
      <w:r>
        <w:rPr>
          <w:rFonts w:ascii="Times New Roman" w:hAnsi="Times New Roman"/>
          <w:sz w:val="16"/>
        </w:rPr>
        <w:t xml:space="preserve"> </w:t>
      </w:r>
      <w:r>
        <w:rPr>
          <w:rFonts w:ascii="Times New Roman" w:hAnsi="Times New Roman"/>
          <w:sz w:val="16"/>
        </w:rPr>
        <w:t xml:space="preserve">“Diagnosis and prognosis of degradation in lithium-ion batteries,”</w:t>
      </w:r>
      <w:r>
        <w:rPr>
          <w:rFonts w:ascii="Times New Roman" w:hAnsi="Times New Roman"/>
          <w:sz w:val="16"/>
        </w:rPr>
        <w:t xml:space="preserve"> </w:t>
      </w:r>
      <w:r>
        <w:rPr>
          <w:rFonts w:ascii="Times New Roman" w:hAnsi="Times New Roman"/>
          <w:sz w:val="16"/>
        </w:rPr>
        <w:t xml:space="preserve">Ph.D. dissertation, Dept. Eng. Sci., Univ. Oxford, Oxford, U.K., 2017.</w:t>
      </w:r>
    </w:p>
    <w:p>
      <w:pPr>
        <w:pStyle w:val="BodyText"/>
        <w:ind w:hanging="360" w:left="360"/>
        <w:jc w:val="left"/>
      </w:pPr>
      <w:r>
        <w:rPr>
          <w:rFonts w:ascii="Times New Roman" w:hAnsi="Times New Roman"/>
          <w:sz w:val="16"/>
        </w:rPr>
        <w:t xml:space="preserve">[12] D. Roman, S. Saxena, V. Robu, M. Pecht, and D. Flynn,</w:t>
      </w:r>
      <w:r>
        <w:rPr>
          <w:rFonts w:ascii="Times New Roman" w:hAnsi="Times New Roman"/>
          <w:sz w:val="16"/>
        </w:rPr>
        <w:t xml:space="preserve"> </w:t>
      </w:r>
      <w:r>
        <w:rPr>
          <w:rFonts w:ascii="Times New Roman" w:hAnsi="Times New Roman"/>
          <w:sz w:val="16"/>
        </w:rPr>
        <w:t xml:space="preserve">“Machine learning pipeline for battery state-of-health estimation,”</w:t>
      </w:r>
      <w:r>
        <w:rPr>
          <w:rFonts w:ascii="Times New Roman" w:hAnsi="Times New Roman"/>
          <w:sz w:val="16"/>
        </w:rPr>
        <w:t xml:space="preserve"> </w:t>
      </w:r>
      <w:r>
        <w:rPr>
          <w:rFonts w:ascii="Times New Roman" w:hAnsi="Times New Roman"/>
          <w:i/>
          <w:iCs/>
          <w:sz w:val="16"/>
        </w:rPr>
        <w:t xml:space="preserve">Nat. Mach. Intell.</w:t>
      </w:r>
      <w:r>
        <w:rPr>
          <w:rFonts w:ascii="Times New Roman" w:hAnsi="Times New Roman"/>
          <w:sz w:val="16"/>
        </w:rPr>
        <w:t xml:space="preserve">, vol. 3, no. 5, pp. 447–456, 2021, doi: 10.1038/s42256-021-00312-3.</w:t>
      </w:r>
    </w:p>
    <w:p>
      <w:pPr>
        <w:pStyle w:val="BodyText"/>
        <w:ind w:hanging="360" w:left="360"/>
        <w:jc w:val="left"/>
      </w:pPr>
      <w:r>
        <w:rPr>
          <w:rFonts w:ascii="Times New Roman" w:hAnsi="Times New Roman"/>
          <w:sz w:val="16"/>
        </w:rPr>
        <w:t xml:space="preserve">[13] J. Tian, R. Xiong, W. Shen, J. Lu, and X.-G. Yang,</w:t>
      </w:r>
      <w:r>
        <w:rPr>
          <w:rFonts w:ascii="Times New Roman" w:hAnsi="Times New Roman"/>
          <w:sz w:val="16"/>
        </w:rPr>
        <w:t xml:space="preserve"> </w:t>
      </w:r>
      <w:r>
        <w:rPr>
          <w:rFonts w:ascii="Times New Roman" w:hAnsi="Times New Roman"/>
          <w:sz w:val="16"/>
        </w:rPr>
        <w:t xml:space="preserve">“Deep neural network battery charging curve prediction using 30 points collected in 10 min,”</w:t>
      </w:r>
      <w:r>
        <w:rPr>
          <w:rFonts w:ascii="Times New Roman" w:hAnsi="Times New Roman"/>
          <w:sz w:val="16"/>
        </w:rPr>
        <w:t xml:space="preserve"> </w:t>
      </w:r>
      <w:r>
        <w:rPr>
          <w:rFonts w:ascii="Times New Roman" w:hAnsi="Times New Roman"/>
          <w:i/>
          <w:iCs/>
          <w:sz w:val="16"/>
        </w:rPr>
        <w:t xml:space="preserve">Joule</w:t>
      </w:r>
      <w:r>
        <w:rPr>
          <w:rFonts w:ascii="Times New Roman" w:hAnsi="Times New Roman"/>
          <w:sz w:val="16"/>
        </w:rPr>
        <w:t xml:space="preserve">, vol. 5, no. 6, pp. 1521–1534, 2021, doi: 10.1016/j.joule.2021.05.012.</w:t>
      </w:r>
    </w:p>
    <w:p>
      <w:pPr>
        <w:pStyle w:val="BodyText"/>
        <w:ind w:hanging="360" w:left="360"/>
        <w:jc w:val="left"/>
      </w:pPr>
      <w:r>
        <w:rPr>
          <w:rFonts w:ascii="Times New Roman" w:hAnsi="Times New Roman"/>
          <w:sz w:val="16"/>
        </w:rPr>
        <w:t xml:space="preserve">[14] J. Zhu</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“Data-driven capacity estimation of commercial lithium-ion batteries from voltage relaxation,”</w:t>
      </w:r>
      <w:r>
        <w:rPr>
          <w:rFonts w:ascii="Times New Roman" w:hAnsi="Times New Roman"/>
          <w:sz w:val="16"/>
        </w:rPr>
        <w:t xml:space="preserve"> </w:t>
      </w:r>
      <w:r>
        <w:rPr>
          <w:rFonts w:ascii="Times New Roman" w:hAnsi="Times New Roman"/>
          <w:i/>
          <w:iCs/>
          <w:sz w:val="16"/>
        </w:rPr>
        <w:t xml:space="preserve">Nat. Commun.</w:t>
      </w:r>
      <w:r>
        <w:rPr>
          <w:rFonts w:ascii="Times New Roman" w:hAnsi="Times New Roman"/>
          <w:sz w:val="16"/>
        </w:rPr>
        <w:t xml:space="preserve">, vol. 13, Art. no. 2261, 2022, doi: 10.1038/s41467-022-29837-w.</w:t>
      </w:r>
    </w:p>
    <w:p>
      <w:pPr>
        <w:pStyle w:val="BodyText"/>
        <w:ind w:hanging="360" w:left="360"/>
        <w:jc w:val="left"/>
      </w:pPr>
      <w:r>
        <w:rPr>
          <w:rFonts w:ascii="Times New Roman" w:hAnsi="Times New Roman"/>
          <w:sz w:val="16"/>
        </w:rPr>
        <w:t xml:space="preserve">[15] J. Lu, R. Xiong, J. Tian, C. Wang, and F. Sun,</w:t>
      </w:r>
      <w:r>
        <w:rPr>
          <w:rFonts w:ascii="Times New Roman" w:hAnsi="Times New Roman"/>
          <w:sz w:val="16"/>
        </w:rPr>
        <w:t xml:space="preserve"> </w:t>
      </w:r>
      <w:r>
        <w:rPr>
          <w:rFonts w:ascii="Times New Roman" w:hAnsi="Times New Roman"/>
          <w:sz w:val="16"/>
        </w:rPr>
        <w:t xml:space="preserve">“Deep learning to estimate lithium-ion battery state of health without additional degradation experiments,”</w:t>
      </w:r>
      <w:r>
        <w:rPr>
          <w:rFonts w:ascii="Times New Roman" w:hAnsi="Times New Roman"/>
          <w:sz w:val="16"/>
        </w:rPr>
        <w:t xml:space="preserve"> </w:t>
      </w:r>
      <w:r>
        <w:rPr>
          <w:rFonts w:ascii="Times New Roman" w:hAnsi="Times New Roman"/>
          <w:i/>
          <w:iCs/>
          <w:sz w:val="16"/>
        </w:rPr>
        <w:t xml:space="preserve">Nat. Commun.</w:t>
      </w:r>
      <w:r>
        <w:rPr>
          <w:rFonts w:ascii="Times New Roman" w:hAnsi="Times New Roman"/>
          <w:sz w:val="16"/>
        </w:rPr>
        <w:t xml:space="preserve">, vol. 14, Art. no. 2760, 2023, doi: 10.1038/s41467-023-38458-w.</w:t>
      </w:r>
    </w:p>
    <w:p>
      <w:pPr>
        <w:pStyle w:val="BodyText"/>
        <w:ind w:hanging="360" w:left="360"/>
        <w:jc w:val="left"/>
      </w:pPr>
      <w:r>
        <w:rPr>
          <w:rFonts w:ascii="Times New Roman" w:hAnsi="Times New Roman"/>
          <w:sz w:val="16"/>
        </w:rPr>
        <w:t xml:space="preserve">[16] K. He, X. Chen, S. Xie, Y. Li, P. Dollár, and R. Girshick,</w:t>
      </w:r>
      <w:r>
        <w:rPr>
          <w:rFonts w:ascii="Times New Roman" w:hAnsi="Times New Roman"/>
          <w:sz w:val="16"/>
        </w:rPr>
        <w:t xml:space="preserve"> </w:t>
      </w:r>
      <w:r>
        <w:rPr>
          <w:rFonts w:ascii="Times New Roman" w:hAnsi="Times New Roman"/>
          <w:sz w:val="16"/>
        </w:rPr>
        <w:t xml:space="preserve">“Masked autoencoders are scalable vision learners,”</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Fonts w:ascii="Times New Roman" w:hAnsi="Times New Roman"/>
          <w:i/>
          <w:iCs/>
          <w:sz w:val="16"/>
        </w:rPr>
        <w:t xml:space="preserve">Proc. IEEE/CVF Conf. Comput. Vis. Pattern Recognit.</w:t>
      </w:r>
      <w:r>
        <w:rPr>
          <w:rFonts w:ascii="Times New Roman" w:hAnsi="Times New Roman"/>
          <w:sz w:val="16"/>
        </w:rPr>
        <w:t xml:space="preserve">, 2022, pp. 15979–15988, doi: 10.1109/CVPR52688.2022.01553.</w:t>
      </w:r>
    </w:p>
    <w:p>
      <w:pPr>
        <w:pStyle w:val="BodyText"/>
        <w:ind w:hanging="360" w:left="360"/>
        <w:jc w:val="left"/>
      </w:pPr>
      <w:r>
        <w:rPr>
          <w:rFonts w:ascii="Times New Roman" w:hAnsi="Times New Roman"/>
          <w:sz w:val="16"/>
        </w:rPr>
        <w:t xml:space="preserve">[17] Y. Romano, E. Patterson, and E. J. Candès,</w:t>
      </w:r>
      <w:r>
        <w:rPr>
          <w:rFonts w:ascii="Times New Roman" w:hAnsi="Times New Roman"/>
          <w:sz w:val="16"/>
        </w:rPr>
        <w:t xml:space="preserve"> </w:t>
      </w:r>
      <w:r>
        <w:rPr>
          <w:rFonts w:ascii="Times New Roman" w:hAnsi="Times New Roman"/>
          <w:sz w:val="16"/>
        </w:rPr>
        <w:t xml:space="preserve">“Conformalized quantile regression,”</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Fonts w:ascii="Times New Roman" w:hAnsi="Times New Roman"/>
          <w:i/>
          <w:iCs/>
          <w:sz w:val="16"/>
        </w:rPr>
        <w:t xml:space="preserve">Proc. Adv. Neural Inf. Process. Syst.</w:t>
      </w:r>
      <w:r>
        <w:rPr>
          <w:rFonts w:ascii="Times New Roman" w:hAnsi="Times New Roman"/>
          <w:sz w:val="16"/>
        </w:rPr>
        <w:t xml:space="preserve">, vol. 32, 2019. [Online]. Available: arXiv:1905.03222.</w:t>
      </w:r>
    </w:p>
    <w:p>
      <w:pPr>
        <w:pStyle w:val="BodyText"/>
        <w:ind w:hanging="360" w:left="360"/>
        <w:jc w:val="left"/>
      </w:pPr>
      <w:r>
        <w:rPr>
          <w:rFonts w:ascii="Times New Roman" w:hAnsi="Times New Roman"/>
          <w:sz w:val="16"/>
        </w:rPr>
        <w:t xml:space="preserve">[18] C. Rackauckas</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“Universal differential equations for scientific machine learning,”</w:t>
      </w:r>
      <w:r>
        <w:rPr>
          <w:rFonts w:ascii="Times New Roman" w:hAnsi="Times New Roman"/>
          <w:sz w:val="16"/>
        </w:rPr>
        <w:t xml:space="preserve"> </w:t>
      </w:r>
      <w:r>
        <w:rPr>
          <w:rFonts w:ascii="Times New Roman" w:hAnsi="Times New Roman"/>
          <w:sz w:val="16"/>
        </w:rPr>
        <w:t xml:space="preserve">2020, arXiv:2001.04385.</w:t>
      </w:r>
    </w:p>
    <w:p>
      <w:pPr>
        <w:pStyle w:val="BodyText"/>
        <w:ind w:hanging="360" w:left="360"/>
        <w:jc w:val="left"/>
      </w:pPr>
      <w:r>
        <w:rPr>
          <w:rFonts w:ascii="Times New Roman" w:hAnsi="Times New Roman"/>
          <w:sz w:val="16"/>
        </w:rPr>
        <w:t xml:space="preserve">[19] T. Wang, Z. Ma, S. Zou, Z. Chen, and P. Wang,</w:t>
      </w:r>
      <w:r>
        <w:rPr>
          <w:rFonts w:ascii="Times New Roman" w:hAnsi="Times New Roman"/>
          <w:sz w:val="16"/>
        </w:rPr>
        <w:t xml:space="preserve"> </w:t>
      </w:r>
      <w:r>
        <w:rPr>
          <w:rFonts w:ascii="Times New Roman" w:hAnsi="Times New Roman"/>
          <w:sz w:val="16"/>
        </w:rPr>
        <w:t xml:space="preserve">“Lithium-ion battery state-of-health estimation: A self-supervised framework incorporating weak labels,”</w:t>
      </w:r>
      <w:r>
        <w:rPr>
          <w:rFonts w:ascii="Times New Roman" w:hAnsi="Times New Roman"/>
          <w:sz w:val="16"/>
        </w:rPr>
        <w:t xml:space="preserve"> </w:t>
      </w:r>
      <w:r>
        <w:rPr>
          <w:rFonts w:ascii="Times New Roman" w:hAnsi="Times New Roman"/>
          <w:i/>
          <w:iCs/>
          <w:sz w:val="16"/>
        </w:rPr>
        <w:t xml:space="preserve">Appl. Energy</w:t>
      </w:r>
      <w:r>
        <w:rPr>
          <w:rFonts w:ascii="Times New Roman" w:hAnsi="Times New Roman"/>
          <w:sz w:val="16"/>
        </w:rPr>
        <w:t xml:space="preserve">, vol. 355, Art. no. 122332, 2024, doi: 10.1016/j.apenergy.2023.122332.</w:t>
      </w:r>
    </w:p>
    <w:p>
      <w:pPr>
        <w:pStyle w:val="BodyText"/>
        <w:ind w:hanging="360" w:left="360"/>
        <w:jc w:val="left"/>
      </w:pPr>
      <w:r>
        <w:rPr>
          <w:rFonts w:ascii="Times New Roman" w:hAnsi="Times New Roman"/>
          <w:sz w:val="16"/>
        </w:rPr>
        <w:t xml:space="preserve">[20] L. Teng, W. Li, and Z. Li,</w:t>
      </w:r>
      <w:r>
        <w:rPr>
          <w:rFonts w:ascii="Times New Roman" w:hAnsi="Times New Roman"/>
          <w:sz w:val="16"/>
        </w:rPr>
        <w:t xml:space="preserve"> </w:t>
      </w:r>
      <w:r>
        <w:rPr>
          <w:rFonts w:ascii="Times New Roman" w:hAnsi="Times New Roman"/>
          <w:sz w:val="16"/>
        </w:rPr>
        <w:t xml:space="preserve">“Partial charging as natural masking: Self-supervised pre-training for lithium-ion battery state of health prediction,”</w:t>
      </w:r>
      <w:r>
        <w:rPr>
          <w:rFonts w:ascii="Times New Roman" w:hAnsi="Times New Roman"/>
          <w:sz w:val="16"/>
        </w:rPr>
        <w:t xml:space="preserve"> </w:t>
      </w:r>
      <w:r>
        <w:rPr>
          <w:rFonts w:ascii="Times New Roman" w:hAnsi="Times New Roman"/>
          <w:sz w:val="16"/>
        </w:rPr>
        <w:t xml:space="preserve">SSRN preprint, 2026, doi: 10.2139/ssrn.7552735.</w:t>
      </w:r>
    </w:p>
    <w:p>
      <w:pPr>
        <w:pStyle w:val="BodyText"/>
        <w:ind w:hanging="360" w:left="360"/>
        <w:jc w:val="left"/>
      </w:pPr>
      <w:r>
        <w:rPr>
          <w:rFonts w:ascii="Times New Roman" w:hAnsi="Times New Roman"/>
          <w:sz w:val="16"/>
        </w:rPr>
        <w:t xml:space="preserve">[21] J. Yao and J. Kowal,</w:t>
      </w:r>
      <w:r>
        <w:rPr>
          <w:rFonts w:ascii="Times New Roman" w:hAnsi="Times New Roman"/>
          <w:sz w:val="16"/>
        </w:rPr>
        <w:t xml:space="preserve"> </w:t>
      </w:r>
      <w:r>
        <w:rPr>
          <w:rFonts w:ascii="Times New Roman" w:hAnsi="Times New Roman"/>
          <w:sz w:val="16"/>
        </w:rPr>
        <w:t xml:space="preserve">“Degradation-aligned self-supervised learning for state of health estimation of lithium-ion batteries under label sparsity,”</w:t>
      </w:r>
      <w:r>
        <w:rPr>
          <w:rFonts w:ascii="Times New Roman" w:hAnsi="Times New Roman"/>
          <w:sz w:val="16"/>
        </w:rPr>
        <w:t xml:space="preserve"> </w:t>
      </w:r>
      <w:r>
        <w:rPr>
          <w:rFonts w:ascii="Times New Roman" w:hAnsi="Times New Roman"/>
          <w:sz w:val="16"/>
        </w:rPr>
        <w:t xml:space="preserve">2026, arXiv:2608.16612.</w:t>
      </w:r>
    </w:p>
    <w:p>
      <w:pPr>
        <w:pStyle w:val="BodyText"/>
        <w:ind w:hanging="360" w:left="360"/>
        <w:jc w:val="left"/>
      </w:pPr>
      <w:r>
        <w:rPr>
          <w:rFonts w:ascii="Times New Roman" w:hAnsi="Times New Roman"/>
          <w:sz w:val="16"/>
        </w:rPr>
        <w:t xml:space="preserve">[22] S. F. da Silva, M. F. Ozkan, F. El Idrissi, and M. Canova,</w:t>
      </w:r>
      <w:r>
        <w:rPr>
          <w:rFonts w:ascii="Times New Roman" w:hAnsi="Times New Roman"/>
          <w:sz w:val="16"/>
        </w:rPr>
        <w:t xml:space="preserve"> </w:t>
      </w:r>
      <w:r>
        <w:rPr>
          <w:rFonts w:ascii="Times New Roman" w:hAnsi="Times New Roman"/>
          <w:sz w:val="16"/>
        </w:rPr>
        <w:t xml:space="preserve">“Conformalized transfer learning for Li-ion battery state of health forecasting under manufacturing and usage variability,”</w:t>
      </w:r>
      <w:r>
        <w:rPr>
          <w:rFonts w:ascii="Times New Roman" w:hAnsi="Times New Roman"/>
          <w:sz w:val="16"/>
        </w:rPr>
        <w:t xml:space="preserve"> </w:t>
      </w:r>
      <w:r>
        <w:rPr>
          <w:rFonts w:ascii="Times New Roman" w:hAnsi="Times New Roman"/>
          <w:sz w:val="16"/>
        </w:rPr>
        <w:t xml:space="preserve">2026, arXiv:2603.24475.</w:t>
      </w:r>
    </w:p>
    <w:p>
      <w:pPr>
        <w:pStyle w:val="BodyText"/>
        <w:ind w:hanging="360" w:left="360"/>
        <w:jc w:val="left"/>
      </w:pPr>
      <w:r>
        <w:rPr>
          <w:rFonts w:ascii="Times New Roman" w:hAnsi="Times New Roman"/>
          <w:sz w:val="16"/>
        </w:rPr>
        <w:t xml:space="preserve">[23] H. Zhang</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“BatteryML: An open-source platform for machine learning on battery degradation,”</w:t>
      </w:r>
      <w:r>
        <w:rPr>
          <w:rFonts w:ascii="Times New Roman" w:hAnsi="Times New Roman"/>
          <w:sz w:val="16"/>
        </w:rPr>
        <w:t xml:space="preserve"> </w:t>
      </w:r>
      <w:r>
        <w:rPr>
          <w:rFonts w:ascii="Times New Roman" w:hAnsi="Times New Roman"/>
          <w:sz w:val="16"/>
        </w:rPr>
        <w:t xml:space="preserve">2023, arXiv:2310.14714.</w:t>
      </w:r>
    </w:p>
    <w:p>
      <w:pPr>
        <w:pStyle w:val="BodyText"/>
        <w:ind w:hanging="360" w:left="360"/>
        <w:jc w:val="left"/>
      </w:pPr>
      <w:r>
        <w:rPr>
          <w:rFonts w:ascii="Times New Roman" w:hAnsi="Times New Roman"/>
          <w:sz w:val="16"/>
        </w:rPr>
        <w:t xml:space="preserve">[24] R. Tan</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“BatteryLife: A comprehensive dataset and benchmark for battery life prediction,”</w:t>
      </w:r>
      <w:r>
        <w:rPr>
          <w:rFonts w:ascii="Times New Roman" w:hAnsi="Times New Roman"/>
          <w:sz w:val="16"/>
        </w:rPr>
        <w:t xml:space="preserve"> </w:t>
      </w:r>
      <w:r>
        <w:rPr>
          <w:rFonts w:ascii="Times New Roman" w:hAnsi="Times New Roman"/>
          <w:sz w:val="16"/>
        </w:rPr>
        <w:t xml:space="preserve">2025, arXiv:2502.18807.</w:t>
      </w:r>
    </w:p>
    <w:p>
      <w:pPr>
        <w:pStyle w:val="BodyText"/>
        <w:ind w:hanging="360" w:left="360"/>
        <w:jc w:val="left"/>
      </w:pPr>
      <w:r>
        <w:rPr>
          <w:rFonts w:ascii="Times New Roman" w:hAnsi="Times New Roman"/>
          <w:sz w:val="16"/>
        </w:rPr>
        <w:t xml:space="preserve">[25] Y. Preger</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“Degradation of commercial lithium-ion cells as a function of chemistry and cycling conditions,”</w:t>
      </w:r>
      <w:r>
        <w:rPr>
          <w:rFonts w:ascii="Times New Roman" w:hAnsi="Times New Roman"/>
          <w:sz w:val="16"/>
        </w:rPr>
        <w:t xml:space="preserve"> </w:t>
      </w:r>
      <w:r>
        <w:rPr>
          <w:rFonts w:ascii="Times New Roman" w:hAnsi="Times New Roman"/>
          <w:i/>
          <w:iCs/>
          <w:sz w:val="16"/>
        </w:rPr>
        <w:t xml:space="preserve">J. Electrochem. Soc.</w:t>
      </w:r>
      <w:r>
        <w:rPr>
          <w:rFonts w:ascii="Times New Roman" w:hAnsi="Times New Roman"/>
          <w:sz w:val="16"/>
        </w:rPr>
        <w:t xml:space="preserve">, vol. 167, no. 12, Art. no. 120532, 2020, doi: 10.1149/1945-7111/abae37.</w:t>
      </w:r>
    </w:p>
    <w:p>
      <w:pPr>
        <w:pStyle w:val="BodyText"/>
        <w:ind w:hanging="360" w:left="360"/>
        <w:jc w:val="left"/>
      </w:pPr>
      <w:r>
        <w:rPr>
          <w:rFonts w:ascii="Times New Roman" w:hAnsi="Times New Roman"/>
          <w:sz w:val="16"/>
        </w:rPr>
        <w:t xml:space="preserve">[26] G. Ma</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“Real-time personalized health status prediction of lithium-ion batteries using deep transfer learning,”</w:t>
      </w:r>
      <w:r>
        <w:rPr>
          <w:rFonts w:ascii="Times New Roman" w:hAnsi="Times New Roman"/>
          <w:sz w:val="16"/>
        </w:rPr>
        <w:t xml:space="preserve"> </w:t>
      </w:r>
      <w:r>
        <w:rPr>
          <w:rFonts w:ascii="Times New Roman" w:hAnsi="Times New Roman"/>
          <w:i/>
          <w:iCs/>
          <w:sz w:val="16"/>
        </w:rPr>
        <w:t xml:space="preserve">Energy Environ. Sci.</w:t>
      </w:r>
      <w:r>
        <w:rPr>
          <w:rFonts w:ascii="Times New Roman" w:hAnsi="Times New Roman"/>
          <w:sz w:val="16"/>
        </w:rPr>
        <w:t xml:space="preserve">, vol. 15, pp. 4083–4094, 2022, doi: 10.1039/D2EE01676A.</w:t>
      </w:r>
    </w:p>
    <w:p>
      <w:pPr>
        <w:pStyle w:val="BodyText"/>
        <w:ind w:hanging="360" w:left="360"/>
        <w:jc w:val="left"/>
      </w:pPr>
      <w:r>
        <w:rPr>
          <w:rFonts w:ascii="Times New Roman" w:hAnsi="Times New Roman"/>
          <w:sz w:val="16"/>
        </w:rPr>
        <w:t xml:space="preserve">[27] P. M. Attia</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“Closed-loop optimization of fast-charging protocols for batteries with machine learning,”</w:t>
      </w:r>
      <w:r>
        <w:rPr>
          <w:rFonts w:ascii="Times New Roman" w:hAnsi="Times New Roman"/>
          <w:sz w:val="16"/>
        </w:rPr>
        <w:t xml:space="preserve"> </w:t>
      </w:r>
      <w:r>
        <w:rPr>
          <w:rFonts w:ascii="Times New Roman" w:hAnsi="Times New Roman"/>
          <w:i/>
          <w:iCs/>
          <w:sz w:val="16"/>
        </w:rPr>
        <w:t xml:space="preserve">Nature</w:t>
      </w:r>
      <w:r>
        <w:rPr>
          <w:rFonts w:ascii="Times New Roman" w:hAnsi="Times New Roman"/>
          <w:sz w:val="16"/>
        </w:rPr>
        <w:t xml:space="preserve">, vol. 578, pp. 397–402, 2020, doi: 10.1038/s41586-020-1994-5.</w:t>
      </w:r>
    </w:p>
    <w:p>
      <w:pPr>
        <w:pStyle w:val="BodyText"/>
        <w:ind w:hanging="360" w:left="360"/>
        <w:jc w:val="left"/>
      </w:pPr>
      <w:r>
        <w:rPr>
          <w:rFonts w:ascii="Times New Roman" w:hAnsi="Times New Roman"/>
          <w:sz w:val="16"/>
        </w:rPr>
        <w:t xml:space="preserve">[28] G. S. Oh, D. J. LeBlanc, and H. Peng,</w:t>
      </w:r>
      <w:r>
        <w:rPr>
          <w:rFonts w:ascii="Times New Roman" w:hAnsi="Times New Roman"/>
          <w:sz w:val="16"/>
        </w:rPr>
        <w:t xml:space="preserve"> </w:t>
      </w:r>
      <w:r>
        <w:rPr>
          <w:rFonts w:ascii="Times New Roman" w:hAnsi="Times New Roman"/>
          <w:sz w:val="16"/>
        </w:rPr>
        <w:t xml:space="preserve">“Vehicle energy dataset (VED), a large-scale dataset for vehicle energy consumption research,”</w:t>
      </w:r>
      <w:r>
        <w:rPr>
          <w:rFonts w:ascii="Times New Roman" w:hAnsi="Times New Roman"/>
          <w:sz w:val="16"/>
        </w:rPr>
        <w:t xml:space="preserve"> </w:t>
      </w:r>
      <w:r>
        <w:rPr>
          <w:rFonts w:ascii="Times New Roman" w:hAnsi="Times New Roman"/>
          <w:sz w:val="16"/>
        </w:rPr>
        <w:t xml:space="preserve">2019, arXiv:1905.02081.</w:t>
      </w:r>
    </w:p>
    <w:p>
      <w:pPr>
        <w:pStyle w:val="BodyText"/>
        <w:ind w:hanging="360" w:left="360"/>
        <w:jc w:val="left"/>
      </w:pPr>
      <w:r>
        <w:rPr>
          <w:rFonts w:ascii="Times New Roman" w:hAnsi="Times New Roman"/>
          <w:sz w:val="16"/>
        </w:rPr>
        <w:t xml:space="preserve">[29] G. Ke</w:t>
      </w:r>
      <w:r>
        <w:rPr>
          <w:rFonts w:ascii="Times New Roman" w:hAnsi="Times New Roman"/>
          <w:sz w:val="16"/>
        </w:rPr>
        <w:t xml:space="preserve"> </w:t>
      </w:r>
      <w:r>
        <w:rPr>
          <w:rFonts w:ascii="Times New Roman" w:hAnsi="Times New Roman"/>
          <w:i/>
          <w:iCs/>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“LightGBM: A highly efficient gradient boosting decision tree,”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Fonts w:ascii="Times New Roman" w:hAnsi="Times New Roman"/>
          <w:i/>
          <w:iCs/>
          <w:sz w:val="16"/>
        </w:rPr>
        <w:t xml:space="preserve">Proc. Adv. Neural Inf. Process. Syst.</w:t>
      </w:r>
      <w:r>
        <w:rPr>
          <w:rFonts w:ascii="Times New Roman" w:hAnsi="Times New Roman"/>
          <w:sz w:val="16"/>
        </w:rPr>
        <w:t xml:space="preserve">, vol. 30, 2017.</w:t>
      </w:r>
    </w:p>
    <w:bookmarkEnd w:id="79"/>
    <w:sectPr>
      <w:type w:val="continuous"/>
      <w:pgSz w:w="12240" w:h="15840"/>
      <w:pgMar w:top="1080" w:bottom="1440" w:left="900" w:right="90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pPr>
    <w:rPr>
      <w:rFonts w:ascii="Times New Roman" w:hAnsi="Times New Roman" w:eastAsia="Times New Roman"/>
      <w:sz w:val="20"/>
    </w:rPr>
  </w:style>
  <w:style w:styleId="BodyText" w:type="paragraph">
    <w:name w:val="Body Text"/>
    <w:basedOn w:val="Normal"/>
    <w:link w:val="BodyTextChar"/>
    <w:qFormat/>
    <w:pPr>
      <w:spacing w:after="0" w:before="0" w:line="240" w:lineRule="auto"/>
      <w:ind w:firstLine="245"/>
      <w:jc w:val="both"/>
    </w:pPr>
    <w:rPr>
      <w:rFonts w:ascii="Times New Roman" w:hAnsi="Times New Roman" w:eastAsia="Times New Roman"/>
      <w:sz w:val="20"/>
    </w:rPr>
  </w:style>
  <w:style w:customStyle="1" w:styleId="FirstParagraph" w:type="paragraph">
    <w:name w:val="First Paragraph"/>
    <w:basedOn w:val="BodyText"/>
    <w:next w:val="BodyText"/>
    <w:qFormat/>
    <w:pPr>
      <w:spacing w:before="0" w:after="0" w:line="240" w:lineRule="auto"/>
      <w:ind w:firstLine="245"/>
      <w:jc w:val="both"/>
    </w:pPr>
    <w:rPr>
      <w:rFonts w:ascii="Times New Roman" w:hAnsi="Times New Roman" w:eastAsia="Times New Roman"/>
      <w:sz w:val="20"/>
    </w:rPr>
  </w:style>
  <w:style w:customStyle="1" w:styleId="Compact" w:type="paragraph">
    <w:name w:val="Compact"/>
    <w:basedOn w:val="BodyText"/>
    <w:qFormat/>
    <w:pPr>
      <w:spacing w:after="0" w:before="0" w:line="240" w:lineRule="auto"/>
    </w:pPr>
    <w:rPr>
      <w:rFonts w:ascii="Times New Roman" w:hAnsi="Times New Roman" w:eastAsia="Times New Roman"/>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160"/>
      <w:jc w:val="center"/>
      <w:outlineLvl w:val="0"/>
    </w:pPr>
    <w:rPr>
      <w:rFonts w:asciiTheme="majorHAnsi" w:cstheme="majorBidi" w:eastAsiaTheme="majorEastAsia" w:hAnsiTheme="majorHAnsi" w:ascii="Times New Roman" w:hAnsi="Times New Roman" w:eastAsia="Times New Roman"/>
      <w:b w:val="0"/>
      <w:i w:val="0"/>
      <w:smallCaps/>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ascii="Times New Roman" w:hAnsi="Times New Roman" w:eastAsia="Times New Roman"/>
      <w:b w:val="0"/>
      <w:i/>
      <w:smallCaps w:val="0"/>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120"/>
      <w:jc w:val="both"/>
    </w:pPr>
    <w:rPr>
      <w:rFonts w:ascii="Times New Roman" w:hAnsi="Times New Roman"/>
      <w:i w:val="0"/>
      <w:sz w:val="16"/>
    </w:rPr>
  </w:style>
  <w:style w:customStyle="1" w:styleId="Figure" w:type="paragraph">
    <w:name w:val="Figure"/>
    <w:basedOn w:val="Normal"/>
    <w:pPr>
      <w:spacing w:after="120"/>
      <w:jc w:val="center"/>
    </w:pPr>
    <w:rPr>
      <w:rFonts w:ascii="Times New Roman" w:hAnsi="Times New Roman"/>
      <w:i w:val="0"/>
      <w:sz w:val="16"/>
    </w:rPr>
  </w:style>
  <w:style w:customStyle="1" w:styleId="CaptionedFigure" w:type="paragraph">
    <w:name w:val="Captioned Figure"/>
    <w:basedOn w:val="Figure"/>
    <w:pPr>
      <w:keepNext/>
      <w:spacing w:after="120"/>
      <w:jc w:val="center"/>
    </w:pPr>
    <w:rPr>
      <w:rFonts w:ascii="Times New Roman" w:hAnsi="Times New Roman"/>
      <w:i w:val="0"/>
      <w:sz w:val="16"/>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lgo">
    <w:name w:val="Algo"/>
    <w:basedOn w:val="BodyText"/>
    <w:qFormat/>
  </w:style>
  <w:style w:type="paragraph" w:customStyle="1" w:styleId="AlgoTitle">
    <w:name w:val="AlgoTitle"/>
    <w:basedOn w:val="BodyText"/>
    <w:qFormat/>
  </w:style>
  <w:style w:type="paragraph" w:customStyle="1" w:styleId="TableCaption">
    <w:name w:val="TableCaptio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png"/><Relationship Id="rId69" Type="http://schemas.openxmlformats.org/officeDocument/2006/relationships/image" Target="media/rId69.png"/><Relationship Id="rId9" Type="http://schemas.openxmlformats.org/officeDocument/2006/relationships/image" Target="media/rId9.png"/><Relationship Id="rId13" Type="http://schemas.openxmlformats.org/officeDocument/2006/relationships/image" Target="media/rId13.png"/><Relationship Id="rId25" Type="http://schemas.openxmlformats.org/officeDocument/2006/relationships/image" Target="media/rId25.png"/><Relationship Id="rId32" Type="http://schemas.openxmlformats.org/officeDocument/2006/relationships/image" Target="media/rId32.png"/><Relationship Id="rId40" Type="http://schemas.openxmlformats.org/officeDocument/2006/relationships/image" Target="media/rId40.png"/><Relationship Id="rId49" Type="http://schemas.openxmlformats.org/officeDocument/2006/relationships/image" Target="media/rId49.png"/><Relationship Id="rId53" Type="http://schemas.openxmlformats.org/officeDocument/2006/relationships/image" Target="media/rId53.png"/><Relationship Id="rId59" Type="http://schemas.openxmlformats.org/officeDocument/2006/relationships/image" Target="media/rId59.png"/><Relationship Id="rId64" Type="http://schemas.openxmlformats.org/officeDocument/2006/relationships/image" Target="media/rId64.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2026-10-12T18:20:01Z</dcterms:created>
  <dcterms:modified xsi:type="dcterms:W3CDTF">2026-10-12T18:20:01Z</dcterms:modified>
</cp:coreProperties>
</file>

<file path=docProps/custom.xml><?xml version="1.0" encoding="utf-8"?>
<Properties xmlns="http://schemas.openxmlformats.org/officeDocument/2006/custom-properties" xmlns:vt="http://schemas.openxmlformats.org/officeDocument/2006/docPropsVTypes"/>
</file>