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4"/>
        </w:rPr>
        <w:t>AZURE SFTP AUTOMATION</w:t>
      </w:r>
    </w:p>
    <w:p>
      <w:pPr>
        <w:jc w:val="center"/>
      </w:pPr>
      <w:r>
        <w:rPr>
          <w:b/>
          <w:color w:val="17365D"/>
          <w:sz w:val="60"/>
        </w:rPr>
        <w:t>Proof of Concept (POC)</w:t>
      </w:r>
    </w:p>
    <w:p>
      <w:pPr>
        <w:jc w:val="center"/>
      </w:pPr>
      <w:r>
        <w:rPr>
          <w:color w:val="1F2937"/>
          <w:sz w:val="24"/>
        </w:rPr>
        <w:t>Client Request → Folder → SFTP User → Permissions → Key Vault → Validation</w:t>
      </w:r>
    </w:p>
    <w:p/>
    <w:tbl>
      <w:tblPr>
        <w:tblW w:type="auto" w:w="0"/>
        <w:jc w:val="center"/>
        <w:tblLayout w:type="fixed"/>
        <w:tblLook w:firstColumn="1" w:firstRow="1" w:lastColumn="0" w:lastRow="0" w:noHBand="0" w:noVBand="1" w:val="04A0"/>
      </w:tblPr>
      <w:tblGrid>
        <w:gridCol w:w="5112"/>
        <w:gridCol w:w="5112"/>
      </w:tblGrid>
      <w:tr>
        <w:tc>
          <w:tcPr>
            <w:tcW w:type="dxa" w:w="2448"/>
            <w:vAlign w:val="center"/>
            <w:shd w:fill="17365D"/>
          </w:tcPr>
          <w:p>
            <w:r/>
            <w:r>
              <w:rPr>
                <w:b/>
                <w:color w:val="FFFFFF"/>
                <w:sz w:val="19"/>
              </w:rPr>
              <w:t>POC Objective</w:t>
            </w:r>
          </w:p>
        </w:tc>
        <w:tc>
          <w:tcPr>
            <w:tcW w:type="dxa" w:w="6912"/>
            <w:vAlign w:val="center"/>
            <w:shd w:fill="F4F7FA"/>
          </w:tcPr>
          <w:p>
            <w:r/>
            <w:r>
              <w:rPr>
                <w:b w:val="0"/>
                <w:color w:val="1F2937"/>
                <w:sz w:val="19"/>
              </w:rPr>
              <w:t>Automate repeatable Azure SFTP onboarding activities from a structured client request.</w:t>
            </w:r>
          </w:p>
        </w:tc>
      </w:tr>
      <w:tr>
        <w:tc>
          <w:tcPr>
            <w:tcW w:type="dxa" w:w="2448"/>
            <w:vAlign w:val="center"/>
            <w:shd w:fill="17365D"/>
          </w:tcPr>
          <w:p>
            <w:r/>
            <w:r>
              <w:rPr>
                <w:b/>
                <w:color w:val="FFFFFF"/>
                <w:sz w:val="19"/>
              </w:rPr>
              <w:t>Primary Technology</w:t>
            </w:r>
          </w:p>
        </w:tc>
        <w:tc>
          <w:tcPr>
            <w:tcW w:type="dxa" w:w="6912"/>
            <w:vAlign w:val="center"/>
            <w:shd w:fill="F4F7FA"/>
          </w:tcPr>
          <w:p>
            <w:r/>
            <w:r>
              <w:rPr>
                <w:b w:val="0"/>
                <w:color w:val="1F2937"/>
                <w:sz w:val="19"/>
              </w:rPr>
              <w:t>PowerShell + Azure CLI / Az PowerShell modules + Azure Storage SFTP + Azure Key Vault</w:t>
            </w:r>
          </w:p>
        </w:tc>
      </w:tr>
      <w:tr>
        <w:tc>
          <w:tcPr>
            <w:tcW w:type="dxa" w:w="2448"/>
            <w:vAlign w:val="center"/>
            <w:shd w:fill="17365D"/>
          </w:tcPr>
          <w:p>
            <w:r/>
            <w:r>
              <w:rPr>
                <w:b/>
                <w:color w:val="FFFFFF"/>
                <w:sz w:val="19"/>
              </w:rPr>
              <w:t>Key Design Principle</w:t>
            </w:r>
          </w:p>
        </w:tc>
        <w:tc>
          <w:tcPr>
            <w:tcW w:type="dxa" w:w="6912"/>
            <w:vAlign w:val="center"/>
            <w:shd w:fill="F4F7FA"/>
          </w:tcPr>
          <w:p>
            <w:r/>
            <w:r>
              <w:rPr>
                <w:b w:val="0"/>
                <w:color w:val="1F2937"/>
                <w:sz w:val="19"/>
              </w:rPr>
              <w:t>Reproduce the project's existing User ID / Group ID / ACL model rather than inventing new conventions.</w:t>
            </w:r>
          </w:p>
        </w:tc>
      </w:tr>
    </w:tbl>
    <w:p/>
    <w:p>
      <w:pPr>
        <w:jc w:val="center"/>
      </w:pPr>
      <w:r>
        <w:rPr>
          <w:b/>
          <w:color w:val="2F75B5"/>
          <w:sz w:val="22"/>
        </w:rPr>
        <w:t>POC Design Document</w:t>
      </w:r>
    </w:p>
    <w:p>
      <w:r>
        <w:br w:type="page"/>
      </w:r>
    </w:p>
    <w:p>
      <w:pPr>
        <w:pStyle w:val="Heading1"/>
      </w:pPr>
      <w:r>
        <w:t>1. Executive Summary</w:t>
      </w:r>
    </w:p>
    <w:p>
      <w:r>
        <w:t>This Proof of Concept proposes a PowerShell-based automation framework for provisioning and validating Azure SFTP folders and local users from a standardized client request. The solution is designed to reduce manual portal/WinSCP activities, improve consistency, and provide a controlled process for permissions, credentials, and validation.</w:t>
      </w:r>
    </w:p>
    <w:p>
      <w:r>
        <w:t>A key design consideration is Group ID. The automation must not randomly generate or arbitrarily assign Group IDs. Before implementation, the POC will establish how the existing project defines, maintains, and reuses Group IDs so that the automation reproduces the approved project model.</w:t>
      </w:r>
    </w:p>
    <w:p>
      <w:pPr>
        <w:pStyle w:val="Heading1"/>
      </w:pPr>
      <w:r>
        <w:t>2. POC Objectives</w:t>
      </w:r>
    </w:p>
    <w:p>
      <w:pPr>
        <w:pStyle w:val="ListBullet"/>
      </w:pPr>
      <w:r>
        <w:t>Accept client onboarding information in a structured Excel / JSON request format.</w:t>
      </w:r>
    </w:p>
    <w:p>
      <w:pPr>
        <w:pStyle w:val="ListBullet"/>
      </w:pPr>
      <w:r>
        <w:t>Create or verify the required SFTP folder and storage path.</w:t>
      </w:r>
    </w:p>
    <w:p>
      <w:pPr>
        <w:pStyle w:val="ListBullet"/>
      </w:pPr>
      <w:r>
        <w:t>Create or verify the Azure Storage SFTP local user.</w:t>
      </w:r>
    </w:p>
    <w:p>
      <w:pPr>
        <w:pStyle w:val="ListBullet"/>
      </w:pPr>
      <w:r>
        <w:t>Generate a strong password where password authentication is required.</w:t>
      </w:r>
    </w:p>
    <w:p>
      <w:pPr>
        <w:pStyle w:val="ListBullet"/>
      </w:pPr>
      <w:r>
        <w:t>Retrieve the Azure-generated User ID after user creation.</w:t>
      </w:r>
    </w:p>
    <w:p>
      <w:pPr>
        <w:pStyle w:val="ListBullet"/>
      </w:pPr>
      <w:r>
        <w:t>Apply the project-approved Group ID strategy.</w:t>
      </w:r>
    </w:p>
    <w:p>
      <w:pPr>
        <w:pStyle w:val="ListBullet"/>
      </w:pPr>
      <w:r>
        <w:t>Configure permission scopes and ACL-related settings consistently.</w:t>
      </w:r>
    </w:p>
    <w:p>
      <w:pPr>
        <w:pStyle w:val="ListBullet"/>
      </w:pPr>
      <w:r>
        <w:t>Store generated credentials securely in Azure Key Vault.</w:t>
      </w:r>
    </w:p>
    <w:p>
      <w:pPr>
        <w:pStyle w:val="ListBullet"/>
      </w:pPr>
      <w:r>
        <w:t>Run post-provisioning validation and produce clear success/failure results.</w:t>
      </w:r>
    </w:p>
    <w:p>
      <w:pPr>
        <w:pStyle w:val="ListBullet"/>
      </w:pPr>
      <w:r>
        <w:t>Create an auditable, modular structure that can later be extended for production use.</w:t>
      </w:r>
    </w:p>
    <w:p>
      <w:pPr>
        <w:pStyle w:val="Heading1"/>
      </w:pPr>
      <w:r>
        <w:t>3. Proposed Automation Architecture</w:t>
      </w:r>
    </w:p>
    <w:p>
      <w:pPr>
        <w:spacing w:after="160"/>
      </w:pPr>
      <w:r>
        <w:rPr>
          <w:b/>
          <w:color w:val="17365D"/>
        </w:rPr>
        <w:t>Client Excel</w:t>
      </w:r>
      <w:r>
        <w:t xml:space="preserve">  →  Request.json  →  Main.ps1</w:t>
      </w:r>
      <w:r>
        <w:br/>
        <w:t xml:space="preserve">                         ↓</w:t>
      </w:r>
      <w:r>
        <w:br/>
        <w:t xml:space="preserve">            ┌───────────────────────────────┐</w:t>
      </w:r>
      <w:r>
        <w:br/>
        <w:t xml:space="preserve">            │ Folder.ps1                    │  Create / verify folder</w:t>
      </w:r>
      <w:r>
        <w:br/>
        <w:t xml:space="preserve">            │ LocalUser.ps1                 │  Create / verify SFTP user</w:t>
      </w:r>
      <w:r>
        <w:br/>
        <w:t xml:space="preserve">            │ Permissions.ps1                │  Configure permission scope / ACL</w:t>
      </w:r>
      <w:r>
        <w:br/>
        <w:t xml:space="preserve">            │ KeyVault.ps1                   │  Store password securely</w:t>
      </w:r>
      <w:r>
        <w:br/>
        <w:t xml:space="preserve">            │ Validation.ps1                 │  Verify configuration</w:t>
      </w:r>
      <w:r>
        <w:br/>
        <w:t xml:space="preserve">            └───────────────────────────────┘</w:t>
      </w:r>
      <w:r>
        <w:br/>
        <w:t xml:space="preserve">                         ↓</w:t>
      </w:r>
      <w:r>
        <w:br/>
        <w:t xml:space="preserve">                Provisioned SFTP Setup</w:t>
      </w:r>
    </w:p>
    <w:p>
      <w:pPr>
        <w:pStyle w:val="Heading1"/>
      </w:pPr>
      <w:r>
        <w:t>4. Component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9"/>
              </w:rPr>
              <w:t>Component</w:t>
            </w:r>
          </w:p>
        </w:tc>
        <w:tc>
          <w:tcPr>
            <w:tcW w:type="dxa" w:w="3408"/>
            <w:vAlign w:val="center"/>
            <w:shd w:fill="17365D"/>
          </w:tcPr>
          <w:p>
            <w:r/>
            <w:r>
              <w:rPr>
                <w:b/>
                <w:color w:val="FFFFFF"/>
                <w:sz w:val="19"/>
              </w:rPr>
              <w:t>Responsibility</w:t>
            </w:r>
          </w:p>
        </w:tc>
        <w:tc>
          <w:tcPr>
            <w:tcW w:type="dxa" w:w="3408"/>
            <w:vAlign w:val="center"/>
            <w:shd w:fill="17365D"/>
          </w:tcPr>
          <w:p>
            <w:r/>
            <w:r>
              <w:rPr>
                <w:b/>
                <w:color w:val="FFFFFF"/>
                <w:sz w:val="19"/>
              </w:rPr>
              <w:t>Expected Outcome</w:t>
            </w:r>
          </w:p>
        </w:tc>
      </w:tr>
      <w:tr>
        <w:tc>
          <w:tcPr>
            <w:tcW w:type="dxa" w:w="3408"/>
            <w:vAlign w:val="center"/>
            <w:shd w:fill="F4F7FA"/>
          </w:tcPr>
          <w:p>
            <w:r/>
            <w:r>
              <w:rPr>
                <w:b w:val="0"/>
                <w:color w:val="1F2937"/>
                <w:sz w:val="19"/>
              </w:rPr>
              <w:t>Main.ps1</w:t>
            </w:r>
          </w:p>
        </w:tc>
        <w:tc>
          <w:tcPr>
            <w:tcW w:type="dxa" w:w="3408"/>
            <w:vAlign w:val="center"/>
            <w:shd w:fill="F4F7FA"/>
          </w:tcPr>
          <w:p>
            <w:r/>
            <w:r>
              <w:rPr>
                <w:b w:val="0"/>
                <w:color w:val="1F2937"/>
                <w:sz w:val="19"/>
              </w:rPr>
              <w:t>Orchestrates the end-to-end workflow and handles input, sequencing, logging and errors.</w:t>
            </w:r>
          </w:p>
        </w:tc>
        <w:tc>
          <w:tcPr>
            <w:tcW w:type="dxa" w:w="3408"/>
            <w:vAlign w:val="center"/>
            <w:shd w:fill="F4F7FA"/>
          </w:tcPr>
          <w:p>
            <w:r/>
            <w:r>
              <w:rPr>
                <w:b w:val="0"/>
                <w:color w:val="1F2937"/>
                <w:sz w:val="19"/>
              </w:rPr>
              <w:t>Single entry point for the automation.</w:t>
            </w:r>
          </w:p>
        </w:tc>
      </w:tr>
      <w:tr>
        <w:tc>
          <w:tcPr>
            <w:tcW w:type="dxa" w:w="3408"/>
            <w:vAlign w:val="center"/>
            <w:shd w:fill="FFFFFF"/>
          </w:tcPr>
          <w:p>
            <w:r/>
            <w:r>
              <w:rPr>
                <w:b w:val="0"/>
                <w:color w:val="1F2937"/>
                <w:sz w:val="19"/>
              </w:rPr>
              <w:t>Folder.ps1</w:t>
            </w:r>
          </w:p>
        </w:tc>
        <w:tc>
          <w:tcPr>
            <w:tcW w:type="dxa" w:w="3408"/>
            <w:vAlign w:val="center"/>
            <w:shd w:fill="FFFFFF"/>
          </w:tcPr>
          <w:p>
            <w:r/>
            <w:r>
              <w:rPr>
                <w:b w:val="0"/>
                <w:color w:val="1F2937"/>
                <w:sz w:val="19"/>
              </w:rPr>
              <w:t>Create or verify the requested container/folder structure.</w:t>
            </w:r>
          </w:p>
        </w:tc>
        <w:tc>
          <w:tcPr>
            <w:tcW w:type="dxa" w:w="3408"/>
            <w:vAlign w:val="center"/>
            <w:shd w:fill="FFFFFF"/>
          </w:tcPr>
          <w:p>
            <w:r/>
            <w:r>
              <w:rPr>
                <w:b w:val="0"/>
                <w:color w:val="1F2937"/>
                <w:sz w:val="19"/>
              </w:rPr>
              <w:t>Required SFTP path exists.</w:t>
            </w:r>
          </w:p>
        </w:tc>
      </w:tr>
      <w:tr>
        <w:tc>
          <w:tcPr>
            <w:tcW w:type="dxa" w:w="3408"/>
            <w:vAlign w:val="center"/>
            <w:shd w:fill="F4F7FA"/>
          </w:tcPr>
          <w:p>
            <w:r/>
            <w:r>
              <w:rPr>
                <w:b w:val="0"/>
                <w:color w:val="1F2937"/>
                <w:sz w:val="19"/>
              </w:rPr>
              <w:t>LocalUser.ps1</w:t>
            </w:r>
          </w:p>
        </w:tc>
        <w:tc>
          <w:tcPr>
            <w:tcW w:type="dxa" w:w="3408"/>
            <w:vAlign w:val="center"/>
            <w:shd w:fill="F4F7FA"/>
          </w:tcPr>
          <w:p>
            <w:r/>
            <w:r>
              <w:rPr>
                <w:b w:val="0"/>
                <w:color w:val="1F2937"/>
                <w:sz w:val="19"/>
              </w:rPr>
              <w:t>Create or verify the SFTP local user; generate password; retrieve Azure-generated User ID; apply approved Group ID strategy.</w:t>
            </w:r>
          </w:p>
        </w:tc>
        <w:tc>
          <w:tcPr>
            <w:tcW w:type="dxa" w:w="3408"/>
            <w:vAlign w:val="center"/>
            <w:shd w:fill="F4F7FA"/>
          </w:tcPr>
          <w:p>
            <w:r/>
            <w:r>
              <w:rPr>
                <w:b w:val="0"/>
                <w:color w:val="1F2937"/>
                <w:sz w:val="19"/>
              </w:rPr>
              <w:t>SFTP identity is provisioned consistently.</w:t>
            </w:r>
          </w:p>
        </w:tc>
      </w:tr>
      <w:tr>
        <w:tc>
          <w:tcPr>
            <w:tcW w:type="dxa" w:w="3408"/>
            <w:vAlign w:val="center"/>
            <w:shd w:fill="FFFFFF"/>
          </w:tcPr>
          <w:p>
            <w:r/>
            <w:r>
              <w:rPr>
                <w:b w:val="0"/>
                <w:color w:val="1F2937"/>
                <w:sz w:val="19"/>
              </w:rPr>
              <w:t>Permissions.ps1</w:t>
            </w:r>
          </w:p>
        </w:tc>
        <w:tc>
          <w:tcPr>
            <w:tcW w:type="dxa" w:w="3408"/>
            <w:vAlign w:val="center"/>
            <w:shd w:fill="FFFFFF"/>
          </w:tcPr>
          <w:p>
            <w:r/>
            <w:r>
              <w:rPr>
                <w:b w:val="0"/>
                <w:color w:val="1F2937"/>
                <w:sz w:val="19"/>
              </w:rPr>
              <w:t>Configure permission scopes and ACL-related settings according to the project model.</w:t>
            </w:r>
          </w:p>
        </w:tc>
        <w:tc>
          <w:tcPr>
            <w:tcW w:type="dxa" w:w="3408"/>
            <w:vAlign w:val="center"/>
            <w:shd w:fill="FFFFFF"/>
          </w:tcPr>
          <w:p>
            <w:r/>
            <w:r>
              <w:rPr>
                <w:b w:val="0"/>
                <w:color w:val="1F2937"/>
                <w:sz w:val="19"/>
              </w:rPr>
              <w:t>User has only the intended access.</w:t>
            </w:r>
          </w:p>
        </w:tc>
      </w:tr>
      <w:tr>
        <w:tc>
          <w:tcPr>
            <w:tcW w:type="dxa" w:w="3408"/>
            <w:vAlign w:val="center"/>
            <w:shd w:fill="F4F7FA"/>
          </w:tcPr>
          <w:p>
            <w:r/>
            <w:r>
              <w:rPr>
                <w:b w:val="0"/>
                <w:color w:val="1F2937"/>
                <w:sz w:val="19"/>
              </w:rPr>
              <w:t>KeyVault.ps1</w:t>
            </w:r>
          </w:p>
        </w:tc>
        <w:tc>
          <w:tcPr>
            <w:tcW w:type="dxa" w:w="3408"/>
            <w:vAlign w:val="center"/>
            <w:shd w:fill="F4F7FA"/>
          </w:tcPr>
          <w:p>
            <w:r/>
            <w:r>
              <w:rPr>
                <w:b w:val="0"/>
                <w:color w:val="1F2937"/>
                <w:sz w:val="19"/>
              </w:rPr>
              <w:t>Store the generated password/credential securely in Azure Key Vault.</w:t>
            </w:r>
          </w:p>
        </w:tc>
        <w:tc>
          <w:tcPr>
            <w:tcW w:type="dxa" w:w="3408"/>
            <w:vAlign w:val="center"/>
            <w:shd w:fill="F4F7FA"/>
          </w:tcPr>
          <w:p>
            <w:r/>
            <w:r>
              <w:rPr>
                <w:b w:val="0"/>
                <w:color w:val="1F2937"/>
                <w:sz w:val="19"/>
              </w:rPr>
              <w:t>Secrets are not exposed in files or console output.</w:t>
            </w:r>
          </w:p>
        </w:tc>
      </w:tr>
      <w:tr>
        <w:tc>
          <w:tcPr>
            <w:tcW w:type="dxa" w:w="3408"/>
            <w:vAlign w:val="center"/>
            <w:shd w:fill="FFFFFF"/>
          </w:tcPr>
          <w:p>
            <w:r/>
            <w:r>
              <w:rPr>
                <w:b w:val="0"/>
                <w:color w:val="1F2937"/>
                <w:sz w:val="19"/>
              </w:rPr>
              <w:t>Validation.ps1</w:t>
            </w:r>
          </w:p>
        </w:tc>
        <w:tc>
          <w:tcPr>
            <w:tcW w:type="dxa" w:w="3408"/>
            <w:vAlign w:val="center"/>
            <w:shd w:fill="FFFFFF"/>
          </w:tcPr>
          <w:p>
            <w:r/>
            <w:r>
              <w:rPr>
                <w:b w:val="0"/>
                <w:color w:val="1F2937"/>
                <w:sz w:val="19"/>
              </w:rPr>
              <w:t>Verify user, IDs, path, permission scope, ACL setting and secret storage.</w:t>
            </w:r>
          </w:p>
        </w:tc>
        <w:tc>
          <w:tcPr>
            <w:tcW w:type="dxa" w:w="3408"/>
            <w:vAlign w:val="center"/>
            <w:shd w:fill="FFFFFF"/>
          </w:tcPr>
          <w:p>
            <w:r/>
            <w:r>
              <w:rPr>
                <w:b w:val="0"/>
                <w:color w:val="1F2937"/>
                <w:sz w:val="19"/>
              </w:rPr>
              <w:t>Provisioning is confirmed before closure.</w:t>
            </w:r>
          </w:p>
        </w:tc>
      </w:tr>
    </w:tbl>
    <w:p>
      <w:pPr>
        <w:pStyle w:val="Heading1"/>
      </w:pPr>
      <w:r>
        <w:t>5. End-to-End Request Flow</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F75B5"/>
          </w:tcPr>
          <w:p>
            <w:r/>
            <w:r>
              <w:rPr>
                <w:b/>
                <w:color w:val="FFFFFF"/>
                <w:sz w:val="19"/>
              </w:rPr>
              <w:t>Step</w:t>
            </w:r>
          </w:p>
        </w:tc>
        <w:tc>
          <w:tcPr>
            <w:tcW w:type="dxa" w:w="3408"/>
            <w:vAlign w:val="center"/>
            <w:shd w:fill="2F75B5"/>
          </w:tcPr>
          <w:p>
            <w:r/>
            <w:r>
              <w:rPr>
                <w:b/>
                <w:color w:val="FFFFFF"/>
                <w:sz w:val="19"/>
              </w:rPr>
              <w:t>Stage</w:t>
            </w:r>
          </w:p>
        </w:tc>
        <w:tc>
          <w:tcPr>
            <w:tcW w:type="dxa" w:w="3408"/>
            <w:vAlign w:val="center"/>
            <w:shd w:fill="2F75B5"/>
          </w:tcPr>
          <w:p>
            <w:r/>
            <w:r>
              <w:rPr>
                <w:b/>
                <w:color w:val="FFFFFF"/>
                <w:sz w:val="19"/>
              </w:rPr>
              <w:t>Activity</w:t>
            </w:r>
          </w:p>
        </w:tc>
      </w:tr>
      <w:tr>
        <w:tc>
          <w:tcPr>
            <w:tcW w:type="dxa" w:w="3408"/>
            <w:vAlign w:val="center"/>
          </w:tcPr>
          <w:p>
            <w:r/>
            <w:r>
              <w:rPr>
                <w:b/>
                <w:color w:val="2F75B5"/>
                <w:sz w:val="19"/>
              </w:rPr>
              <w:t>01</w:t>
            </w:r>
          </w:p>
        </w:tc>
        <w:tc>
          <w:tcPr>
            <w:tcW w:type="dxa" w:w="3408"/>
            <w:vAlign w:val="center"/>
          </w:tcPr>
          <w:p>
            <w:r/>
            <w:r>
              <w:rPr>
                <w:b/>
                <w:color w:val="17365D"/>
                <w:sz w:val="19"/>
              </w:rPr>
              <w:t>Client Request</w:t>
            </w:r>
          </w:p>
        </w:tc>
        <w:tc>
          <w:tcPr>
            <w:tcW w:type="dxa" w:w="3408"/>
            <w:vAlign w:val="center"/>
          </w:tcPr>
          <w:p>
            <w:r/>
            <w:r>
              <w:rPr>
                <w:b w:val="0"/>
                <w:color w:val="1F2937"/>
                <w:sz w:val="19"/>
              </w:rPr>
              <w:t>Client provides source name, folder name, owner, user details and required access.</w:t>
            </w:r>
          </w:p>
        </w:tc>
      </w:tr>
      <w:tr>
        <w:tc>
          <w:tcPr>
            <w:tcW w:type="dxa" w:w="3408"/>
            <w:vAlign w:val="center"/>
          </w:tcPr>
          <w:p>
            <w:r/>
            <w:r>
              <w:rPr>
                <w:b/>
                <w:color w:val="2F75B5"/>
                <w:sz w:val="19"/>
              </w:rPr>
              <w:t>02</w:t>
            </w:r>
          </w:p>
        </w:tc>
        <w:tc>
          <w:tcPr>
            <w:tcW w:type="dxa" w:w="3408"/>
            <w:vAlign w:val="center"/>
          </w:tcPr>
          <w:p>
            <w:r/>
            <w:r>
              <w:rPr>
                <w:b/>
                <w:color w:val="17365D"/>
                <w:sz w:val="19"/>
              </w:rPr>
              <w:t>Request.json</w:t>
            </w:r>
          </w:p>
        </w:tc>
        <w:tc>
          <w:tcPr>
            <w:tcW w:type="dxa" w:w="3408"/>
            <w:vAlign w:val="center"/>
          </w:tcPr>
          <w:p>
            <w:r/>
            <w:r>
              <w:rPr>
                <w:b w:val="0"/>
                <w:color w:val="1F2937"/>
                <w:sz w:val="19"/>
              </w:rPr>
              <w:t>Excel data is transformed into a standardized machine-readable request.</w:t>
            </w:r>
          </w:p>
        </w:tc>
      </w:tr>
      <w:tr>
        <w:tc>
          <w:tcPr>
            <w:tcW w:type="dxa" w:w="3408"/>
            <w:vAlign w:val="center"/>
          </w:tcPr>
          <w:p>
            <w:r/>
            <w:r>
              <w:rPr>
                <w:b/>
                <w:color w:val="2F75B5"/>
                <w:sz w:val="19"/>
              </w:rPr>
              <w:t>03</w:t>
            </w:r>
          </w:p>
        </w:tc>
        <w:tc>
          <w:tcPr>
            <w:tcW w:type="dxa" w:w="3408"/>
            <w:vAlign w:val="center"/>
          </w:tcPr>
          <w:p>
            <w:r/>
            <w:r>
              <w:rPr>
                <w:b/>
                <w:color w:val="17365D"/>
                <w:sz w:val="19"/>
              </w:rPr>
              <w:t>Main.ps1</w:t>
            </w:r>
          </w:p>
        </w:tc>
        <w:tc>
          <w:tcPr>
            <w:tcW w:type="dxa" w:w="3408"/>
            <w:vAlign w:val="center"/>
          </w:tcPr>
          <w:p>
            <w:r/>
            <w:r>
              <w:rPr>
                <w:b w:val="0"/>
                <w:color w:val="1F2937"/>
                <w:sz w:val="19"/>
              </w:rPr>
              <w:t>Validates input and invokes modules in the required order.</w:t>
            </w:r>
          </w:p>
        </w:tc>
      </w:tr>
      <w:tr>
        <w:tc>
          <w:tcPr>
            <w:tcW w:type="dxa" w:w="3408"/>
            <w:vAlign w:val="center"/>
          </w:tcPr>
          <w:p>
            <w:r/>
            <w:r>
              <w:rPr>
                <w:b/>
                <w:color w:val="2F75B5"/>
                <w:sz w:val="19"/>
              </w:rPr>
              <w:t>04</w:t>
            </w:r>
          </w:p>
        </w:tc>
        <w:tc>
          <w:tcPr>
            <w:tcW w:type="dxa" w:w="3408"/>
            <w:vAlign w:val="center"/>
          </w:tcPr>
          <w:p>
            <w:r/>
            <w:r>
              <w:rPr>
                <w:b/>
                <w:color w:val="17365D"/>
                <w:sz w:val="19"/>
              </w:rPr>
              <w:t>Folder.ps1</w:t>
            </w:r>
          </w:p>
        </w:tc>
        <w:tc>
          <w:tcPr>
            <w:tcW w:type="dxa" w:w="3408"/>
            <w:vAlign w:val="center"/>
          </w:tcPr>
          <w:p>
            <w:r/>
            <w:r>
              <w:rPr>
                <w:b w:val="0"/>
                <w:color w:val="1F2937"/>
                <w:sz w:val="19"/>
              </w:rPr>
              <w:t>Creates or verifies the target folder/path.</w:t>
            </w:r>
          </w:p>
        </w:tc>
      </w:tr>
      <w:tr>
        <w:tc>
          <w:tcPr>
            <w:tcW w:type="dxa" w:w="3408"/>
            <w:vAlign w:val="center"/>
          </w:tcPr>
          <w:p>
            <w:r/>
            <w:r>
              <w:rPr>
                <w:b/>
                <w:color w:val="2F75B5"/>
                <w:sz w:val="19"/>
              </w:rPr>
              <w:t>05</w:t>
            </w:r>
          </w:p>
        </w:tc>
        <w:tc>
          <w:tcPr>
            <w:tcW w:type="dxa" w:w="3408"/>
            <w:vAlign w:val="center"/>
          </w:tcPr>
          <w:p>
            <w:r/>
            <w:r>
              <w:rPr>
                <w:b/>
                <w:color w:val="17365D"/>
                <w:sz w:val="19"/>
              </w:rPr>
              <w:t>LocalUser.ps1</w:t>
            </w:r>
          </w:p>
        </w:tc>
        <w:tc>
          <w:tcPr>
            <w:tcW w:type="dxa" w:w="3408"/>
            <w:vAlign w:val="center"/>
          </w:tcPr>
          <w:p>
            <w:r/>
            <w:r>
              <w:rPr>
                <w:b w:val="0"/>
                <w:color w:val="1F2937"/>
                <w:sz w:val="19"/>
              </w:rPr>
              <w:t>Creates or verifies the SFTP user and retrieves the Azure-generated User ID.</w:t>
            </w:r>
          </w:p>
        </w:tc>
      </w:tr>
      <w:tr>
        <w:tc>
          <w:tcPr>
            <w:tcW w:type="dxa" w:w="3408"/>
            <w:vAlign w:val="center"/>
          </w:tcPr>
          <w:p>
            <w:r/>
            <w:r>
              <w:rPr>
                <w:b/>
                <w:color w:val="2F75B5"/>
                <w:sz w:val="19"/>
              </w:rPr>
              <w:t>06</w:t>
            </w:r>
          </w:p>
        </w:tc>
        <w:tc>
          <w:tcPr>
            <w:tcW w:type="dxa" w:w="3408"/>
            <w:vAlign w:val="center"/>
          </w:tcPr>
          <w:p>
            <w:r/>
            <w:r>
              <w:rPr>
                <w:b/>
                <w:color w:val="17365D"/>
                <w:sz w:val="19"/>
              </w:rPr>
              <w:t>Group ID Resolution</w:t>
            </w:r>
          </w:p>
        </w:tc>
        <w:tc>
          <w:tcPr>
            <w:tcW w:type="dxa" w:w="3408"/>
            <w:vAlign w:val="center"/>
          </w:tcPr>
          <w:p>
            <w:r/>
            <w:r>
              <w:rPr>
                <w:b w:val="0"/>
                <w:color w:val="1F2937"/>
                <w:sz w:val="19"/>
              </w:rPr>
              <w:t>Looks up or receives the approved Group ID according to the project's existing convention.</w:t>
            </w:r>
          </w:p>
        </w:tc>
      </w:tr>
      <w:tr>
        <w:tc>
          <w:tcPr>
            <w:tcW w:type="dxa" w:w="3408"/>
            <w:vAlign w:val="center"/>
          </w:tcPr>
          <w:p>
            <w:r/>
            <w:r>
              <w:rPr>
                <w:b/>
                <w:color w:val="2F75B5"/>
                <w:sz w:val="19"/>
              </w:rPr>
              <w:t>07</w:t>
            </w:r>
          </w:p>
        </w:tc>
        <w:tc>
          <w:tcPr>
            <w:tcW w:type="dxa" w:w="3408"/>
            <w:vAlign w:val="center"/>
          </w:tcPr>
          <w:p>
            <w:r/>
            <w:r>
              <w:rPr>
                <w:b/>
                <w:color w:val="17365D"/>
                <w:sz w:val="19"/>
              </w:rPr>
              <w:t>Permissions.ps1</w:t>
            </w:r>
          </w:p>
        </w:tc>
        <w:tc>
          <w:tcPr>
            <w:tcW w:type="dxa" w:w="3408"/>
            <w:vAlign w:val="center"/>
          </w:tcPr>
          <w:p>
            <w:r/>
            <w:r>
              <w:rPr>
                <w:b w:val="0"/>
                <w:color w:val="1F2937"/>
                <w:sz w:val="19"/>
              </w:rPr>
              <w:t>Applies permission scope and ACL settings.</w:t>
            </w:r>
          </w:p>
        </w:tc>
      </w:tr>
      <w:tr>
        <w:tc>
          <w:tcPr>
            <w:tcW w:type="dxa" w:w="3408"/>
            <w:vAlign w:val="center"/>
          </w:tcPr>
          <w:p>
            <w:r/>
            <w:r>
              <w:rPr>
                <w:b/>
                <w:color w:val="2F75B5"/>
                <w:sz w:val="19"/>
              </w:rPr>
              <w:t>08</w:t>
            </w:r>
          </w:p>
        </w:tc>
        <w:tc>
          <w:tcPr>
            <w:tcW w:type="dxa" w:w="3408"/>
            <w:vAlign w:val="center"/>
          </w:tcPr>
          <w:p>
            <w:r/>
            <w:r>
              <w:rPr>
                <w:b/>
                <w:color w:val="17365D"/>
                <w:sz w:val="19"/>
              </w:rPr>
              <w:t>KeyVault.ps1</w:t>
            </w:r>
          </w:p>
        </w:tc>
        <w:tc>
          <w:tcPr>
            <w:tcW w:type="dxa" w:w="3408"/>
            <w:vAlign w:val="center"/>
          </w:tcPr>
          <w:p>
            <w:r/>
            <w:r>
              <w:rPr>
                <w:b w:val="0"/>
                <w:color w:val="1F2937"/>
                <w:sz w:val="19"/>
              </w:rPr>
              <w:t>Stores the generated password securely.</w:t>
            </w:r>
          </w:p>
        </w:tc>
      </w:tr>
      <w:tr>
        <w:tc>
          <w:tcPr>
            <w:tcW w:type="dxa" w:w="3408"/>
            <w:vAlign w:val="center"/>
          </w:tcPr>
          <w:p>
            <w:r/>
            <w:r>
              <w:rPr>
                <w:b/>
                <w:color w:val="2F75B5"/>
                <w:sz w:val="19"/>
              </w:rPr>
              <w:t>09</w:t>
            </w:r>
          </w:p>
        </w:tc>
        <w:tc>
          <w:tcPr>
            <w:tcW w:type="dxa" w:w="3408"/>
            <w:vAlign w:val="center"/>
          </w:tcPr>
          <w:p>
            <w:r/>
            <w:r>
              <w:rPr>
                <w:b/>
                <w:color w:val="17365D"/>
                <w:sz w:val="19"/>
              </w:rPr>
              <w:t>Validation.ps1</w:t>
            </w:r>
          </w:p>
        </w:tc>
        <w:tc>
          <w:tcPr>
            <w:tcW w:type="dxa" w:w="3408"/>
            <w:vAlign w:val="center"/>
          </w:tcPr>
          <w:p>
            <w:r/>
            <w:r>
              <w:rPr>
                <w:b w:val="0"/>
                <w:color w:val="1F2937"/>
                <w:sz w:val="19"/>
              </w:rPr>
              <w:t>Performs post-provisioning checks and reports the result.</w:t>
            </w:r>
          </w:p>
        </w:tc>
      </w:tr>
    </w:tbl>
    <w:p>
      <w:pPr>
        <w:pStyle w:val="Heading1"/>
      </w:pPr>
      <w:r>
        <w:t>6. User ID vs Group ID</w:t>
      </w:r>
    </w:p>
    <w:p>
      <w:r>
        <w:t>The POC treats User ID and Group ID as separate concepts with different ownership and lifecycle.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65D"/>
          </w:tcPr>
          <w:p>
            <w:r/>
            <w:r>
              <w:rPr>
                <w:b/>
                <w:color w:val="FFFFFF"/>
                <w:sz w:val="19"/>
              </w:rPr>
              <w:t>Item</w:t>
            </w:r>
          </w:p>
        </w:tc>
        <w:tc>
          <w:tcPr>
            <w:tcW w:type="dxa" w:w="2556"/>
            <w:vAlign w:val="center"/>
            <w:shd w:fill="17365D"/>
          </w:tcPr>
          <w:p>
            <w:r/>
            <w:r>
              <w:rPr>
                <w:b/>
                <w:color w:val="FFFFFF"/>
                <w:sz w:val="19"/>
              </w:rPr>
              <w:t>Meaning</w:t>
            </w:r>
          </w:p>
        </w:tc>
        <w:tc>
          <w:tcPr>
            <w:tcW w:type="dxa" w:w="2556"/>
            <w:vAlign w:val="center"/>
            <w:shd w:fill="17365D"/>
          </w:tcPr>
          <w:p>
            <w:r/>
            <w:r>
              <w:rPr>
                <w:b/>
                <w:color w:val="FFFFFF"/>
                <w:sz w:val="19"/>
              </w:rPr>
              <w:t>Determined By</w:t>
            </w:r>
          </w:p>
        </w:tc>
        <w:tc>
          <w:tcPr>
            <w:tcW w:type="dxa" w:w="2556"/>
            <w:vAlign w:val="center"/>
            <w:shd w:fill="17365D"/>
          </w:tcPr>
          <w:p>
            <w:r/>
            <w:r>
              <w:rPr>
                <w:b/>
                <w:color w:val="FFFFFF"/>
                <w:sz w:val="19"/>
              </w:rPr>
              <w:t>Automation Approach</w:t>
            </w:r>
          </w:p>
        </w:tc>
      </w:tr>
      <w:tr>
        <w:tc>
          <w:tcPr>
            <w:tcW w:type="dxa" w:w="2556"/>
            <w:vAlign w:val="center"/>
          </w:tcPr>
          <w:p>
            <w:r/>
            <w:r>
              <w:rPr>
                <w:b w:val="0"/>
                <w:color w:val="1F2937"/>
                <w:sz w:val="19"/>
              </w:rPr>
              <w:t>User ID</w:t>
            </w:r>
          </w:p>
        </w:tc>
        <w:tc>
          <w:tcPr>
            <w:tcW w:type="dxa" w:w="2556"/>
            <w:vAlign w:val="center"/>
          </w:tcPr>
          <w:p>
            <w:r/>
            <w:r>
              <w:rPr>
                <w:b w:val="0"/>
                <w:color w:val="1F2937"/>
                <w:sz w:val="19"/>
              </w:rPr>
              <w:t>Unique identity identifier associated with the SFTP local user.</w:t>
            </w:r>
          </w:p>
        </w:tc>
        <w:tc>
          <w:tcPr>
            <w:tcW w:type="dxa" w:w="2556"/>
            <w:vAlign w:val="center"/>
          </w:tcPr>
          <w:p>
            <w:r/>
            <w:r>
              <w:rPr>
                <w:b w:val="0"/>
                <w:color w:val="1F2937"/>
                <w:sz w:val="19"/>
              </w:rPr>
              <w:t>Azure / platform</w:t>
            </w:r>
          </w:p>
        </w:tc>
        <w:tc>
          <w:tcPr>
            <w:tcW w:type="dxa" w:w="2556"/>
            <w:vAlign w:val="center"/>
          </w:tcPr>
          <w:p>
            <w:r/>
            <w:r>
              <w:rPr>
                <w:b w:val="0"/>
                <w:color w:val="1F2937"/>
                <w:sz w:val="19"/>
              </w:rPr>
              <w:t>Create user, then retrieve and record the generated User ID.</w:t>
            </w:r>
          </w:p>
        </w:tc>
      </w:tr>
      <w:tr>
        <w:tc>
          <w:tcPr>
            <w:tcW w:type="dxa" w:w="2556"/>
            <w:vAlign w:val="center"/>
          </w:tcPr>
          <w:p>
            <w:r/>
            <w:r>
              <w:rPr>
                <w:b w:val="0"/>
                <w:color w:val="1F2937"/>
                <w:sz w:val="19"/>
              </w:rPr>
              <w:t>Group ID</w:t>
            </w:r>
          </w:p>
        </w:tc>
        <w:tc>
          <w:tcPr>
            <w:tcW w:type="dxa" w:w="2556"/>
            <w:vAlign w:val="center"/>
          </w:tcPr>
          <w:p>
            <w:r/>
            <w:r>
              <w:rPr>
                <w:b w:val="0"/>
                <w:color w:val="1F2937"/>
                <w:sz w:val="19"/>
              </w:rPr>
              <w:t>Project-defined identifier used as part of the existing access model.</w:t>
            </w:r>
          </w:p>
        </w:tc>
        <w:tc>
          <w:tcPr>
            <w:tcW w:type="dxa" w:w="2556"/>
            <w:vAlign w:val="center"/>
          </w:tcPr>
          <w:p>
            <w:r/>
            <w:r>
              <w:rPr>
                <w:b w:val="0"/>
                <w:color w:val="1F2937"/>
                <w:sz w:val="19"/>
              </w:rPr>
              <w:t>Project / administrator</w:t>
            </w:r>
          </w:p>
        </w:tc>
        <w:tc>
          <w:tcPr>
            <w:tcW w:type="dxa" w:w="2556"/>
            <w:vAlign w:val="center"/>
          </w:tcPr>
          <w:p>
            <w:r/>
            <w:r>
              <w:rPr>
                <w:b w:val="0"/>
                <w:color w:val="1F2937"/>
                <w:sz w:val="19"/>
              </w:rPr>
              <w:t>Resolve from an approved mapping or source of truth; do not randomly generate.</w:t>
            </w:r>
          </w:p>
        </w:tc>
      </w:tr>
    </w:tbl>
    <w:p>
      <w:pPr>
        <w:pStyle w:val="Heading1"/>
      </w:pPr>
      <w:r>
        <w:t>7. Group ID Strategy — POC Decision Point</w:t>
      </w:r>
    </w:p>
    <w:p>
      <w:r>
        <w:t>The POC should first inspect one or more existing production/project local users to identify the current Group ID lifecycle. Only after this is confirmed should the automation implement a mapping or lookup rule.</w:t>
      </w:r>
    </w:p>
    <w:p>
      <w:r>
        <w:rPr>
          <w:b/>
          <w:color w:val="BF9000"/>
        </w:rPr>
        <w:t>Illustrative mapping only — not a proposed production mapping:</w:t>
      </w:r>
    </w:p>
    <w:p>
      <w:pPr>
        <w:pStyle w:val="ListBullet"/>
      </w:pPr>
      <w:r>
        <w:t>10001 → JPMorgan</w:t>
      </w:r>
    </w:p>
    <w:p>
      <w:pPr>
        <w:pStyle w:val="ListBullet"/>
      </w:pPr>
      <w:r>
        <w:t>10002 → Rock</w:t>
      </w:r>
    </w:p>
    <w:p>
      <w:pPr>
        <w:pStyle w:val="ListBullet"/>
      </w:pPr>
      <w:r>
        <w:t>10003 → ABC</w:t>
      </w:r>
    </w:p>
    <w:p>
      <w:pPr>
        <w:pStyle w:val="ListBullet"/>
      </w:pPr>
      <w:r>
        <w:t>10004 → XYZ</w:t>
      </w:r>
    </w:p>
    <w:p>
      <w:r>
        <w:t>These values are examples to demonstrate the design. They must not be used in production unless they match the project's approved Group ID source of truth.</w:t>
      </w:r>
    </w:p>
    <w:p>
      <w:pPr>
        <w:pStyle w:val="Heading1"/>
      </w:pPr>
      <w:r>
        <w:t>8. Existing Project Information Required</w:t>
      </w:r>
    </w:p>
    <w:p>
      <w:r>
        <w:t>To reproduce the current project behavior accurately, capture one representative existing local user with:</w:t>
      </w:r>
    </w:p>
    <w:p>
      <w:pPr>
        <w:pStyle w:val="ListBullet"/>
      </w:pPr>
      <w:r>
        <w:t>User ID</w:t>
      </w:r>
    </w:p>
    <w:p>
      <w:pPr>
        <w:pStyle w:val="ListBullet"/>
      </w:pPr>
      <w:r>
        <w:t>Group ID</w:t>
      </w:r>
    </w:p>
    <w:p>
      <w:pPr>
        <w:pStyle w:val="ListBullet"/>
      </w:pPr>
      <w:r>
        <w:t>Home Directory / target SFTP path</w:t>
      </w:r>
    </w:p>
    <w:p>
      <w:pPr>
        <w:pStyle w:val="ListBullet"/>
      </w:pPr>
      <w:r>
        <w:t>Permission Scope</w:t>
      </w:r>
    </w:p>
    <w:p>
      <w:pPr>
        <w:pStyle w:val="ListBullet"/>
      </w:pPr>
      <w:r>
        <w:t>ACL Authentication setting</w:t>
      </w:r>
    </w:p>
    <w:p>
      <w:pPr>
        <w:pStyle w:val="ListBullet"/>
      </w:pPr>
      <w:r>
        <w:t>Container / storage account relationship</w:t>
      </w:r>
    </w:p>
    <w:p>
      <w:pPr>
        <w:pStyle w:val="ListBullet"/>
      </w:pPr>
      <w:r>
        <w:t>Whether password or SSH key authentication is used</w:t>
      </w:r>
    </w:p>
    <w:p>
      <w:pPr>
        <w:pStyle w:val="ListBullet"/>
      </w:pPr>
      <w:r>
        <w:t>How Group ID is assigned or maintained today (mapping file, ticket, database, admin convention, etc.)</w:t>
      </w:r>
    </w:p>
    <w:p>
      <w:r>
        <w:rPr>
          <w:b/>
        </w:rPr>
        <w:t xml:space="preserve">Security note: </w:t>
      </w:r>
      <w:r>
        <w:t>Do not include real passwords, SAS tokens, private keys, or other secrets in the POC document.</w:t>
      </w:r>
    </w:p>
    <w:p>
      <w:pPr>
        <w:pStyle w:val="Heading1"/>
      </w:pPr>
      <w:r>
        <w:t>9. Proposed Request Structure</w:t>
      </w:r>
    </w:p>
    <w:p>
      <w:r>
        <w:t>The client Excel can be the business-friendly intake format, while Request.json becomes the automation contract.</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2F75B5"/>
          </w:tcPr>
          <w:p>
            <w:r/>
            <w:r>
              <w:rPr>
                <w:b/>
                <w:color w:val="FFFFFF"/>
                <w:sz w:val="19"/>
              </w:rPr>
              <w:t>Field</w:t>
            </w:r>
          </w:p>
        </w:tc>
        <w:tc>
          <w:tcPr>
            <w:tcW w:type="dxa" w:w="3408"/>
            <w:vAlign w:val="center"/>
            <w:shd w:fill="2F75B5"/>
          </w:tcPr>
          <w:p>
            <w:r/>
            <w:r>
              <w:rPr>
                <w:b/>
                <w:color w:val="FFFFFF"/>
                <w:sz w:val="19"/>
              </w:rPr>
              <w:t>Example</w:t>
            </w:r>
          </w:p>
        </w:tc>
        <w:tc>
          <w:tcPr>
            <w:tcW w:type="dxa" w:w="3408"/>
            <w:vAlign w:val="center"/>
            <w:shd w:fill="2F75B5"/>
          </w:tcPr>
          <w:p>
            <w:r/>
            <w:r>
              <w:rPr>
                <w:b/>
                <w:color w:val="FFFFFF"/>
                <w:sz w:val="19"/>
              </w:rPr>
              <w:t>Purpose</w:t>
            </w:r>
          </w:p>
        </w:tc>
      </w:tr>
      <w:tr>
        <w:tc>
          <w:tcPr>
            <w:tcW w:type="dxa" w:w="3408"/>
            <w:vAlign w:val="center"/>
          </w:tcPr>
          <w:p>
            <w:r/>
            <w:r>
              <w:rPr>
                <w:b w:val="0"/>
                <w:color w:val="1F2937"/>
                <w:sz w:val="19"/>
              </w:rPr>
              <w:t>SourceName</w:t>
            </w:r>
          </w:p>
        </w:tc>
        <w:tc>
          <w:tcPr>
            <w:tcW w:type="dxa" w:w="3408"/>
            <w:vAlign w:val="center"/>
          </w:tcPr>
          <w:p>
            <w:r/>
            <w:r>
              <w:rPr>
                <w:b w:val="0"/>
                <w:color w:val="1F2937"/>
                <w:sz w:val="19"/>
              </w:rPr>
              <w:t>JPMorgan</w:t>
            </w:r>
          </w:p>
        </w:tc>
        <w:tc>
          <w:tcPr>
            <w:tcW w:type="dxa" w:w="3408"/>
            <w:vAlign w:val="center"/>
          </w:tcPr>
          <w:p>
            <w:r/>
            <w:r>
              <w:rPr>
                <w:b w:val="0"/>
                <w:color w:val="1F2937"/>
                <w:sz w:val="19"/>
              </w:rPr>
              <w:t>Client/source identifier</w:t>
            </w:r>
          </w:p>
        </w:tc>
      </w:tr>
      <w:tr>
        <w:tc>
          <w:tcPr>
            <w:tcW w:type="dxa" w:w="3408"/>
            <w:vAlign w:val="center"/>
          </w:tcPr>
          <w:p>
            <w:r/>
            <w:r>
              <w:rPr>
                <w:b w:val="0"/>
                <w:color w:val="1F2937"/>
                <w:sz w:val="19"/>
              </w:rPr>
              <w:t>FolderName</w:t>
            </w:r>
          </w:p>
        </w:tc>
        <w:tc>
          <w:tcPr>
            <w:tcW w:type="dxa" w:w="3408"/>
            <w:vAlign w:val="center"/>
          </w:tcPr>
          <w:p>
            <w:r/>
            <w:r>
              <w:rPr>
                <w:b w:val="0"/>
                <w:color w:val="1F2937"/>
                <w:sz w:val="19"/>
              </w:rPr>
              <w:t>Sailpoint_Rock</w:t>
            </w:r>
          </w:p>
        </w:tc>
        <w:tc>
          <w:tcPr>
            <w:tcW w:type="dxa" w:w="3408"/>
            <w:vAlign w:val="center"/>
          </w:tcPr>
          <w:p>
            <w:r/>
            <w:r>
              <w:rPr>
                <w:b w:val="0"/>
                <w:color w:val="1F2937"/>
                <w:sz w:val="19"/>
              </w:rPr>
              <w:t>Required SFTP folder</w:t>
            </w:r>
          </w:p>
        </w:tc>
      </w:tr>
      <w:tr>
        <w:tc>
          <w:tcPr>
            <w:tcW w:type="dxa" w:w="3408"/>
            <w:vAlign w:val="center"/>
          </w:tcPr>
          <w:p>
            <w:r/>
            <w:r>
              <w:rPr>
                <w:b w:val="0"/>
                <w:color w:val="1F2937"/>
                <w:sz w:val="19"/>
              </w:rPr>
              <w:t>OwnerName</w:t>
            </w:r>
          </w:p>
        </w:tc>
        <w:tc>
          <w:tcPr>
            <w:tcW w:type="dxa" w:w="3408"/>
            <w:vAlign w:val="center"/>
          </w:tcPr>
          <w:p>
            <w:r/>
            <w:r>
              <w:rPr>
                <w:b w:val="0"/>
                <w:color w:val="1F2937"/>
                <w:sz w:val="19"/>
              </w:rPr>
              <w:t>&lt;Owner&gt;</w:t>
            </w:r>
          </w:p>
        </w:tc>
        <w:tc>
          <w:tcPr>
            <w:tcW w:type="dxa" w:w="3408"/>
            <w:vAlign w:val="center"/>
          </w:tcPr>
          <w:p>
            <w:r/>
            <w:r>
              <w:rPr>
                <w:b w:val="0"/>
                <w:color w:val="1F2937"/>
                <w:sz w:val="19"/>
              </w:rPr>
              <w:t>Business/technical owner</w:t>
            </w:r>
          </w:p>
        </w:tc>
      </w:tr>
      <w:tr>
        <w:tc>
          <w:tcPr>
            <w:tcW w:type="dxa" w:w="3408"/>
            <w:vAlign w:val="center"/>
          </w:tcPr>
          <w:p>
            <w:r/>
            <w:r>
              <w:rPr>
                <w:b w:val="0"/>
                <w:color w:val="1F2937"/>
                <w:sz w:val="19"/>
              </w:rPr>
              <w:t>Username</w:t>
            </w:r>
          </w:p>
        </w:tc>
        <w:tc>
          <w:tcPr>
            <w:tcW w:type="dxa" w:w="3408"/>
            <w:vAlign w:val="center"/>
          </w:tcPr>
          <w:p>
            <w:r/>
            <w:r>
              <w:rPr>
                <w:b w:val="0"/>
                <w:color w:val="1F2937"/>
                <w:sz w:val="19"/>
              </w:rPr>
              <w:t>&lt;sftp-user&gt;</w:t>
            </w:r>
          </w:p>
        </w:tc>
        <w:tc>
          <w:tcPr>
            <w:tcW w:type="dxa" w:w="3408"/>
            <w:vAlign w:val="center"/>
          </w:tcPr>
          <w:p>
            <w:r/>
            <w:r>
              <w:rPr>
                <w:b w:val="0"/>
                <w:color w:val="1F2937"/>
                <w:sz w:val="19"/>
              </w:rPr>
              <w:t>Requested SFTP username</w:t>
            </w:r>
          </w:p>
        </w:tc>
      </w:tr>
      <w:tr>
        <w:tc>
          <w:tcPr>
            <w:tcW w:type="dxa" w:w="3408"/>
            <w:vAlign w:val="center"/>
          </w:tcPr>
          <w:p>
            <w:r/>
            <w:r>
              <w:rPr>
                <w:b w:val="0"/>
                <w:color w:val="1F2937"/>
                <w:sz w:val="19"/>
              </w:rPr>
              <w:t>Authentication</w:t>
            </w:r>
          </w:p>
        </w:tc>
        <w:tc>
          <w:tcPr>
            <w:tcW w:type="dxa" w:w="3408"/>
            <w:vAlign w:val="center"/>
          </w:tcPr>
          <w:p>
            <w:r/>
            <w:r>
              <w:rPr>
                <w:b w:val="0"/>
                <w:color w:val="1F2937"/>
                <w:sz w:val="19"/>
              </w:rPr>
              <w:t>Password / SSH Key</w:t>
            </w:r>
          </w:p>
        </w:tc>
        <w:tc>
          <w:tcPr>
            <w:tcW w:type="dxa" w:w="3408"/>
            <w:vAlign w:val="center"/>
          </w:tcPr>
          <w:p>
            <w:r/>
            <w:r>
              <w:rPr>
                <w:b w:val="0"/>
                <w:color w:val="1F2937"/>
                <w:sz w:val="19"/>
              </w:rPr>
              <w:t>Authentication method</w:t>
            </w:r>
          </w:p>
        </w:tc>
      </w:tr>
      <w:tr>
        <w:tc>
          <w:tcPr>
            <w:tcW w:type="dxa" w:w="3408"/>
            <w:vAlign w:val="center"/>
          </w:tcPr>
          <w:p>
            <w:r/>
            <w:r>
              <w:rPr>
                <w:b w:val="0"/>
                <w:color w:val="1F2937"/>
                <w:sz w:val="19"/>
              </w:rPr>
              <w:t>GroupId</w:t>
            </w:r>
          </w:p>
        </w:tc>
        <w:tc>
          <w:tcPr>
            <w:tcW w:type="dxa" w:w="3408"/>
            <w:vAlign w:val="center"/>
          </w:tcPr>
          <w:p>
            <w:r/>
            <w:r>
              <w:rPr>
                <w:b w:val="0"/>
                <w:color w:val="1F2937"/>
                <w:sz w:val="19"/>
              </w:rPr>
              <w:t>Resolved by automation</w:t>
            </w:r>
          </w:p>
        </w:tc>
        <w:tc>
          <w:tcPr>
            <w:tcW w:type="dxa" w:w="3408"/>
            <w:vAlign w:val="center"/>
          </w:tcPr>
          <w:p>
            <w:r/>
            <w:r>
              <w:rPr>
                <w:b w:val="0"/>
                <w:color w:val="1F2937"/>
                <w:sz w:val="19"/>
              </w:rPr>
              <w:t>Approved project Group ID</w:t>
            </w:r>
          </w:p>
        </w:tc>
      </w:tr>
      <w:tr>
        <w:tc>
          <w:tcPr>
            <w:tcW w:type="dxa" w:w="3408"/>
            <w:vAlign w:val="center"/>
          </w:tcPr>
          <w:p>
            <w:r/>
            <w:r>
              <w:rPr>
                <w:b w:val="0"/>
                <w:color w:val="1F2937"/>
                <w:sz w:val="19"/>
              </w:rPr>
              <w:t>AclAuthentication</w:t>
            </w:r>
          </w:p>
        </w:tc>
        <w:tc>
          <w:tcPr>
            <w:tcW w:type="dxa" w:w="3408"/>
            <w:vAlign w:val="center"/>
          </w:tcPr>
          <w:p>
            <w:r/>
            <w:r>
              <w:rPr>
                <w:b w:val="0"/>
                <w:color w:val="1F2937"/>
                <w:sz w:val="19"/>
              </w:rPr>
              <w:t>Enabled</w:t>
            </w:r>
          </w:p>
        </w:tc>
        <w:tc>
          <w:tcPr>
            <w:tcW w:type="dxa" w:w="3408"/>
            <w:vAlign w:val="center"/>
          </w:tcPr>
          <w:p>
            <w:r/>
            <w:r>
              <w:rPr>
                <w:b w:val="0"/>
                <w:color w:val="1F2937"/>
                <w:sz w:val="19"/>
              </w:rPr>
              <w:t>Project-required ACL behavior</w:t>
            </w:r>
          </w:p>
        </w:tc>
      </w:tr>
      <w:tr>
        <w:tc>
          <w:tcPr>
            <w:tcW w:type="dxa" w:w="3408"/>
            <w:vAlign w:val="center"/>
          </w:tcPr>
          <w:p>
            <w:r/>
            <w:r>
              <w:rPr>
                <w:b w:val="0"/>
                <w:color w:val="1F2937"/>
                <w:sz w:val="19"/>
              </w:rPr>
              <w:t>Remarks</w:t>
            </w:r>
          </w:p>
        </w:tc>
        <w:tc>
          <w:tcPr>
            <w:tcW w:type="dxa" w:w="3408"/>
            <w:vAlign w:val="center"/>
          </w:tcPr>
          <w:p>
            <w:r/>
            <w:r>
              <w:rPr>
                <w:b w:val="0"/>
                <w:color w:val="1F2937"/>
                <w:sz w:val="19"/>
              </w:rPr>
              <w:t>&lt;optional&gt;</w:t>
            </w:r>
          </w:p>
        </w:tc>
        <w:tc>
          <w:tcPr>
            <w:tcW w:type="dxa" w:w="3408"/>
            <w:vAlign w:val="center"/>
          </w:tcPr>
          <w:p>
            <w:r/>
            <w:r>
              <w:rPr>
                <w:b w:val="0"/>
                <w:color w:val="1F2937"/>
                <w:sz w:val="19"/>
              </w:rPr>
              <w:t>Additional onboarding notes</w:t>
            </w:r>
          </w:p>
        </w:tc>
      </w:tr>
    </w:tbl>
    <w:p>
      <w:pPr>
        <w:pStyle w:val="Heading1"/>
      </w:pPr>
      <w:r>
        <w:t>10. Security &amp; Operational Controls</w:t>
      </w:r>
    </w:p>
    <w:p>
      <w:pPr>
        <w:pStyle w:val="ListBullet"/>
      </w:pPr>
      <w:r>
        <w:t>Never store plaintext passwords in Request.json, Excel, source control, or logs.</w:t>
      </w:r>
    </w:p>
    <w:p>
      <w:pPr>
        <w:pStyle w:val="ListBullet"/>
      </w:pPr>
      <w:r>
        <w:t>Use Azure Key Vault for generated credentials/secrets.</w:t>
      </w:r>
    </w:p>
    <w:p>
      <w:pPr>
        <w:pStyle w:val="ListBullet"/>
      </w:pPr>
      <w:r>
        <w:t>Mask secrets in console output and pipeline logs.</w:t>
      </w:r>
    </w:p>
    <w:p>
      <w:pPr>
        <w:pStyle w:val="ListBullet"/>
      </w:pPr>
      <w:r>
        <w:t>Validate that the requested folder and permission scope are within the intended storage account.</w:t>
      </w:r>
    </w:p>
    <w:p>
      <w:pPr>
        <w:pStyle w:val="ListBullet"/>
      </w:pPr>
      <w:r>
        <w:t>Use least-privilege permissions for the automation identity.</w:t>
      </w:r>
    </w:p>
    <w:p>
      <w:pPr>
        <w:pStyle w:val="ListBullet"/>
      </w:pPr>
      <w:r>
        <w:t>Make provisioning idempotent: rerunning the request should verify existing resources instead of creating duplicates.</w:t>
      </w:r>
    </w:p>
    <w:p>
      <w:pPr>
        <w:pStyle w:val="ListBullet"/>
      </w:pPr>
      <w:r>
        <w:t>Log operational metadata such as request ID, timestamp, resource name and status, without logging secrets.</w:t>
      </w:r>
    </w:p>
    <w:p>
      <w:pPr>
        <w:pStyle w:val="Heading1"/>
      </w:pPr>
      <w:r>
        <w:t>11. Validation Checklist</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548235"/>
          </w:tcPr>
          <w:p>
            <w:r/>
            <w:r>
              <w:rPr>
                <w:b/>
                <w:color w:val="FFFFFF"/>
                <w:sz w:val="19"/>
              </w:rPr>
              <w:t>Validation</w:t>
            </w:r>
          </w:p>
        </w:tc>
        <w:tc>
          <w:tcPr>
            <w:tcW w:type="dxa" w:w="3408"/>
            <w:vAlign w:val="center"/>
            <w:shd w:fill="548235"/>
          </w:tcPr>
          <w:p>
            <w:r/>
            <w:r>
              <w:rPr>
                <w:b/>
                <w:color w:val="FFFFFF"/>
                <w:sz w:val="19"/>
              </w:rPr>
              <w:t>Check</w:t>
            </w:r>
          </w:p>
        </w:tc>
        <w:tc>
          <w:tcPr>
            <w:tcW w:type="dxa" w:w="3408"/>
            <w:vAlign w:val="center"/>
            <w:shd w:fill="548235"/>
          </w:tcPr>
          <w:p>
            <w:r/>
            <w:r>
              <w:rPr>
                <w:b/>
                <w:color w:val="FFFFFF"/>
                <w:sz w:val="19"/>
              </w:rPr>
              <w:t>Status</w:t>
            </w:r>
          </w:p>
        </w:tc>
      </w:tr>
      <w:tr>
        <w:tc>
          <w:tcPr>
            <w:tcW w:type="dxa" w:w="3408"/>
            <w:vAlign w:val="center"/>
          </w:tcPr>
          <w:p>
            <w:r/>
            <w:r>
              <w:rPr>
                <w:b w:val="0"/>
                <w:color w:val="1F2937"/>
                <w:sz w:val="19"/>
              </w:rPr>
              <w:t>Folder exists at expected path</w:t>
            </w:r>
          </w:p>
        </w:tc>
        <w:tc>
          <w:tcPr>
            <w:tcW w:type="dxa" w:w="3408"/>
            <w:vAlign w:val="center"/>
          </w:tcPr>
          <w:p>
            <w:r/>
            <w:r>
              <w:rPr>
                <w:b w:val="0"/>
                <w:color w:val="1F2937"/>
                <w:sz w:val="19"/>
              </w:rPr>
              <w:t>Automated validation</w:t>
            </w:r>
          </w:p>
        </w:tc>
        <w:tc>
          <w:tcPr>
            <w:tcW w:type="dxa" w:w="3408"/>
            <w:vAlign w:val="center"/>
          </w:tcPr>
          <w:p>
            <w:r/>
            <w:r>
              <w:rPr>
                <w:b w:val="0"/>
                <w:color w:val="1F2937"/>
                <w:sz w:val="19"/>
              </w:rPr>
              <w:t>PASS / FAIL</w:t>
            </w:r>
          </w:p>
        </w:tc>
      </w:tr>
      <w:tr>
        <w:tc>
          <w:tcPr>
            <w:tcW w:type="dxa" w:w="3408"/>
            <w:vAlign w:val="center"/>
          </w:tcPr>
          <w:p>
            <w:r/>
            <w:r>
              <w:rPr>
                <w:b w:val="0"/>
                <w:color w:val="1F2937"/>
                <w:sz w:val="19"/>
              </w:rPr>
              <w:t>SFTP local user exists</w:t>
            </w:r>
          </w:p>
        </w:tc>
        <w:tc>
          <w:tcPr>
            <w:tcW w:type="dxa" w:w="3408"/>
            <w:vAlign w:val="center"/>
          </w:tcPr>
          <w:p>
            <w:r/>
            <w:r>
              <w:rPr>
                <w:b w:val="0"/>
                <w:color w:val="1F2937"/>
                <w:sz w:val="19"/>
              </w:rPr>
              <w:t>Automated validation</w:t>
            </w:r>
          </w:p>
        </w:tc>
        <w:tc>
          <w:tcPr>
            <w:tcW w:type="dxa" w:w="3408"/>
            <w:vAlign w:val="center"/>
          </w:tcPr>
          <w:p>
            <w:r/>
            <w:r>
              <w:rPr>
                <w:b w:val="0"/>
                <w:color w:val="1F2937"/>
                <w:sz w:val="19"/>
              </w:rPr>
              <w:t>PASS / FAIL</w:t>
            </w:r>
          </w:p>
        </w:tc>
      </w:tr>
      <w:tr>
        <w:tc>
          <w:tcPr>
            <w:tcW w:type="dxa" w:w="3408"/>
            <w:vAlign w:val="center"/>
          </w:tcPr>
          <w:p>
            <w:r/>
            <w:r>
              <w:rPr>
                <w:b w:val="0"/>
                <w:color w:val="1F2937"/>
                <w:sz w:val="19"/>
              </w:rPr>
              <w:t>User ID retrieved successfully</w:t>
            </w:r>
          </w:p>
        </w:tc>
        <w:tc>
          <w:tcPr>
            <w:tcW w:type="dxa" w:w="3408"/>
            <w:vAlign w:val="center"/>
          </w:tcPr>
          <w:p>
            <w:r/>
            <w:r>
              <w:rPr>
                <w:b w:val="0"/>
                <w:color w:val="1F2937"/>
                <w:sz w:val="19"/>
              </w:rPr>
              <w:t>Automated validation</w:t>
            </w:r>
          </w:p>
        </w:tc>
        <w:tc>
          <w:tcPr>
            <w:tcW w:type="dxa" w:w="3408"/>
            <w:vAlign w:val="center"/>
          </w:tcPr>
          <w:p>
            <w:r/>
            <w:r>
              <w:rPr>
                <w:b w:val="0"/>
                <w:color w:val="1F2937"/>
                <w:sz w:val="19"/>
              </w:rPr>
              <w:t>PASS / FAIL</w:t>
            </w:r>
          </w:p>
        </w:tc>
      </w:tr>
      <w:tr>
        <w:tc>
          <w:tcPr>
            <w:tcW w:type="dxa" w:w="3408"/>
            <w:vAlign w:val="center"/>
          </w:tcPr>
          <w:p>
            <w:r/>
            <w:r>
              <w:rPr>
                <w:b w:val="0"/>
                <w:color w:val="1F2937"/>
                <w:sz w:val="19"/>
              </w:rPr>
              <w:t>Correct Group ID resolved</w:t>
            </w:r>
          </w:p>
        </w:tc>
        <w:tc>
          <w:tcPr>
            <w:tcW w:type="dxa" w:w="3408"/>
            <w:vAlign w:val="center"/>
          </w:tcPr>
          <w:p>
            <w:r/>
            <w:r>
              <w:rPr>
                <w:b w:val="0"/>
                <w:color w:val="1F2937"/>
                <w:sz w:val="19"/>
              </w:rPr>
              <w:t>Automated validation</w:t>
            </w:r>
          </w:p>
        </w:tc>
        <w:tc>
          <w:tcPr>
            <w:tcW w:type="dxa" w:w="3408"/>
            <w:vAlign w:val="center"/>
          </w:tcPr>
          <w:p>
            <w:r/>
            <w:r>
              <w:rPr>
                <w:b w:val="0"/>
                <w:color w:val="1F2937"/>
                <w:sz w:val="19"/>
              </w:rPr>
              <w:t>PASS / FAIL</w:t>
            </w:r>
          </w:p>
        </w:tc>
      </w:tr>
      <w:tr>
        <w:tc>
          <w:tcPr>
            <w:tcW w:type="dxa" w:w="3408"/>
            <w:vAlign w:val="center"/>
          </w:tcPr>
          <w:p>
            <w:r/>
            <w:r>
              <w:rPr>
                <w:b w:val="0"/>
                <w:color w:val="1F2937"/>
                <w:sz w:val="19"/>
              </w:rPr>
              <w:t>Permission scope exists and points to intended path</w:t>
            </w:r>
          </w:p>
        </w:tc>
        <w:tc>
          <w:tcPr>
            <w:tcW w:type="dxa" w:w="3408"/>
            <w:vAlign w:val="center"/>
          </w:tcPr>
          <w:p>
            <w:r/>
            <w:r>
              <w:rPr>
                <w:b w:val="0"/>
                <w:color w:val="1F2937"/>
                <w:sz w:val="19"/>
              </w:rPr>
              <w:t>Automated validation</w:t>
            </w:r>
          </w:p>
        </w:tc>
        <w:tc>
          <w:tcPr>
            <w:tcW w:type="dxa" w:w="3408"/>
            <w:vAlign w:val="center"/>
          </w:tcPr>
          <w:p>
            <w:r/>
            <w:r>
              <w:rPr>
                <w:b w:val="0"/>
                <w:color w:val="1F2937"/>
                <w:sz w:val="19"/>
              </w:rPr>
              <w:t>PASS / FAIL</w:t>
            </w:r>
          </w:p>
        </w:tc>
      </w:tr>
      <w:tr>
        <w:tc>
          <w:tcPr>
            <w:tcW w:type="dxa" w:w="3408"/>
            <w:vAlign w:val="center"/>
          </w:tcPr>
          <w:p>
            <w:r/>
            <w:r>
              <w:rPr>
                <w:b w:val="0"/>
                <w:color w:val="1F2937"/>
                <w:sz w:val="19"/>
              </w:rPr>
              <w:t>ACL Authentication matches project requirement</w:t>
            </w:r>
          </w:p>
        </w:tc>
        <w:tc>
          <w:tcPr>
            <w:tcW w:type="dxa" w:w="3408"/>
            <w:vAlign w:val="center"/>
          </w:tcPr>
          <w:p>
            <w:r/>
            <w:r>
              <w:rPr>
                <w:b w:val="0"/>
                <w:color w:val="1F2937"/>
                <w:sz w:val="19"/>
              </w:rPr>
              <w:t>Automated validation</w:t>
            </w:r>
          </w:p>
        </w:tc>
        <w:tc>
          <w:tcPr>
            <w:tcW w:type="dxa" w:w="3408"/>
            <w:vAlign w:val="center"/>
          </w:tcPr>
          <w:p>
            <w:r/>
            <w:r>
              <w:rPr>
                <w:b w:val="0"/>
                <w:color w:val="1F2937"/>
                <w:sz w:val="19"/>
              </w:rPr>
              <w:t>PASS / FAIL</w:t>
            </w:r>
          </w:p>
        </w:tc>
      </w:tr>
      <w:tr>
        <w:tc>
          <w:tcPr>
            <w:tcW w:type="dxa" w:w="3408"/>
            <w:vAlign w:val="center"/>
          </w:tcPr>
          <w:p>
            <w:r/>
            <w:r>
              <w:rPr>
                <w:b w:val="0"/>
                <w:color w:val="1F2937"/>
                <w:sz w:val="19"/>
              </w:rPr>
              <w:t>Password stored in Key Vault</w:t>
            </w:r>
          </w:p>
        </w:tc>
        <w:tc>
          <w:tcPr>
            <w:tcW w:type="dxa" w:w="3408"/>
            <w:vAlign w:val="center"/>
          </w:tcPr>
          <w:p>
            <w:r/>
            <w:r>
              <w:rPr>
                <w:b w:val="0"/>
                <w:color w:val="1F2937"/>
                <w:sz w:val="19"/>
              </w:rPr>
              <w:t>Automated validation</w:t>
            </w:r>
          </w:p>
        </w:tc>
        <w:tc>
          <w:tcPr>
            <w:tcW w:type="dxa" w:w="3408"/>
            <w:vAlign w:val="center"/>
          </w:tcPr>
          <w:p>
            <w:r/>
            <w:r>
              <w:rPr>
                <w:b w:val="0"/>
                <w:color w:val="1F2937"/>
                <w:sz w:val="19"/>
              </w:rPr>
              <w:t>PASS / FAIL</w:t>
            </w:r>
          </w:p>
        </w:tc>
      </w:tr>
      <w:tr>
        <w:tc>
          <w:tcPr>
            <w:tcW w:type="dxa" w:w="3408"/>
            <w:vAlign w:val="center"/>
          </w:tcPr>
          <w:p>
            <w:r/>
            <w:r>
              <w:rPr>
                <w:b w:val="0"/>
                <w:color w:val="1F2937"/>
                <w:sz w:val="19"/>
              </w:rPr>
              <w:t>No secret exposed in logs</w:t>
            </w:r>
          </w:p>
        </w:tc>
        <w:tc>
          <w:tcPr>
            <w:tcW w:type="dxa" w:w="3408"/>
            <w:vAlign w:val="center"/>
          </w:tcPr>
          <w:p>
            <w:r/>
            <w:r>
              <w:rPr>
                <w:b w:val="0"/>
                <w:color w:val="1F2937"/>
                <w:sz w:val="19"/>
              </w:rPr>
              <w:t>Automated validation</w:t>
            </w:r>
          </w:p>
        </w:tc>
        <w:tc>
          <w:tcPr>
            <w:tcW w:type="dxa" w:w="3408"/>
            <w:vAlign w:val="center"/>
          </w:tcPr>
          <w:p>
            <w:r/>
            <w:r>
              <w:rPr>
                <w:b w:val="0"/>
                <w:color w:val="1F2937"/>
                <w:sz w:val="19"/>
              </w:rPr>
              <w:t>PASS / FAIL</w:t>
            </w:r>
          </w:p>
        </w:tc>
      </w:tr>
      <w:tr>
        <w:tc>
          <w:tcPr>
            <w:tcW w:type="dxa" w:w="3408"/>
            <w:vAlign w:val="center"/>
          </w:tcPr>
          <w:p>
            <w:r/>
            <w:r>
              <w:rPr>
                <w:b w:val="0"/>
                <w:color w:val="1F2937"/>
                <w:sz w:val="19"/>
              </w:rPr>
              <w:t>Final configuration matches client request</w:t>
            </w:r>
          </w:p>
        </w:tc>
        <w:tc>
          <w:tcPr>
            <w:tcW w:type="dxa" w:w="3408"/>
            <w:vAlign w:val="center"/>
          </w:tcPr>
          <w:p>
            <w:r/>
            <w:r>
              <w:rPr>
                <w:b w:val="0"/>
                <w:color w:val="1F2937"/>
                <w:sz w:val="19"/>
              </w:rPr>
              <w:t>Automated validation</w:t>
            </w:r>
          </w:p>
        </w:tc>
        <w:tc>
          <w:tcPr>
            <w:tcW w:type="dxa" w:w="3408"/>
            <w:vAlign w:val="center"/>
          </w:tcPr>
          <w:p>
            <w:r/>
            <w:r>
              <w:rPr>
                <w:b w:val="0"/>
                <w:color w:val="1F2937"/>
                <w:sz w:val="19"/>
              </w:rPr>
              <w:t>PASS / FAIL</w:t>
            </w:r>
          </w:p>
        </w:tc>
      </w:tr>
    </w:tbl>
    <w:p>
      <w:pPr>
        <w:pStyle w:val="Heading1"/>
      </w:pPr>
      <w:r>
        <w:t>12. POC Success Criteria</w:t>
      </w:r>
    </w:p>
    <w:p>
      <w:pPr>
        <w:pStyle w:val="ListBullet"/>
      </w:pPr>
      <w:r>
        <w:t>A client request can be processed through a single Main.ps1 entry point.</w:t>
      </w:r>
    </w:p>
    <w:p>
      <w:pPr>
        <w:pStyle w:val="ListBullet"/>
      </w:pPr>
      <w:r>
        <w:t>The automation creates or safely verifies all required resources.</w:t>
      </w:r>
    </w:p>
    <w:p>
      <w:pPr>
        <w:pStyle w:val="ListBullet"/>
      </w:pPr>
      <w:r>
        <w:t>User ID is retrieved after user creation rather than manually entered.</w:t>
      </w:r>
    </w:p>
    <w:p>
      <w:pPr>
        <w:pStyle w:val="ListBullet"/>
      </w:pPr>
      <w:r>
        <w:t>Group ID is resolved using the project's approved rule/source.</w:t>
      </w:r>
    </w:p>
    <w:p>
      <w:pPr>
        <w:pStyle w:val="ListBullet"/>
      </w:pPr>
      <w:r>
        <w:t>Permissions and ACL behavior match the existing project model.</w:t>
      </w:r>
    </w:p>
    <w:p>
      <w:pPr>
        <w:pStyle w:val="ListBullet"/>
      </w:pPr>
      <w:r>
        <w:t>Credentials are stored securely in Key Vault.</w:t>
      </w:r>
    </w:p>
    <w:p>
      <w:pPr>
        <w:pStyle w:val="ListBullet"/>
      </w:pPr>
      <w:r>
        <w:t>Validation confirms the final state and clearly reports failures.</w:t>
      </w:r>
    </w:p>
    <w:p>
      <w:pPr>
        <w:pStyle w:val="ListBullet"/>
      </w:pPr>
      <w:r>
        <w:t>The process is repeatable and suitable as a foundation for production hardening.</w:t>
      </w:r>
    </w:p>
    <w:p>
      <w:pPr>
        <w:pStyle w:val="Heading1"/>
      </w:pPr>
      <w:r>
        <w:t>13. Proposed POC File Structure</w:t>
      </w:r>
    </w:p>
    <w:p>
      <w:r>
        <w:rPr>
          <w:rFonts w:ascii="Consolas" w:hAnsi="Consolas"/>
          <w:sz w:val="18"/>
        </w:rPr>
        <w:t>SFTP-Automation/</w:t>
        <w:br/>
        <w:t>│</w:t>
        <w:br/>
        <w:t>├── Main.ps1</w:t>
        <w:br/>
        <w:t>├── Folder.ps1</w:t>
        <w:br/>
        <w:t>├── LocalUser.ps1</w:t>
        <w:br/>
        <w:t>├── Permissions.ps1</w:t>
        <w:br/>
        <w:t>├── KeyVault.ps1</w:t>
        <w:br/>
        <w:t>├── Validation.ps1</w:t>
        <w:br/>
        <w:t>├── Request.json</w:t>
        <w:br/>
        <w:t>├── config/</w:t>
        <w:br/>
        <w:t>│   └── group-id-mapping.json        # if approved as source of truth</w:t>
        <w:br/>
        <w:t>└── logs/</w:t>
        <w:br/>
        <w:t xml:space="preserve">    └── automation.log</w:t>
      </w:r>
    </w:p>
    <w:p>
      <w:pPr>
        <w:pStyle w:val="Heading1"/>
      </w:pPr>
      <w:r>
        <w:t>14. Next Steps</w:t>
      </w:r>
    </w:p>
    <w:p>
      <w:r>
        <w:t>1. Capture one sanitized existing SFTP local-user configuration from the project.</w:t>
      </w:r>
    </w:p>
    <w:p>
      <w:r>
        <w:t>2. Confirm exactly how Group IDs are created, assigned, reused and governed.</w:t>
      </w:r>
    </w:p>
    <w:p>
      <w:r>
        <w:t>3. Confirm the required Home Directory / permission-scope pattern.</w:t>
      </w:r>
    </w:p>
    <w:p>
      <w:r>
        <w:t>4. Define the Request.json schema and validation rules.</w:t>
      </w:r>
    </w:p>
    <w:p>
      <w:r>
        <w:t>5. Build Folder.ps1 and LocalUser.ps1 first.</w:t>
      </w:r>
    </w:p>
    <w:p>
      <w:r>
        <w:t>6. Implement permission configuration and Key Vault integration.</w:t>
      </w:r>
    </w:p>
    <w:p>
      <w:r>
        <w:t>7. Add end-to-end Validation.ps1 and logging.</w:t>
      </w:r>
    </w:p>
    <w:p>
      <w:r>
        <w:t>8. Run the POC against a non-production/test storage account before production adoption.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6"/>
      </w:rPr>
      <w:t>Azure SFTP Automation — Proof of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