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MSc Dissertation Roadmap – Supervisor Corrections and Improvements</w:t>
      </w:r>
    </w:p>
    <w:p>
      <w:pPr>
        <w:pStyle w:val="Heading2"/>
      </w:pPr>
      <w:r>
        <w:t>Fix 1 — Replace Objective O3</w:t>
      </w:r>
    </w:p>
    <w:p>
      <w:r>
        <w:t>OLD (too risky):</w:t>
        <w:br/>
        <w:t>Train and evaluate three separate baseline models — image-only CNN, tabular-only ensemble, and a multi-modal fusion model — achieving at least 75% F1-score on the test set, by end of Week 9.</w:t>
        <w:br/>
        <w:br/>
        <w:t>REPLACE WITH:</w:t>
        <w:br/>
        <w:t>Train and evaluate three baseline models — image-only CNN, tabular-only ensemble, and a multi-modal fusion model — and compare their performance using F1-score, precision, recall, and confusion matrices by the end of Week 9.</w:t>
        <w:br/>
      </w:r>
    </w:p>
    <w:p>
      <w:pPr>
        <w:pStyle w:val="Heading2"/>
      </w:pPr>
      <w:r>
        <w:t>Fix 2 — Replace Research Question 1</w:t>
      </w:r>
    </w:p>
    <w:p>
      <w:r>
        <w:t>REPLACE WITH:</w:t>
        <w:br/>
        <w:t>To what extent does combining image-based and tabular-feature inputs in a multi-modal model improve RDF suitability prediction performance compared to single-modality baselines?</w:t>
        <w:br/>
      </w:r>
    </w:p>
    <w:p>
      <w:pPr>
        <w:pStyle w:val="Heading2"/>
      </w:pPr>
      <w:r>
        <w:t>Fix 3 — Stronger Limitation Statement</w:t>
      </w:r>
    </w:p>
    <w:p>
      <w:r>
        <w:t>A major methodological limitation of this project is that RDF-related tabular features such as moisture level, contamination risk, combustibility, and calorific value are generated using literature-derived estimates and rule-based assignments rather than laboratory measurements from real waste samples.</w:t>
        <w:br/>
      </w:r>
    </w:p>
    <w:p>
      <w:pPr>
        <w:pStyle w:val="Heading2"/>
      </w:pPr>
      <w:r>
        <w:t>Fix 4 — Explicit Research Gap Paragraph</w:t>
      </w:r>
    </w:p>
    <w:p>
      <w:r>
        <w:t>Although numerous studies have explored CNN-based waste image classification, relatively few have integrated visual classification with RDF-specific quality indicators in a unified multi-modal prediction framework.</w:t>
        <w:br/>
      </w:r>
    </w:p>
    <w:p>
      <w:pPr>
        <w:pStyle w:val="Heading2"/>
      </w:pPr>
      <w:r>
        <w:t>Fix 5 — Reproducibility Section</w:t>
      </w:r>
    </w:p>
    <w:p>
      <w:r>
        <w:t>To support reproducibility, all experiments will use fixed random seeds, documented train/validation/test splits, version-controlled Python code, and a fully specified software environment using requirements.txt.</w:t>
        <w:br/>
      </w:r>
    </w:p>
    <w:p>
      <w:pPr>
        <w:pStyle w:val="Heading2"/>
      </w:pPr>
      <w:r>
        <w:t>Fix 6 — Improve Evaluation Discussion</w:t>
      </w:r>
    </w:p>
    <w:p>
      <w:r>
        <w:t>In the RDF context, false positives may be more operationally damaging than false negatives because unsuitable waste incorrectly classified as RDF-suitable could reduce combustion efficiency and fuel quality.</w:t>
        <w:br/>
      </w:r>
    </w:p>
    <w:p>
      <w:pPr>
        <w:pStyle w:val="Heading2"/>
      </w:pPr>
      <w:r>
        <w:t>Fix 7 — Stronger Future Work Direction</w:t>
      </w:r>
    </w:p>
    <w:p>
      <w:r>
        <w:t>Future work should validate the proposed approach using physically measured RDF properties from real UK waste streams.</w:t>
        <w:br/>
      </w:r>
    </w:p>
    <w:p>
      <w:pPr>
        <w:pStyle w:val="Heading2"/>
      </w:pPr>
      <w:r>
        <w:t>Fix 8 — Remove Overclaiming Language</w:t>
      </w:r>
    </w:p>
    <w:p>
      <w:r>
        <w:t>Use terms such as:</w:t>
        <w:br/>
        <w:t>- research prototype</w:t>
        <w:br/>
        <w:t>- proof-of-concept system</w:t>
        <w:br/>
        <w:t>- experimental multi-modal framework</w:t>
        <w:br/>
      </w:r>
    </w:p>
    <w:p>
      <w:pPr>
        <w:pStyle w:val="Heading2"/>
      </w:pPr>
      <w:r>
        <w:t>Fix 9 — Stronger Literature Review Guidance</w:t>
      </w:r>
    </w:p>
    <w:p>
      <w:r>
        <w:t>The literature review will prioritise critical synthesis over descriptive summarisation.</w:t>
        <w:br/>
      </w:r>
    </w:p>
    <w:p>
      <w:pPr>
        <w:pStyle w:val="Heading2"/>
      </w:pPr>
      <w:r>
        <w:t>Fix 10 — Stronger Reference Warning</w:t>
      </w:r>
    </w:p>
    <w:p>
      <w:r>
        <w:t>No reference should be included in the final dissertation unless the full source has been independently verified.</w:t>
        <w:br/>
      </w:r>
    </w:p>
    <w:p>
      <w:pPr>
        <w:pStyle w:val="Heading2"/>
      </w:pPr>
      <w:r>
        <w:t>Final Supervisor Verdict</w:t>
      </w:r>
    </w:p>
    <w:p>
      <w:r>
        <w:t>After implementing these corrections, the dissertation roadmap becomes academically realistic, methodologically defensible, reproducible, and appropriately scoped for a single MSc student.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