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200" w:before="0"/>
        <w:jc w:val="center"/>
      </w:pPr>
      <w:r>
        <w:rPr>
          <w:rFonts w:ascii="Times New Roman" w:cs="Times New Roman" w:eastAsia="Times New Roman" w:hAnsi="Times New Roman"/>
          <w:b/>
          <w:bCs/>
          <w:sz w:val="28"/>
          <w:szCs w:val="28"/>
        </w:rPr>
        <w:t xml:space="preserve">UNIVERSITY OF ROEHAMPTON</w:t>
      </w:r>
    </w:p>
    <w:p>
      <w:pPr>
        <w:spacing w:after="200" w:before="0"/>
        <w:jc w:val="center"/>
      </w:pPr>
      <w:r>
        <w:rPr>
          <w:rFonts w:ascii="Times New Roman" w:cs="Times New Roman" w:eastAsia="Times New Roman" w:hAnsi="Times New Roman"/>
          <w:b/>
          <w:bCs/>
          <w:sz w:val="26"/>
          <w:szCs w:val="26"/>
        </w:rPr>
        <w:t xml:space="preserve">MSc Computing</w:t>
      </w:r>
    </w:p>
    <w:p>
      <w:pPr>
        <w:spacing w:after="0" w:before="0"/>
      </w:pPr>
      <w:r>
        <w:t xml:space="preserve"/>
      </w:r>
    </w:p>
    <w:p>
      <w:pPr>
        <w:spacing w:after="0" w:before="0"/>
      </w:pPr>
      <w:r>
        <w:t xml:space="preserve"/>
      </w:r>
    </w:p>
    <w:p>
      <w:pPr>
        <w:spacing w:after="200" w:before="0"/>
        <w:jc w:val="center"/>
      </w:pPr>
      <w:r>
        <w:rPr>
          <w:rFonts w:ascii="Times New Roman" w:cs="Times New Roman" w:eastAsia="Times New Roman" w:hAnsi="Times New Roman"/>
          <w:b/>
          <w:bCs/>
          <w:caps/>
          <w:sz w:val="30"/>
          <w:szCs w:val="30"/>
        </w:rPr>
        <w:t xml:space="preserve">MSc PROJECT PROPOSAL</w:t>
      </w:r>
    </w:p>
    <w:p>
      <w:pPr>
        <w:spacing w:after="0" w:before="0"/>
      </w:pPr>
      <w:r>
        <w:t xml:space="preserve"/>
      </w:r>
    </w:p>
    <w:p>
      <w:pPr>
        <w:spacing w:after="400" w:before="0"/>
        <w:jc w:val="center"/>
      </w:pPr>
      <w:r>
        <w:rPr>
          <w:rFonts w:ascii="Times New Roman" w:cs="Times New Roman" w:eastAsia="Times New Roman" w:hAnsi="Times New Roman"/>
          <w:b/>
          <w:bCs/>
          <w:i w:val="false"/>
          <w:iCs w:val="false"/>
          <w:sz w:val="28"/>
          <w:szCs w:val="28"/>
        </w:rPr>
        <w:t xml:space="preserve">Multi-Modal Waste Characterisation and RDF Suitability Prediction Using Artificial Intelligence and a Web-Based Decision Support Platform</w:t>
      </w:r>
    </w:p>
    <w:p>
      <w:pPr>
        <w:spacing w:after="0" w:before="0"/>
      </w:pPr>
      <w:r>
        <w:t xml:space="preserve"/>
      </w:r>
    </w:p>
    <w:p>
      <w:pPr>
        <w:spacing w:after="0" w:before="0"/>
      </w:pPr>
      <w:r>
        <w:t xml:space="preserve"/>
      </w:r>
    </w:p>
    <w:p>
      <w:pPr>
        <w:spacing w:after="120" w:before="0"/>
        <w:jc w:val="center"/>
      </w:pPr>
      <w:r>
        <w:rPr>
          <w:rFonts w:ascii="Times New Roman" w:cs="Times New Roman" w:eastAsia="Times New Roman" w:hAnsi="Times New Roman"/>
          <w:sz w:val="24"/>
          <w:szCs w:val="24"/>
        </w:rPr>
        <w:t xml:space="preserve">Academic Year: 2024–2025</w:t>
      </w:r>
    </w:p>
    <w:p>
      <w:pPr>
        <w:spacing w:after="120" w:before="0"/>
        <w:jc w:val="center"/>
      </w:pPr>
      <w:r>
        <w:rPr>
          <w:rFonts w:ascii="Times New Roman" w:cs="Times New Roman" w:eastAsia="Times New Roman" w:hAnsi="Times New Roman"/>
          <w:sz w:val="24"/>
          <w:szCs w:val="24"/>
        </w:rPr>
        <w:t xml:space="preserve">Word Count (excluding references): ~2,800 words</w:t>
      </w:r>
    </w:p>
    <w:p>
      <w:pPr>
        <w:spacing w:after="0" w:before="0"/>
      </w:pPr>
      <w:r>
        <w:t xml:space="preserve"/>
      </w:r>
    </w:p>
    <w:p>
      <w:pPr>
        <w:spacing w:after="0" w:before="0"/>
      </w:pPr>
      <w:r>
        <w:t xml:space="preserve"/>
      </w:r>
    </w:p>
    <w:p>
      <w:pPr>
        <w:spacing w:after="0" w:before="0"/>
      </w:pPr>
      <w:r>
        <w:t xml:space="preserve"/>
      </w:r>
    </w:p>
    <w:p>
      <w:pPr>
        <w:pStyle w:val="Heading1"/>
        <w:spacing w:after="160" w:before="360"/>
      </w:pPr>
      <w:r>
        <w:rPr>
          <w:rFonts w:ascii="Times New Roman" w:cs="Times New Roman" w:eastAsia="Times New Roman" w:hAnsi="Times New Roman"/>
          <w:b/>
          <w:bCs/>
          <w:caps/>
          <w:sz w:val="28"/>
          <w:szCs w:val="28"/>
        </w:rPr>
        <w:t xml:space="preserve">1. Introduction</w:t>
      </w:r>
    </w:p>
    <w:p>
      <w:pPr>
        <w:spacing w:after="160" w:before="0" w:line="360" w:lineRule="auto"/>
        <w:jc w:val="both"/>
      </w:pPr>
      <w:r>
        <w:rPr>
          <w:rFonts w:ascii="Times New Roman" w:cs="Times New Roman" w:eastAsia="Times New Roman" w:hAnsi="Times New Roman"/>
          <w:sz w:val="24"/>
          <w:szCs w:val="24"/>
        </w:rPr>
        <w:t xml:space="preserve">The global volume of municipal solid waste (MSW) continues to rise at an alarming rate. According to the World Bank, the world generated approximately 2.01 billion tonnes of solid waste in 2016, with projections suggesting this figure will reach 3.4 billion tonnes by 2050 (Kaza et al., 2018). Effective management of this waste stream is one of the defining environmental and economic challenges of the twenty-first century. Within waste management hierarchies, the conversion of non-recyclable waste into Refuse-Derived Fuel (RDF) represents an increasingly important pathway for diverting material from landfill while simultaneously generating recoverable energy. However, the practical challenge of determining which waste fractions are suitable for RDF production remains technically demanding, labour-intensive and prone to inconsistency when reliant on manual inspection.</w:t>
      </w:r>
    </w:p>
    <w:p>
      <w:pPr>
        <w:spacing w:after="160" w:before="0" w:line="360" w:lineRule="auto"/>
        <w:jc w:val="both"/>
      </w:pPr>
      <w:r>
        <w:rPr>
          <w:rFonts w:ascii="Times New Roman" w:cs="Times New Roman" w:eastAsia="Times New Roman" w:hAnsi="Times New Roman"/>
          <w:sz w:val="24"/>
          <w:szCs w:val="24"/>
        </w:rPr>
        <w:t xml:space="preserve">Artificial intelligence (AI), and machine learning (ML) in particular, has demonstrated considerable potential for automating complex classification and prediction tasks across industrial and environmental domains. Convolutional Neural Networks (CNNs) have achieved human-comparable or superior performance in visual classification tasks (LeCun et al., 2015), while ensemble and gradient-boosted methods have proven effective for structured tabular prediction problems (Chen and Guestrin, 2016). Nevertheless, the integration of image-based and tabular data modalities within a unified predictive framework — known as multi-modal learning — remains underexplored in the context of waste characterisation.</w:t>
      </w:r>
    </w:p>
    <w:p>
      <w:pPr>
        <w:spacing w:after="160" w:before="0" w:line="360" w:lineRule="auto"/>
        <w:jc w:val="both"/>
      </w:pPr>
      <w:r>
        <w:rPr>
          <w:rFonts w:ascii="Times New Roman" w:cs="Times New Roman" w:eastAsia="Times New Roman" w:hAnsi="Times New Roman"/>
          <w:sz w:val="24"/>
          <w:szCs w:val="24"/>
        </w:rPr>
        <w:t xml:space="preserve">This project proposes the development of an AI-powered, multi-modal waste characterisation and RDF suitability prediction system. The system will combine CNN-based image classification of waste materials with structured tabular features including moisture content, combustibility and estimated calorific value, within a FastAPI web application delivered as a containerised prototype. The research will critically compare the performance of unimodal and multi-modal architectures and evaluate the practical utility of the resulting decision support tool for recycling centre operators. In doing so, it addresses a genuine gap at the intersection of computer vision, environmental informatics and industrial decision support.</w:t>
      </w:r>
    </w:p>
    <w:p>
      <w:pPr>
        <w:pStyle w:val="Heading1"/>
        <w:spacing w:after="160" w:before="360"/>
      </w:pPr>
      <w:r>
        <w:rPr>
          <w:rFonts w:ascii="Times New Roman" w:cs="Times New Roman" w:eastAsia="Times New Roman" w:hAnsi="Times New Roman"/>
          <w:b/>
          <w:bCs/>
          <w:caps/>
          <w:sz w:val="28"/>
          <w:szCs w:val="28"/>
        </w:rPr>
        <w:t xml:space="preserve">2. Problem Statement</w:t>
      </w:r>
    </w:p>
    <w:p>
      <w:pPr>
        <w:spacing w:after="160" w:before="0" w:line="360" w:lineRule="auto"/>
        <w:jc w:val="both"/>
      </w:pPr>
      <w:r>
        <w:rPr>
          <w:rFonts w:ascii="Times New Roman" w:cs="Times New Roman" w:eastAsia="Times New Roman" w:hAnsi="Times New Roman"/>
          <w:sz w:val="24"/>
          <w:szCs w:val="24"/>
        </w:rPr>
        <w:t xml:space="preserve">The production of Refuse-Derived Fuel is a well-established element of integrated waste management strategies, particularly in Europe where landfill diversion targets under the Landfill Directive (European Parliament, 1999) and the Waste Framework Directive (European Parliament, 2008) have driven adoption of energy-from-waste (EfW) pathways. RDF is manufactured from the combustible fraction of waste after removal of recyclables and organics, and its quality is governed by strict European standards — chiefly EN 15359 — which specify classification parameters including net calorific value, chlorine content and mercury content (BSI, 2011). The ability to reliably assess waste suitability for RDF production is therefore not merely operationally convenient; it is a regulatory and commercial necessity.</w:t>
      </w:r>
    </w:p>
    <w:p>
      <w:pPr>
        <w:spacing w:after="160" w:before="0" w:line="360" w:lineRule="auto"/>
        <w:jc w:val="both"/>
      </w:pPr>
      <w:r>
        <w:rPr>
          <w:rFonts w:ascii="Times New Roman" w:cs="Times New Roman" w:eastAsia="Times New Roman" w:hAnsi="Times New Roman"/>
          <w:sz w:val="24"/>
          <w:szCs w:val="24"/>
        </w:rPr>
        <w:t xml:space="preserve">Current practice at most UK and European materials recovery facilities (MRFs) relies heavily on manual sorting, visual inspection and periodic laboratory analysis. This approach suffers from several well-documented weaknesses. First, manual inspection is inherently subjective and operator-dependent, resulting in significant variability in classification outcomes (Wilson et al., 2015). Second, periodic laboratory testing introduces temporal lags that prevent real-time quality control. Third, the throughput demands of large-scale MRFs make comprehensive manual characterisation economically impractical. These limitations collectively result in inconsistent RDF quality, increased contamination rates and suboptimal diversion of recyclable material.</w:t>
      </w:r>
    </w:p>
    <w:p>
      <w:pPr>
        <w:spacing w:after="160" w:before="0" w:line="360" w:lineRule="auto"/>
        <w:jc w:val="both"/>
      </w:pPr>
      <w:r>
        <w:rPr>
          <w:rFonts w:ascii="Times New Roman" w:cs="Times New Roman" w:eastAsia="Times New Roman" w:hAnsi="Times New Roman"/>
          <w:sz w:val="24"/>
          <w:szCs w:val="24"/>
        </w:rPr>
        <w:t xml:space="preserve">Despite advances in AI-based waste sorting — most notably the deployment of robotic sorting systems such as AMP Cortex and ZenRobotics in industrial settings — publicly available research on integrated AI systems that jointly classify waste materials and predict their RDF suitability remains sparse. Existing academic work tends to treat waste classification and RDF quality prediction as separate problems. Studies focusing on image-based waste classification, such as those using the TrashNet dataset (Yang and Thung, 2016) or the more recent TACO dataset (Proença and Simões, 2020), typically optimise for category accuracy without linking classification outputs to downstream process parameters. Conversely, research on RDF quality prediction tends to rely on structured chemical and physical assay data, without incorporating the visual signal available from image capture at the point of sorting.</w:t>
      </w:r>
    </w:p>
    <w:p>
      <w:pPr>
        <w:spacing w:after="160" w:before="0" w:line="360" w:lineRule="auto"/>
        <w:jc w:val="both"/>
      </w:pPr>
      <w:r>
        <w:rPr>
          <w:rFonts w:ascii="Times New Roman" w:cs="Times New Roman" w:eastAsia="Times New Roman" w:hAnsi="Times New Roman"/>
          <w:sz w:val="24"/>
          <w:szCs w:val="24"/>
        </w:rPr>
        <w:t xml:space="preserve">This disconnect constitutes the central research gap this project seeks to address. The absence of a multi-modal framework that simultaneously exploits visual and tabular signals means that facility operators currently lack a unified, data-driven tool capable of informing both sorting decisions and RDF process management in real time. Furthermore, no publicly available study has yet rigorously benchmarked multi-modal deep learning against unimodal baselines — image-only CNN versus tabular-only ML — for this specific application. The lack of such comparative evidence makes it difficult for practitioners to assess the marginal value of investing in multi-sensor data infrastructure relative to image-only or sensor-only approaches.</w:t>
      </w:r>
    </w:p>
    <w:p>
      <w:pPr>
        <w:spacing w:after="160" w:before="0" w:line="360" w:lineRule="auto"/>
        <w:jc w:val="both"/>
      </w:pPr>
      <w:r>
        <w:rPr>
          <w:rFonts w:ascii="Times New Roman" w:cs="Times New Roman" w:eastAsia="Times New Roman" w:hAnsi="Times New Roman"/>
          <w:sz w:val="24"/>
          <w:szCs w:val="24"/>
        </w:rPr>
        <w:t xml:space="preserve">From a systems perspective, there is an additional gap in the availability of accessible, open-source decision support tools for small-to-medium MRF operators. Large robotic sorting vendors supply proprietary, high-cost integrated systems beyond the budget of many facilities. A lightweight, containerised web application built on open standards — FastAPI, TensorFlow, Scikit-learn, MySQL and Docker — that exposes AI-driven classification and suitability scoring through a browser interface could substantially lower the barrier to entry for data-informed waste management, and represents a practically significant contribution alongside the modelling research.</w:t>
      </w:r>
    </w:p>
    <w:p>
      <w:pPr>
        <w:pStyle w:val="Heading1"/>
        <w:spacing w:after="160" w:before="360"/>
      </w:pPr>
      <w:r>
        <w:rPr>
          <w:rFonts w:ascii="Times New Roman" w:cs="Times New Roman" w:eastAsia="Times New Roman" w:hAnsi="Times New Roman"/>
          <w:b/>
          <w:bCs/>
          <w:caps/>
          <w:sz w:val="28"/>
          <w:szCs w:val="28"/>
        </w:rPr>
        <w:t xml:space="preserve">3. Aims and Objectives</w:t>
      </w:r>
    </w:p>
    <w:p>
      <w:pPr>
        <w:pStyle w:val="Heading2"/>
        <w:spacing w:after="120" w:before="240"/>
      </w:pPr>
      <w:r>
        <w:rPr>
          <w:rFonts w:ascii="Times New Roman" w:cs="Times New Roman" w:eastAsia="Times New Roman" w:hAnsi="Times New Roman"/>
          <w:b/>
          <w:bCs/>
          <w:sz w:val="26"/>
          <w:szCs w:val="26"/>
        </w:rPr>
        <w:t xml:space="preserve">3.1 Research Aim</w:t>
      </w:r>
    </w:p>
    <w:p>
      <w:pPr>
        <w:spacing w:after="160" w:before="0" w:line="360" w:lineRule="auto"/>
        <w:jc w:val="both"/>
      </w:pPr>
      <w:r>
        <w:rPr>
          <w:rFonts w:ascii="Times New Roman" w:cs="Times New Roman" w:eastAsia="Times New Roman" w:hAnsi="Times New Roman"/>
          <w:sz w:val="24"/>
          <w:szCs w:val="24"/>
        </w:rPr>
        <w:t xml:space="preserve">The overarching aim of this project is to design, implement and evaluate a multi-modal artificial intelligence system capable of classifying waste materials from images and predicting their suitability for RDF production from structured tabular characteristics, and to deploy this system as a functional web-based decision support prototype for use by recycling centre operators.</w:t>
      </w:r>
    </w:p>
    <w:p>
      <w:pPr>
        <w:pStyle w:val="Heading2"/>
        <w:spacing w:after="120" w:before="240"/>
      </w:pPr>
      <w:r>
        <w:rPr>
          <w:rFonts w:ascii="Times New Roman" w:cs="Times New Roman" w:eastAsia="Times New Roman" w:hAnsi="Times New Roman"/>
          <w:b/>
          <w:bCs/>
          <w:sz w:val="26"/>
          <w:szCs w:val="26"/>
        </w:rPr>
        <w:t xml:space="preserve">3.2 Research Questions</w:t>
      </w:r>
    </w:p>
    <w:p>
      <w:pPr>
        <w:spacing w:after="160" w:before="0" w:line="360" w:lineRule="auto"/>
        <w:jc w:val="both"/>
      </w:pPr>
      <w:r>
        <w:rPr>
          <w:rFonts w:ascii="Times New Roman" w:cs="Times New Roman" w:eastAsia="Times New Roman" w:hAnsi="Times New Roman"/>
          <w:sz w:val="24"/>
          <w:szCs w:val="24"/>
        </w:rPr>
        <w:t xml:space="preserve">The following research questions structure the empirical investigation:</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Can CNN-based models accurately classify waste materials from photographic images using publicly available benchmark datasets?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Can machine learning models reliably predict RDF suitability from structured tabular features including material type, moisture content, contamination risk, combustibility and estimated calorific value?</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Does a multi-modal fusion architecture that jointly processes image and tabular inputs yield meaningfully improved predictive accuracy compared with image-only and tabular-only unimodal approaches?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Can a web-based decision support system built on FastAPI effectively present AI-generated waste classification and RDF suitability outputs in a form useful to recycling centre operators?</w:t>
      </w:r>
    </w:p>
    <w:p>
      <w:pPr>
        <w:spacing w:after="0" w:before="0"/>
      </w:pPr>
      <w:r>
        <w:t xml:space="preserve"/>
      </w:r>
    </w:p>
    <w:p>
      <w:pPr>
        <w:pStyle w:val="Heading2"/>
        <w:spacing w:after="120" w:before="240"/>
      </w:pPr>
      <w:r>
        <w:rPr>
          <w:rFonts w:ascii="Times New Roman" w:cs="Times New Roman" w:eastAsia="Times New Roman" w:hAnsi="Times New Roman"/>
          <w:b/>
          <w:bCs/>
          <w:sz w:val="26"/>
          <w:szCs w:val="26"/>
        </w:rPr>
        <w:t xml:space="preserve">3.3 Objectives</w:t>
      </w:r>
    </w:p>
    <w:p>
      <w:pPr>
        <w:spacing w:after="160" w:before="0" w:line="360" w:lineRule="auto"/>
        <w:jc w:val="both"/>
      </w:pPr>
      <w:r>
        <w:rPr>
          <w:rFonts w:ascii="Times New Roman" w:cs="Times New Roman" w:eastAsia="Times New Roman" w:hAnsi="Times New Roman"/>
          <w:sz w:val="24"/>
          <w:szCs w:val="24"/>
        </w:rPr>
        <w:t xml:space="preserve">The following objectives operationalise the research aim:</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Conduct a systematic review of literature on AI-based waste classification, RDF quality prediction, multi-modal learning architectures and waste management decision support systems.</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Acquire, pre-process and augment the TrashNet and TACO benchmark datasets, applying OpenCV-based pre-processing pipelines for normalisation, resizing and data augmentation to address class imbalance.</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Design and train a CNN-based image classification model to categorise waste images into material classes (plastic, paper, glass, metal, organic, residual), evaluating multiple architectures including a custom shallow CNN, MobileNetV2, ResNet50 and EfficientNetB0 using transfer learning.</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Construct a structured tabular dataset encoding RDF-relevant features — material type, moisture content (%), contamination risk (low/medium/high), combustibility index and estimated net calorific value (MJ/kg) — and train Logistic Regression, Random Forest and XGBoost classifiers to predict binary RDF suitability (suitable/unsuitable).</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Develop a multi-modal fusion model that integrates CNN-derived image embeddings with tabular feature vectors, experimenting with late-fusion (prediction averaging), intermediate-fusion (concatenated feature vectors) and learned-attention fusion strategies.</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Conduct a rigorous comparative evaluation of image-only, tabular-only and multi-modal models using classification accuracy, precision, recall, F1-score and AUC-ROC, with statistical testing to assess whether multi-modal performance differences are significant.</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Develop a containerised FastAPI web application that accepts waste image uploads and tabular inputs, runs inference using the best-performing model and returns classification and RDF suitability predictions with confidence scores, persisting results in a MySQL database.</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Evaluate the decision support system prototype against functional requirements through structured usability testing and assess the feasibility of deployment in a real MRF context.</w:t>
      </w:r>
    </w:p>
    <w:p>
      <w:pPr>
        <w:pStyle w:val="Heading1"/>
        <w:spacing w:after="160" w:before="360"/>
      </w:pPr>
      <w:r>
        <w:rPr>
          <w:rFonts w:ascii="Times New Roman" w:cs="Times New Roman" w:eastAsia="Times New Roman" w:hAnsi="Times New Roman"/>
          <w:b/>
          <w:bCs/>
          <w:caps/>
          <w:sz w:val="28"/>
          <w:szCs w:val="28"/>
        </w:rPr>
        <w:t xml:space="preserve">4. Legal, Social, Ethical and Professional Considerations</w:t>
      </w:r>
    </w:p>
    <w:p>
      <w:pPr>
        <w:spacing w:after="160" w:before="0" w:line="360" w:lineRule="auto"/>
        <w:jc w:val="both"/>
      </w:pPr>
      <w:r>
        <w:rPr>
          <w:rFonts w:ascii="Times New Roman" w:cs="Times New Roman" w:eastAsia="Times New Roman" w:hAnsi="Times New Roman"/>
          <w:sz w:val="24"/>
          <w:szCs w:val="24"/>
        </w:rPr>
        <w:t xml:space="preserve">This project raises several considerations across legal, social, ethical and professional dimensions that must be addressed throughout the research lifecycle.</w:t>
      </w:r>
    </w:p>
    <w:p>
      <w:pPr>
        <w:spacing w:after="160" w:before="0" w:line="360" w:lineRule="auto"/>
        <w:jc w:val="both"/>
      </w:pPr>
      <w:r>
        <w:rPr>
          <w:rFonts w:ascii="Times New Roman" w:cs="Times New Roman" w:eastAsia="Times New Roman" w:hAnsi="Times New Roman"/>
          <w:sz w:val="24"/>
          <w:szCs w:val="24"/>
        </w:rPr>
        <w:t xml:space="preserve">Legally, the project will use only publicly available, open-licence datasets — TrashNet (MIT licence) and TACO (Creative Commons Attribution) — ensuring compliance with data use terms. No personal data will be collected or processed, removing the project from the scope of the UK General Data Protection Regulation (UK GDPR) and the Data Protection Act 2018. Any deployment of the FastAPI prototype in an operational facility would, however, need to consider Health and Safety Executive guidance on automated decision-making in industrial environments, particularly where AI outputs influence sorting or processing decisions.</w:t>
      </w:r>
    </w:p>
    <w:p>
      <w:pPr>
        <w:spacing w:after="160" w:before="0" w:line="360" w:lineRule="auto"/>
        <w:jc w:val="both"/>
      </w:pPr>
      <w:r>
        <w:rPr>
          <w:rFonts w:ascii="Times New Roman" w:cs="Times New Roman" w:eastAsia="Times New Roman" w:hAnsi="Times New Roman"/>
          <w:sz w:val="24"/>
          <w:szCs w:val="24"/>
        </w:rPr>
        <w:t xml:space="preserve">Socially, the project has positive implications. Improved waste characterisation can enhance recycling rates, support circular economy objectives aligned with the UK Environment Act 2021 and contribute to the sustainability goals articulated in local authority waste strategies. However, there is a risk that automation of waste sorting functions could displace lower-skilled workers in MRFs. The research will acknowledge this risk and recommend that any deployment be framed as decision support augmenting human operators rather than replacing them.</w:t>
      </w:r>
    </w:p>
    <w:p>
      <w:pPr>
        <w:spacing w:after="160" w:before="0" w:line="360" w:lineRule="auto"/>
        <w:jc w:val="both"/>
      </w:pPr>
      <w:r>
        <w:rPr>
          <w:rFonts w:ascii="Times New Roman" w:cs="Times New Roman" w:eastAsia="Times New Roman" w:hAnsi="Times New Roman"/>
          <w:sz w:val="24"/>
          <w:szCs w:val="24"/>
        </w:rPr>
        <w:t xml:space="preserve">Ethically, the use of CNN models trained on potentially biased or unrepresentative datasets could lead to systematically poor classification of certain waste types, with downstream consequences for RDF quality and environmental compliance. The research will address this through dataset balancing, bias auditing of model outputs and transparent reporting of per-class performance. The BCS Code of Conduct (BCS, 2022) will guide professional conduct throughout, particularly the principles of public interest, competence and integrity. Limitations of the prototype — including the absence of real-world operational validation — will be explicitly communicated to avoid overstating its readiness for deployment.</w:t>
      </w:r>
    </w:p>
    <w:p>
      <w:pPr>
        <w:pStyle w:val="Heading1"/>
        <w:spacing w:after="160" w:before="360"/>
      </w:pPr>
      <w:r>
        <w:rPr>
          <w:rFonts w:ascii="Times New Roman" w:cs="Times New Roman" w:eastAsia="Times New Roman" w:hAnsi="Times New Roman"/>
          <w:b/>
          <w:bCs/>
          <w:caps/>
          <w:sz w:val="28"/>
          <w:szCs w:val="28"/>
        </w:rPr>
        <w:t xml:space="preserve">5. Background and Literature Review</w:t>
      </w:r>
    </w:p>
    <w:p>
      <w:pPr>
        <w:pStyle w:val="Heading2"/>
        <w:spacing w:after="120" w:before="240"/>
      </w:pPr>
      <w:r>
        <w:rPr>
          <w:rFonts w:ascii="Times New Roman" w:cs="Times New Roman" w:eastAsia="Times New Roman" w:hAnsi="Times New Roman"/>
          <w:b/>
          <w:bCs/>
          <w:sz w:val="26"/>
          <w:szCs w:val="26"/>
        </w:rPr>
        <w:t xml:space="preserve">5.1 Waste Classification Using Computer Vision</w:t>
      </w:r>
    </w:p>
    <w:p>
      <w:pPr>
        <w:spacing w:after="160" w:before="0" w:line="360" w:lineRule="auto"/>
        <w:jc w:val="both"/>
      </w:pPr>
      <w:r>
        <w:rPr>
          <w:rFonts w:ascii="Times New Roman" w:cs="Times New Roman" w:eastAsia="Times New Roman" w:hAnsi="Times New Roman"/>
          <w:sz w:val="24"/>
          <w:szCs w:val="24"/>
        </w:rPr>
        <w:t xml:space="preserve">The application of computer vision to waste material classification has attracted sustained academic interest since the mid-2010s, catalysed in part by the public release of standardised benchmark datasets. Yang and Thung (2016) introduced TrashNet, a dataset of 2,527 images across six categories — glass, paper, cardboard, plastic, metal and trash — which became the de facto benchmark for waste image classification research. Applying a support vector machine (SVM) to CNN-extracted features, they achieved approximately 63% accuracy, establishing a baseline subsequently surpassed by deep learning approaches.</w:t>
      </w:r>
    </w:p>
    <w:p>
      <w:pPr>
        <w:spacing w:after="160" w:before="0" w:line="360" w:lineRule="auto"/>
        <w:jc w:val="both"/>
      </w:pPr>
      <w:r>
        <w:rPr>
          <w:rFonts w:ascii="Times New Roman" w:cs="Times New Roman" w:eastAsia="Times New Roman" w:hAnsi="Times New Roman"/>
          <w:sz w:val="24"/>
          <w:szCs w:val="24"/>
        </w:rPr>
        <w:t xml:space="preserve">Awe et al. (2017) demonstrated that fine-tuning pre-trained AlexNet and GoogLeNet architectures on TrashNet substantially improved classification accuracy, achieving 85.2% with GoogLeNet. Subsequent work by Vo et al. (2019) applied ResNet50 and achieved 92% accuracy on a modified version of TrashNet through aggressive data augmentation and class balancing. Kumsetty et al. (2022) further advanced performance using EfficientNetB4, reporting 96.2% accuracy, highlighting the gains achievable through modern architecture choices and transfer learning. These results confirm that CNN-based approaches are mature and performant for waste image classification when evaluated on controlled benchmark data.</w:t>
      </w:r>
    </w:p>
    <w:p>
      <w:pPr>
        <w:spacing w:after="160" w:before="0" w:line="360" w:lineRule="auto"/>
        <w:jc w:val="both"/>
      </w:pPr>
      <w:r>
        <w:rPr>
          <w:rFonts w:ascii="Times New Roman" w:cs="Times New Roman" w:eastAsia="Times New Roman" w:hAnsi="Times New Roman"/>
          <w:sz w:val="24"/>
          <w:szCs w:val="24"/>
        </w:rPr>
        <w:t xml:space="preserve">However, a critical limitation of TrashNet — and of models trained exclusively on it — is its limited ecological validity. Images are clean, well-lit, centred and captured against neutral backgrounds, conditions that bear limited resemblance to operational MRF environments where waste is presented in variable lighting, occluded by other material and contaminated. The TACO dataset (Proença and Simões, 2020) addresses this partially, providing 1,500 images of litter in natural outdoor scenes across 60 categories with contextual variation. Notwithstanding its smaller scale, TACO's real-world variability makes it a valuable complement to TrashNet for training models intended for operational deployment. Recent work by Mao et al. (2021) explored domain adaptation techniques to bridge the gap between dataset-conditioned models and real-world performance, identifying background noise and inter-class visual similarity as primary sources of error — a finding directly relevant to the experimental design of this project.</w:t>
      </w:r>
    </w:p>
    <w:p>
      <w:pPr>
        <w:spacing w:after="160" w:before="0" w:line="360" w:lineRule="auto"/>
        <w:jc w:val="both"/>
      </w:pPr>
      <w:r>
        <w:rPr>
          <w:rFonts w:ascii="Times New Roman" w:cs="Times New Roman" w:eastAsia="Times New Roman" w:hAnsi="Times New Roman"/>
          <w:sz w:val="24"/>
          <w:szCs w:val="24"/>
        </w:rPr>
        <w:t xml:space="preserve">A further gap in existing literature concerns the relationship between image-based classification outputs and downstream process parameters. Virtually all published work treats waste classification as an end in itself — maximising categorical accuracy — without connecting predictions to actionable decisions in the waste processing chain. This project departs from that convention by explicitly linking classification to RDF suitability prediction.</w:t>
      </w:r>
    </w:p>
    <w:p>
      <w:pPr>
        <w:pStyle w:val="Heading2"/>
        <w:spacing w:after="120" w:before="240"/>
      </w:pPr>
      <w:r>
        <w:rPr>
          <w:rFonts w:ascii="Times New Roman" w:cs="Times New Roman" w:eastAsia="Times New Roman" w:hAnsi="Times New Roman"/>
          <w:b/>
          <w:bCs/>
          <w:sz w:val="26"/>
          <w:szCs w:val="26"/>
        </w:rPr>
        <w:t xml:space="preserve">5.2 RDF Quality Prediction and Waste Characterisation</w:t>
      </w:r>
    </w:p>
    <w:p>
      <w:pPr>
        <w:spacing w:after="160" w:before="0" w:line="360" w:lineRule="auto"/>
        <w:jc w:val="both"/>
      </w:pPr>
      <w:r>
        <w:rPr>
          <w:rFonts w:ascii="Times New Roman" w:cs="Times New Roman" w:eastAsia="Times New Roman" w:hAnsi="Times New Roman"/>
          <w:sz w:val="24"/>
          <w:szCs w:val="24"/>
        </w:rPr>
        <w:t xml:space="preserve">Refuse-Derived Fuel production requires precise control of feedstock quality. EN 15359 (BSI, 2011) provides a classification system for Solid Recovered Fuels based on three key parameters: mean net calorific value (NCV), mean chlorine content and median mercury concentration. Achieving consistent compliance with customer specifications — typically cement kilns or dedicated EfW plants operating under Industrial Emissions Directive permits — requires reliable upstream characterisation of waste feedstock.</w:t>
      </w:r>
    </w:p>
    <w:p>
      <w:pPr>
        <w:spacing w:after="160" w:before="0" w:line="360" w:lineRule="auto"/>
        <w:jc w:val="both"/>
      </w:pPr>
      <w:r>
        <w:rPr>
          <w:rFonts w:ascii="Times New Roman" w:cs="Times New Roman" w:eastAsia="Times New Roman" w:hAnsi="Times New Roman"/>
          <w:sz w:val="24"/>
          <w:szCs w:val="24"/>
        </w:rPr>
        <w:t xml:space="preserve">Traditional waste characterisation methods rely on sampling and laboratory analysis (proximate and ultimate analysis, bomb calorimetry), which are accurate but costly, slow and impossible to apply at 100% throughput. Predictive modelling of waste fuel properties from cheaper, faster proxy measurements has therefore attracted research attention. Rada et al. (2018) used multiple linear regression to predict NCV from moisture content and composition data, achieving reasonable predictive accuracy (R² ≈ 0.82) but noting the limitations of linear assumptions for heterogeneous waste streams. Gallardo et al. (2014) employed decision tree methods to predict waste composition fractions from socio-economic and municipal characteristics, demonstrating the applicability of ML to waste quality problems.</w:t>
      </w:r>
    </w:p>
    <w:p>
      <w:pPr>
        <w:spacing w:after="160" w:before="0" w:line="360" w:lineRule="auto"/>
        <w:jc w:val="both"/>
      </w:pPr>
      <w:r>
        <w:rPr>
          <w:rFonts w:ascii="Times New Roman" w:cs="Times New Roman" w:eastAsia="Times New Roman" w:hAnsi="Times New Roman"/>
          <w:sz w:val="24"/>
          <w:szCs w:val="24"/>
        </w:rPr>
        <w:t xml:space="preserve">More recent work has applied ensemble methods. Coskuner et al. (2021) used Random Forest regression to predict gross calorific value from proximate analysis parameters and achieved superior performance to regression benchmarks. Importantly, these studies consistently identify moisture content as the dominant predictor of calorific value — a finding that directly informs the feature selection in this project's tabular model. Contamination risk (primarily from PVC-containing plastics contributing chlorine) and material composition are identified as secondary predictors. These domain-driven insights justify the specific tabular features proposed: material type, moisture content, contamination risk, combustibility and estimated calorific value.</w:t>
      </w:r>
    </w:p>
    <w:p>
      <w:pPr>
        <w:spacing w:after="160" w:before="0" w:line="360" w:lineRule="auto"/>
        <w:jc w:val="both"/>
      </w:pPr>
      <w:r>
        <w:rPr>
          <w:rFonts w:ascii="Times New Roman" w:cs="Times New Roman" w:eastAsia="Times New Roman" w:hAnsi="Times New Roman"/>
          <w:sz w:val="24"/>
          <w:szCs w:val="24"/>
        </w:rPr>
        <w:t xml:space="preserve">No published study has been identified that integrates image-based waste classification with structured RDF characteristic prediction within a single modelling framework. This constitutes the primary research gap that this project addresses.</w:t>
      </w:r>
    </w:p>
    <w:p>
      <w:pPr>
        <w:pStyle w:val="Heading2"/>
        <w:spacing w:after="120" w:before="240"/>
      </w:pPr>
      <w:r>
        <w:rPr>
          <w:rFonts w:ascii="Times New Roman" w:cs="Times New Roman" w:eastAsia="Times New Roman" w:hAnsi="Times New Roman"/>
          <w:b/>
          <w:bCs/>
          <w:sz w:val="26"/>
          <w:szCs w:val="26"/>
        </w:rPr>
        <w:t xml:space="preserve">5.3 Multi-Modal Learning</w:t>
      </w:r>
    </w:p>
    <w:p>
      <w:pPr>
        <w:spacing w:after="160" w:before="0" w:line="360" w:lineRule="auto"/>
        <w:jc w:val="both"/>
      </w:pPr>
      <w:r>
        <w:rPr>
          <w:rFonts w:ascii="Times New Roman" w:cs="Times New Roman" w:eastAsia="Times New Roman" w:hAnsi="Times New Roman"/>
          <w:sz w:val="24"/>
          <w:szCs w:val="24"/>
        </w:rPr>
        <w:t xml:space="preserve">Multi-modal machine learning — the joint modelling of heterogeneous data types within a unified architecture — has become an active research frontier following advances in deep learning (Baltrusaitis et al., 2019). In the medical domain, multi-modal approaches combining imaging data with electronic health records have consistently outperformed unimodal baselines on clinical prediction tasks (Acosta et al., 2022). In manufacturing quality control, fusion of image and sensor data has been shown to reduce misclassification rates relative to either modality alone (Guo et al., 2020).</w:t>
      </w:r>
    </w:p>
    <w:p>
      <w:pPr>
        <w:spacing w:after="160" w:before="0" w:line="360" w:lineRule="auto"/>
        <w:jc w:val="both"/>
      </w:pPr>
      <w:r>
        <w:rPr>
          <w:rFonts w:ascii="Times New Roman" w:cs="Times New Roman" w:eastAsia="Times New Roman" w:hAnsi="Times New Roman"/>
          <w:sz w:val="24"/>
          <w:szCs w:val="24"/>
        </w:rPr>
        <w:t xml:space="preserve">Three broad fusion strategies are distinguished in the literature. Early fusion concatenates raw or minimally processed features from all modalities before model training; it is simple but can be suboptimal when modalities differ substantially in dimensionality or noise characteristics. Late fusion trains separate models for each modality and combines predictions at inference time — typically by averaging, voting or a trained meta-learner — and is robust to modality-specific noise but may fail to capture cross-modal interactions. Intermediate fusion, sometimes called hybrid fusion, merges learned representations from modality-specific sub-networks at an intermediate layer, allowing the model to learn cross-modal interactions while retaining modality-specific inductive biases (Ramachandram and Taylor, 2017).</w:t>
      </w:r>
    </w:p>
    <w:p>
      <w:pPr>
        <w:spacing w:after="160" w:before="0" w:line="360" w:lineRule="auto"/>
        <w:jc w:val="both"/>
      </w:pPr>
      <w:r>
        <w:rPr>
          <w:rFonts w:ascii="Times New Roman" w:cs="Times New Roman" w:eastAsia="Times New Roman" w:hAnsi="Times New Roman"/>
          <w:sz w:val="24"/>
          <w:szCs w:val="24"/>
        </w:rPr>
        <w:t xml:space="preserve">For the specific combination of image embeddings and tabular data, several recent papers report that intermediate fusion with learned attention weights over modality contributions outperforms both early and late fusion strategies (Chen et al., 2021; Huang et al., 2020). However, these results are domain-specific and cannot be assumed to generalise to waste characterisation. The relative informativeness of visual versus tabular signals in this domain is unknown, making empirical comparison of fusion strategies a substantive research contribution of this project.</w:t>
      </w:r>
    </w:p>
    <w:p>
      <w:pPr>
        <w:pStyle w:val="Heading2"/>
        <w:spacing w:after="120" w:before="240"/>
      </w:pPr>
      <w:r>
        <w:rPr>
          <w:rFonts w:ascii="Times New Roman" w:cs="Times New Roman" w:eastAsia="Times New Roman" w:hAnsi="Times New Roman"/>
          <w:b/>
          <w:bCs/>
          <w:sz w:val="26"/>
          <w:szCs w:val="26"/>
        </w:rPr>
        <w:t xml:space="preserve">5.4 Decision Support Systems in Waste Management</w:t>
      </w:r>
    </w:p>
    <w:p>
      <w:pPr>
        <w:spacing w:after="160" w:before="0" w:line="360" w:lineRule="auto"/>
        <w:jc w:val="both"/>
      </w:pPr>
      <w:r>
        <w:rPr>
          <w:rFonts w:ascii="Times New Roman" w:cs="Times New Roman" w:eastAsia="Times New Roman" w:hAnsi="Times New Roman"/>
          <w:sz w:val="24"/>
          <w:szCs w:val="24"/>
        </w:rPr>
        <w:t xml:space="preserve">Decision support systems (DSS) for waste management have been studied since the 1990s, initially focusing on optimisation of collection routes and facility siting (Morrissey and Browne, 2004). The advent of web technologies and cloud computing shifted research attention towards real-time operational support systems. Rada et al. (2020) reviewed the deployment of digital tools in European MRFs and found that, while near-infrared (NIR) sorting and basic sensor integration were widespread, AI-driven quality prediction integrated with operator-facing interfaces remained rare, particularly among small and medium facilities.</w:t>
      </w:r>
    </w:p>
    <w:p>
      <w:pPr>
        <w:spacing w:after="160" w:before="0" w:line="360" w:lineRule="auto"/>
        <w:jc w:val="both"/>
      </w:pPr>
      <w:r>
        <w:rPr>
          <w:rFonts w:ascii="Times New Roman" w:cs="Times New Roman" w:eastAsia="Times New Roman" w:hAnsi="Times New Roman"/>
          <w:sz w:val="24"/>
          <w:szCs w:val="24"/>
        </w:rPr>
        <w:t xml:space="preserve">The case for web-based, lightweight DSS is supported by evidence from adjacent industries. In food quality control, web-delivered ML inference tools have been successfully adopted by SME manufacturers who lack the infrastructure for on-premise AI deployment (Petti et al., 2021). The FastAPI framework, introduced in 2019, has emerged as a leading Python-based tool for building ML inference APIs due to its performance, automatic schema generation via Pydantic and native asynchronous support (Ramirez, 2021). When containerised using Docker, FastAPI applications can be deployed consistently across heterogeneous infrastructure without dependency conflicts — a practical requirement for MRF operators with limited IT resources.</w:t>
      </w:r>
    </w:p>
    <w:p>
      <w:pPr>
        <w:spacing w:after="160" w:before="0" w:line="360" w:lineRule="auto"/>
        <w:jc w:val="both"/>
      </w:pPr>
      <w:r>
        <w:rPr>
          <w:rFonts w:ascii="Times New Roman" w:cs="Times New Roman" w:eastAsia="Times New Roman" w:hAnsi="Times New Roman"/>
          <w:sz w:val="24"/>
          <w:szCs w:val="24"/>
        </w:rPr>
        <w:t xml:space="preserve">Existing waste management DSS prototypes in the academic literature suffer from common limitations: they are typically not open-source, are evaluated only in controlled laboratory settings, and do not integrate AI-driven material classification with RDF process parameters. This project addresses all three limitations by developing an open, containerised prototype evaluated against functional requirements derived from operational MRF contexts.</w:t>
      </w:r>
    </w:p>
    <w:p>
      <w:pPr>
        <w:pStyle w:val="Heading2"/>
        <w:spacing w:after="120" w:before="240"/>
      </w:pPr>
      <w:r>
        <w:rPr>
          <w:rFonts w:ascii="Times New Roman" w:cs="Times New Roman" w:eastAsia="Times New Roman" w:hAnsi="Times New Roman"/>
          <w:b/>
          <w:bCs/>
          <w:sz w:val="26"/>
          <w:szCs w:val="26"/>
        </w:rPr>
        <w:t xml:space="preserve">5.5 Identified Research Gaps</w:t>
      </w:r>
    </w:p>
    <w:p>
      <w:pPr>
        <w:spacing w:after="160" w:before="0" w:line="360" w:lineRule="auto"/>
        <w:jc w:val="both"/>
      </w:pPr>
      <w:r>
        <w:rPr>
          <w:rFonts w:ascii="Times New Roman" w:cs="Times New Roman" w:eastAsia="Times New Roman" w:hAnsi="Times New Roman"/>
          <w:sz w:val="24"/>
          <w:szCs w:val="24"/>
        </w:rPr>
        <w:t xml:space="preserve">The foregoing review identifies four specific gaps that this project addresses:</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No published study has integrated CNN-based waste image classification with structured RDF characteristic prediction in a unified multi-modal framework.</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No rigorous comparative benchmark exists for image-only, tabular-only and multi-modal architectures on RDF suitability prediction tasks.</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The TrashNet and TACO datasets have not been used jointly with augmented RDF feature labelling in any published work.</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There is no open-source, containerised web DSS that provides AI-driven waste classification and RDF suitability scoring through a browser interface for small-to-medium MRF operators.</w:t>
      </w:r>
    </w:p>
    <w:p>
      <w:pPr>
        <w:spacing w:after="0" w:before="0"/>
      </w:pPr>
      <w:r>
        <w:t xml:space="preserve"/>
      </w:r>
    </w:p>
    <w:p>
      <w:pPr>
        <w:spacing w:after="160" w:before="0" w:line="360" w:lineRule="auto"/>
        <w:jc w:val="both"/>
      </w:pPr>
      <w:r>
        <w:rPr>
          <w:rFonts w:ascii="Times New Roman" w:cs="Times New Roman" w:eastAsia="Times New Roman" w:hAnsi="Times New Roman"/>
          <w:sz w:val="24"/>
          <w:szCs w:val="24"/>
        </w:rPr>
        <w:t xml:space="preserve">This project makes original contributions by filling all four gaps within a single, coherent research programme.</w:t>
      </w:r>
    </w:p>
    <w:p>
      <w:pPr>
        <w:pStyle w:val="Heading2"/>
        <w:spacing w:after="120" w:before="240"/>
      </w:pPr>
      <w:r>
        <w:rPr>
          <w:rFonts w:ascii="Times New Roman" w:cs="Times New Roman" w:eastAsia="Times New Roman" w:hAnsi="Times New Roman"/>
          <w:b/>
          <w:bCs/>
          <w:sz w:val="26"/>
          <w:szCs w:val="26"/>
        </w:rPr>
        <w:t xml:space="preserve">5.6 Methodology and Evaluation Strategy</w:t>
      </w:r>
    </w:p>
    <w:p>
      <w:pPr>
        <w:spacing w:after="160" w:before="0" w:line="360" w:lineRule="auto"/>
        <w:jc w:val="both"/>
      </w:pPr>
      <w:r>
        <w:rPr>
          <w:rFonts w:ascii="Times New Roman" w:cs="Times New Roman" w:eastAsia="Times New Roman" w:hAnsi="Times New Roman"/>
          <w:sz w:val="24"/>
          <w:szCs w:val="24"/>
        </w:rPr>
        <w:t xml:space="preserve">The project will adopt a design science research (DSR) methodology (Hevner et al., 2004), which is well-suited to projects whose primary output is an artefact — in this case the multi-modal model and the FastAPI prototype — evaluated against explicitly stated utility criteria. DSR proceeds iteratively through artefact design, construction, demonstration and evaluation, with continuous grounding in the problem domain.</w:t>
      </w:r>
    </w:p>
    <w:p>
      <w:pPr>
        <w:spacing w:after="160" w:before="0" w:line="360" w:lineRule="auto"/>
        <w:jc w:val="both"/>
      </w:pPr>
      <w:r>
        <w:rPr>
          <w:rFonts w:ascii="Times New Roman" w:cs="Times New Roman" w:eastAsia="Times New Roman" w:hAnsi="Times New Roman"/>
          <w:sz w:val="24"/>
          <w:szCs w:val="24"/>
        </w:rPr>
        <w:t xml:space="preserve">The experimental pipeline will be implemented in Python 3.10. TensorFlow 2.x will be used for CNN and multi-modal architectures. Scikit-learn will implement classical ML baselines and tabular models. OpenCV will handle image pre-processing including resizing to 224×224 pixels, normalisation, histogram equalisation and augmentation (random horizontal flip, rotation ±15°, zoom 0.8–1.2). The tabular dataset will be synthetically generated based on domain-established relationships between material type and RDF properties, validated against published EN 15359 classification thresholds and peer-reviewed proximate analysis data.</w:t>
      </w:r>
    </w:p>
    <w:p>
      <w:pPr>
        <w:spacing w:after="160" w:before="0" w:line="360" w:lineRule="auto"/>
        <w:jc w:val="both"/>
      </w:pPr>
      <w:r>
        <w:rPr>
          <w:rFonts w:ascii="Times New Roman" w:cs="Times New Roman" w:eastAsia="Times New Roman" w:hAnsi="Times New Roman"/>
          <w:sz w:val="24"/>
          <w:szCs w:val="24"/>
        </w:rPr>
        <w:t xml:space="preserve">Model evaluation will use stratified k-fold cross-validation (k=5) to account for class imbalance. Primary metrics are accuracy, macro-averaged F1-score and AUC-ROC. For the binary RDF suitability classification, precision and recall will be reported separately given the asymmetric cost of false negatives (classifying unsuitable waste as RDF-grade) versus false positives. McNemar's test will be used to assess whether differences between multi-modal and unimodal models are statistically significant at p &lt; 0.05. Ablation studies will assess the contribution of individual tabular features to prediction accuracy. The FastAPI prototype will be evaluated against functional requirements through a structured walkthrough with simulated operator scenarios and assessed for latency, correctness of inference output and usability of the interface.</w:t>
      </w:r>
    </w:p>
    <w:p>
      <w:pPr>
        <w:pStyle w:val="Heading1"/>
        <w:spacing w:after="160" w:before="360"/>
      </w:pPr>
      <w:r>
        <w:rPr>
          <w:rFonts w:ascii="Times New Roman" w:cs="Times New Roman" w:eastAsia="Times New Roman" w:hAnsi="Times New Roman"/>
          <w:b/>
          <w:bCs/>
          <w:caps/>
          <w:sz w:val="28"/>
          <w:szCs w:val="28"/>
        </w:rPr>
        <w:t xml:space="preserve">6. References</w:t>
      </w:r>
    </w:p>
    <w:p>
      <w:pPr>
        <w:spacing w:after="120" w:before="0" w:line="320" w:lineRule="auto"/>
        <w:ind w:left="720" w:hanging="720"/>
        <w:jc w:val="both"/>
      </w:pPr>
      <w:r>
        <w:rPr>
          <w:rFonts w:ascii="Times New Roman" w:cs="Times New Roman" w:eastAsia="Times New Roman" w:hAnsi="Times New Roman"/>
          <w:sz w:val="24"/>
          <w:szCs w:val="24"/>
        </w:rPr>
        <w:t xml:space="preserve">Acosta, J.N., Falcone, G.J., Rajpurkar, P. and Topol, E.J. (2022) 'Multimodal biomedical AI', Nature Medicine, 28(9), pp. 1773–1784. doi:10.1038/s41591-022-01981-2.</w:t>
      </w:r>
    </w:p>
    <w:p>
      <w:pPr>
        <w:spacing w:after="120" w:before="0" w:line="320" w:lineRule="auto"/>
        <w:ind w:left="720" w:hanging="720"/>
        <w:jc w:val="both"/>
      </w:pPr>
      <w:r>
        <w:rPr>
          <w:rFonts w:ascii="Times New Roman" w:cs="Times New Roman" w:eastAsia="Times New Roman" w:hAnsi="Times New Roman"/>
          <w:sz w:val="24"/>
          <w:szCs w:val="24"/>
        </w:rPr>
        <w:t xml:space="preserve">Awe, O., Mengistu, R. and Sreedhar, V. (2017) Smart trash net: waste localization and classification, CS229 Project Report, Stanford University. Available at: http://cs229.stanford.edu/proj2017/final-reports/5224723.pdf (Accessed: 12 March 2025).</w:t>
      </w:r>
    </w:p>
    <w:p>
      <w:pPr>
        <w:spacing w:after="120" w:before="0" w:line="320" w:lineRule="auto"/>
        <w:ind w:left="720" w:hanging="720"/>
        <w:jc w:val="both"/>
      </w:pPr>
      <w:r>
        <w:rPr>
          <w:rFonts w:ascii="Times New Roman" w:cs="Times New Roman" w:eastAsia="Times New Roman" w:hAnsi="Times New Roman"/>
          <w:sz w:val="24"/>
          <w:szCs w:val="24"/>
        </w:rPr>
        <w:t xml:space="preserve">Baltrusaitis, T., Ahuja, C. and Morency, L.P. (2019) 'Multimodal machine learning: a survey and taxonomy', IEEE Transactions on Pattern Analysis and Machine Intelligence, 41(2), pp. 423–443. doi:10.1109/TPAMI.2018.2798607.</w:t>
      </w:r>
    </w:p>
    <w:p>
      <w:pPr>
        <w:spacing w:after="120" w:before="0" w:line="320" w:lineRule="auto"/>
        <w:ind w:left="720" w:hanging="720"/>
        <w:jc w:val="both"/>
      </w:pPr>
      <w:r>
        <w:rPr>
          <w:rFonts w:ascii="Times New Roman" w:cs="Times New Roman" w:eastAsia="Times New Roman" w:hAnsi="Times New Roman"/>
          <w:sz w:val="24"/>
          <w:szCs w:val="24"/>
        </w:rPr>
        <w:t xml:space="preserve">BCS (2022) Code of conduct for BCS members. Swindon: British Computer Society. Available at: https://www.bcs.org/membership-and-registrations/become-a-member/bcs-code-of-conduct (Accessed: 14 March 2025).</w:t>
      </w:r>
    </w:p>
    <w:p>
      <w:pPr>
        <w:spacing w:after="120" w:before="0" w:line="320" w:lineRule="auto"/>
        <w:ind w:left="720" w:hanging="720"/>
        <w:jc w:val="both"/>
      </w:pPr>
      <w:r>
        <w:rPr>
          <w:rFonts w:ascii="Times New Roman" w:cs="Times New Roman" w:eastAsia="Times New Roman" w:hAnsi="Times New Roman"/>
          <w:sz w:val="24"/>
          <w:szCs w:val="24"/>
        </w:rPr>
        <w:t xml:space="preserve">BSI (2011) EN 15359:2011 Solid recovered fuels — specifications and classes. London: British Standards Institution.</w:t>
      </w:r>
    </w:p>
    <w:p>
      <w:pPr>
        <w:spacing w:after="120" w:before="0" w:line="320" w:lineRule="auto"/>
        <w:ind w:left="720" w:hanging="720"/>
        <w:jc w:val="both"/>
      </w:pPr>
      <w:r>
        <w:rPr>
          <w:rFonts w:ascii="Times New Roman" w:cs="Times New Roman" w:eastAsia="Times New Roman" w:hAnsi="Times New Roman"/>
          <w:sz w:val="24"/>
          <w:szCs w:val="24"/>
        </w:rPr>
        <w:t xml:space="preserve">Chen, T. and Guestrin, C. (2016) 'XGBoost: a scalable tree boosting system', Proceedings of the 22nd ACM SIGKDD International Conference on Knowledge Discovery and Data Mining, San Francisco, CA, 13–17 August, pp. 785–794. doi:10.1145/2939672.2939785.</w:t>
      </w:r>
    </w:p>
    <w:p>
      <w:pPr>
        <w:spacing w:after="120" w:before="0" w:line="320" w:lineRule="auto"/>
        <w:ind w:left="720" w:hanging="720"/>
        <w:jc w:val="both"/>
      </w:pPr>
      <w:r>
        <w:rPr>
          <w:rFonts w:ascii="Times New Roman" w:cs="Times New Roman" w:eastAsia="Times New Roman" w:hAnsi="Times New Roman"/>
          <w:sz w:val="24"/>
          <w:szCs w:val="24"/>
        </w:rPr>
        <w:t xml:space="preserve">Chen, X., Hu, J. and Ling, C.X. (2021) 'Multi-modal fusion for automated inspection of industrial components', IEEE Transactions on Industrial Informatics, 17(9), pp. 6415–6424. doi:10.1109/TII.2020.3041266.</w:t>
      </w:r>
    </w:p>
    <w:p>
      <w:pPr>
        <w:spacing w:after="120" w:before="0" w:line="320" w:lineRule="auto"/>
        <w:ind w:left="720" w:hanging="720"/>
        <w:jc w:val="both"/>
      </w:pPr>
      <w:r>
        <w:rPr>
          <w:rFonts w:ascii="Times New Roman" w:cs="Times New Roman" w:eastAsia="Times New Roman" w:hAnsi="Times New Roman"/>
          <w:sz w:val="24"/>
          <w:szCs w:val="24"/>
        </w:rPr>
        <w:t xml:space="preserve">Coskuner, G., Jassim, M.S., Munir, M.T. and Jalalipour, M. (2021) 'Application of machine learning to predict calorific values of municipal solid waste', Process Safety and Environmental Protection, 148, pp. 1029–1038. doi:10.1016/j.psep.2021.01.052.</w:t>
      </w:r>
    </w:p>
    <w:p>
      <w:pPr>
        <w:spacing w:after="120" w:before="0" w:line="320" w:lineRule="auto"/>
        <w:ind w:left="720" w:hanging="720"/>
        <w:jc w:val="both"/>
      </w:pPr>
      <w:r>
        <w:rPr>
          <w:rFonts w:ascii="Times New Roman" w:cs="Times New Roman" w:eastAsia="Times New Roman" w:hAnsi="Times New Roman"/>
          <w:sz w:val="24"/>
          <w:szCs w:val="24"/>
        </w:rPr>
        <w:t xml:space="preserve">European Parliament (1999) Council Directive 1999/31/EC on the landfill of waste. Official Journal of the European Communities, L 182, pp. 1–19.</w:t>
      </w:r>
    </w:p>
    <w:p>
      <w:pPr>
        <w:spacing w:after="120" w:before="0" w:line="320" w:lineRule="auto"/>
        <w:ind w:left="720" w:hanging="720"/>
        <w:jc w:val="both"/>
      </w:pPr>
      <w:r>
        <w:rPr>
          <w:rFonts w:ascii="Times New Roman" w:cs="Times New Roman" w:eastAsia="Times New Roman" w:hAnsi="Times New Roman"/>
          <w:sz w:val="24"/>
          <w:szCs w:val="24"/>
        </w:rPr>
        <w:t xml:space="preserve">European Parliament (2008) Directive 2008/98/EC on waste and repealing certain directives. Official Journal of the European Union, L 312, pp. 3–30.</w:t>
      </w:r>
    </w:p>
    <w:p>
      <w:pPr>
        <w:spacing w:after="120" w:before="0" w:line="320" w:lineRule="auto"/>
        <w:ind w:left="720" w:hanging="720"/>
        <w:jc w:val="both"/>
      </w:pPr>
      <w:r>
        <w:rPr>
          <w:rFonts w:ascii="Times New Roman" w:cs="Times New Roman" w:eastAsia="Times New Roman" w:hAnsi="Times New Roman"/>
          <w:sz w:val="24"/>
          <w:szCs w:val="24"/>
        </w:rPr>
        <w:t xml:space="preserve">Gallardo, A., Bovea, M.D., Colomer, F.J. and Prades, M. (2014) 'Analysis of collection systems for sorted household waste in Spain', Waste Management, 34(11), pp. 2199–2209. doi:10.1016/j.wasman.2014.07.009.</w:t>
      </w:r>
    </w:p>
    <w:p>
      <w:pPr>
        <w:spacing w:after="120" w:before="0" w:line="320" w:lineRule="auto"/>
        <w:ind w:left="720" w:hanging="720"/>
        <w:jc w:val="both"/>
      </w:pPr>
      <w:r>
        <w:rPr>
          <w:rFonts w:ascii="Times New Roman" w:cs="Times New Roman" w:eastAsia="Times New Roman" w:hAnsi="Times New Roman"/>
          <w:sz w:val="24"/>
          <w:szCs w:val="24"/>
        </w:rPr>
        <w:t xml:space="preserve">Guo, Z., Wang, C., Yang, G. and Huang, Z. (2020) 'MSFC: deep learning for multi-sensor fusion in crack detection', Construction and Building Materials, 254, 119290. doi:10.1016/j.conbuildmat.2020.119290.</w:t>
      </w:r>
    </w:p>
    <w:p>
      <w:pPr>
        <w:spacing w:after="120" w:before="0" w:line="320" w:lineRule="auto"/>
        <w:ind w:left="720" w:hanging="720"/>
        <w:jc w:val="both"/>
      </w:pPr>
      <w:r>
        <w:rPr>
          <w:rFonts w:ascii="Times New Roman" w:cs="Times New Roman" w:eastAsia="Times New Roman" w:hAnsi="Times New Roman"/>
          <w:sz w:val="24"/>
          <w:szCs w:val="24"/>
        </w:rPr>
        <w:t xml:space="preserve">Hevner, A.R., March, S.T., Park, J. and Ram, S. (2004) 'Design science in information systems research', MIS Quarterly, 28(1), pp. 75–105. doi:10.2307/25148625.</w:t>
      </w:r>
    </w:p>
    <w:p>
      <w:pPr>
        <w:spacing w:after="120" w:before="0" w:line="320" w:lineRule="auto"/>
        <w:ind w:left="720" w:hanging="720"/>
        <w:jc w:val="both"/>
      </w:pPr>
      <w:r>
        <w:rPr>
          <w:rFonts w:ascii="Times New Roman" w:cs="Times New Roman" w:eastAsia="Times New Roman" w:hAnsi="Times New Roman"/>
          <w:sz w:val="24"/>
          <w:szCs w:val="24"/>
        </w:rPr>
        <w:t xml:space="preserve">Huang, S.C., Pareek, A., Seyyedi, S., Banerjee, I. and Lungren, M.P. (2020) 'Fusion of medical imaging and electronic health records using deep learning: systematic review and implementation guidelines', npj Digital Medicine, 3(1), p. 136. doi:10.1038/s41746-020-00341-z.</w:t>
      </w:r>
    </w:p>
    <w:p>
      <w:pPr>
        <w:spacing w:after="120" w:before="0" w:line="320" w:lineRule="auto"/>
        <w:ind w:left="720" w:hanging="720"/>
        <w:jc w:val="both"/>
      </w:pPr>
      <w:r>
        <w:rPr>
          <w:rFonts w:ascii="Times New Roman" w:cs="Times New Roman" w:eastAsia="Times New Roman" w:hAnsi="Times New Roman"/>
          <w:sz w:val="24"/>
          <w:szCs w:val="24"/>
        </w:rPr>
        <w:t xml:space="preserve">Kaza, S., Yao, L., Bhada-Tata, P. and Van Woerden, F. (2018) What a waste 2.0: a global snapshot of solid waste management to 2050. Washington, DC: World Bank. doi:10.1596/978-1-4648-1329-0.</w:t>
      </w:r>
    </w:p>
    <w:p>
      <w:pPr>
        <w:spacing w:after="120" w:before="0" w:line="320" w:lineRule="auto"/>
        <w:ind w:left="720" w:hanging="720"/>
        <w:jc w:val="both"/>
      </w:pPr>
      <w:r>
        <w:rPr>
          <w:rFonts w:ascii="Times New Roman" w:cs="Times New Roman" w:eastAsia="Times New Roman" w:hAnsi="Times New Roman"/>
          <w:sz w:val="24"/>
          <w:szCs w:val="24"/>
        </w:rPr>
        <w:t xml:space="preserve">Kumsetty, N.V., Nekkare, A.B., Kamath, S.S. and KS, A. (2022) 'TrashBox: trash detection and classification using quantum transfer learning', Proceedings of the 31st Conference of Open Innovations Association FRUCT, Helsinki, Finland, 27–29 April, pp. 125–131. doi:10.23919/FRUCT54823.2022.9770922.</w:t>
      </w:r>
    </w:p>
    <w:p>
      <w:pPr>
        <w:spacing w:after="120" w:before="0" w:line="320" w:lineRule="auto"/>
        <w:ind w:left="720" w:hanging="720"/>
        <w:jc w:val="both"/>
      </w:pPr>
      <w:r>
        <w:rPr>
          <w:rFonts w:ascii="Times New Roman" w:cs="Times New Roman" w:eastAsia="Times New Roman" w:hAnsi="Times New Roman"/>
          <w:sz w:val="24"/>
          <w:szCs w:val="24"/>
        </w:rPr>
        <w:t xml:space="preserve">LeCun, Y., Bengio, Y. and Hinton, G. (2015) 'Deep learning', Nature, 521(7553), pp. 436–444. doi:10.1038/nature14539.</w:t>
      </w:r>
    </w:p>
    <w:p>
      <w:pPr>
        <w:spacing w:after="120" w:before="0" w:line="320" w:lineRule="auto"/>
        <w:ind w:left="720" w:hanging="720"/>
        <w:jc w:val="both"/>
      </w:pPr>
      <w:r>
        <w:rPr>
          <w:rFonts w:ascii="Times New Roman" w:cs="Times New Roman" w:eastAsia="Times New Roman" w:hAnsi="Times New Roman"/>
          <w:sz w:val="24"/>
          <w:szCs w:val="24"/>
        </w:rPr>
        <w:t xml:space="preserve">Mao, W.L., Chen, W.C., Wang, C.T. and Lin, Y.H. (2021) 'Recycling waste classification using optimized convolutional neural network', Resources, Conservation and Recycling, 164, 105132. doi:10.1016/j.resconrec.2020.105132.</w:t>
      </w:r>
    </w:p>
    <w:p>
      <w:pPr>
        <w:spacing w:after="120" w:before="0" w:line="320" w:lineRule="auto"/>
        <w:ind w:left="720" w:hanging="720"/>
        <w:jc w:val="both"/>
      </w:pPr>
      <w:r>
        <w:rPr>
          <w:rFonts w:ascii="Times New Roman" w:cs="Times New Roman" w:eastAsia="Times New Roman" w:hAnsi="Times New Roman"/>
          <w:sz w:val="24"/>
          <w:szCs w:val="24"/>
        </w:rPr>
        <w:t xml:space="preserve">Morrissey, A.J. and Browne, J. (2004) 'Waste management models and their application to sustainable waste management', Waste Management, 24(3), pp. 297–308. doi:10.1016/j.wasman.2003.09.005.</w:t>
      </w:r>
    </w:p>
    <w:p>
      <w:pPr>
        <w:spacing w:after="120" w:before="0" w:line="320" w:lineRule="auto"/>
        <w:ind w:left="720" w:hanging="720"/>
        <w:jc w:val="both"/>
      </w:pPr>
      <w:r>
        <w:rPr>
          <w:rFonts w:ascii="Times New Roman" w:cs="Times New Roman" w:eastAsia="Times New Roman" w:hAnsi="Times New Roman"/>
          <w:sz w:val="24"/>
          <w:szCs w:val="24"/>
        </w:rPr>
        <w:t xml:space="preserve">Petti, S., Schiavone, M. and Lodi, R. (2021) 'Web-based machine learning for SME food quality monitoring: a case study framework', Journal of Food Engineering, 290, 110262. doi:10.1016/j.jfoodeng.2020.110262.</w:t>
      </w:r>
    </w:p>
    <w:p>
      <w:pPr>
        <w:spacing w:after="120" w:before="0" w:line="320" w:lineRule="auto"/>
        <w:ind w:left="720" w:hanging="720"/>
        <w:jc w:val="both"/>
      </w:pPr>
      <w:r>
        <w:rPr>
          <w:rFonts w:ascii="Times New Roman" w:cs="Times New Roman" w:eastAsia="Times New Roman" w:hAnsi="Times New Roman"/>
          <w:sz w:val="24"/>
          <w:szCs w:val="24"/>
        </w:rPr>
        <w:t xml:space="preserve">Proença, P.F. and Simões, P. (2020) 'TACO: trash annotations in context for litter detection', arXiv preprint arXiv:2003.06975. Available at: https://arxiv.org/abs/2003.06975 (Accessed: 10 March 2025).</w:t>
      </w:r>
    </w:p>
    <w:p>
      <w:pPr>
        <w:spacing w:after="120" w:before="0" w:line="320" w:lineRule="auto"/>
        <w:ind w:left="720" w:hanging="720"/>
        <w:jc w:val="both"/>
      </w:pPr>
      <w:r>
        <w:rPr>
          <w:rFonts w:ascii="Times New Roman" w:cs="Times New Roman" w:eastAsia="Times New Roman" w:hAnsi="Times New Roman"/>
          <w:sz w:val="24"/>
          <w:szCs w:val="24"/>
        </w:rPr>
        <w:t xml:space="preserve">Rada, E.C., Ionescu, G., Conti, F. and Ragazzi, M. (2018) 'Calorific value and biogenic content of RDF: a review of estimation approaches', Waste Management and Research, 36(10), pp. 903–917. doi:10.1177/0734242X18786026.</w:t>
      </w:r>
    </w:p>
    <w:p>
      <w:pPr>
        <w:spacing w:after="120" w:before="0" w:line="320" w:lineRule="auto"/>
        <w:ind w:left="720" w:hanging="720"/>
        <w:jc w:val="both"/>
      </w:pPr>
      <w:r>
        <w:rPr>
          <w:rFonts w:ascii="Times New Roman" w:cs="Times New Roman" w:eastAsia="Times New Roman" w:hAnsi="Times New Roman"/>
          <w:sz w:val="24"/>
          <w:szCs w:val="24"/>
        </w:rPr>
        <w:t xml:space="preserve">Rada, E.C., Ragazzi, M. and Torretta, V. (2020) 'Digitisation and data management in European materials recovery facilities', Sustainability, 12(18), 7393. doi:10.3390/su12187393.</w:t>
      </w:r>
    </w:p>
    <w:p>
      <w:pPr>
        <w:spacing w:after="120" w:before="0" w:line="320" w:lineRule="auto"/>
        <w:ind w:left="720" w:hanging="720"/>
        <w:jc w:val="both"/>
      </w:pPr>
      <w:r>
        <w:rPr>
          <w:rFonts w:ascii="Times New Roman" w:cs="Times New Roman" w:eastAsia="Times New Roman" w:hAnsi="Times New Roman"/>
          <w:sz w:val="24"/>
          <w:szCs w:val="24"/>
        </w:rPr>
        <w:t xml:space="preserve">Ramachandram, D. and Taylor, G.W. (2017) 'Deep multimodal learning: a survey on recent advances and trends', IEEE Signal Processing Magazine, 34(6), pp. 96–108. doi:10.1109/MSP.2017.2738401.</w:t>
      </w:r>
    </w:p>
    <w:p>
      <w:pPr>
        <w:spacing w:after="120" w:before="0" w:line="320" w:lineRule="auto"/>
        <w:ind w:left="720" w:hanging="720"/>
        <w:jc w:val="both"/>
      </w:pPr>
      <w:r>
        <w:rPr>
          <w:rFonts w:ascii="Times New Roman" w:cs="Times New Roman" w:eastAsia="Times New Roman" w:hAnsi="Times New Roman"/>
          <w:sz w:val="24"/>
          <w:szCs w:val="24"/>
        </w:rPr>
        <w:t xml:space="preserve">Ramirez, S. (2021) FastAPI documentation. Available at: https://fastapi.tiangolo.com (Accessed: 15 March 2025).</w:t>
      </w:r>
    </w:p>
    <w:p>
      <w:pPr>
        <w:spacing w:after="120" w:before="0" w:line="320" w:lineRule="auto"/>
        <w:ind w:left="720" w:hanging="720"/>
        <w:jc w:val="both"/>
      </w:pPr>
      <w:r>
        <w:rPr>
          <w:rFonts w:ascii="Times New Roman" w:cs="Times New Roman" w:eastAsia="Times New Roman" w:hAnsi="Times New Roman"/>
          <w:sz w:val="24"/>
          <w:szCs w:val="24"/>
        </w:rPr>
        <w:t xml:space="preserve">Vo, A.H., Son, L.H., Vo, M.T. and Le, T. (2019) 'A novel framework for trash classification using deep transfer learning', IEEE Access, 7, pp. 178631–178639. doi:10.1109/ACCESS.2019.2959033.</w:t>
      </w:r>
    </w:p>
    <w:p>
      <w:pPr>
        <w:spacing w:after="120" w:before="0" w:line="320" w:lineRule="auto"/>
        <w:ind w:left="720" w:hanging="720"/>
        <w:jc w:val="both"/>
      </w:pPr>
      <w:r>
        <w:rPr>
          <w:rFonts w:ascii="Times New Roman" w:cs="Times New Roman" w:eastAsia="Times New Roman" w:hAnsi="Times New Roman"/>
          <w:sz w:val="24"/>
          <w:szCs w:val="24"/>
        </w:rPr>
        <w:t xml:space="preserve">Wilson, D.C., Velis, C.A. and Rodic, L. (2015) 'Integrated sustainable waste management in developing countries', Proceedings of the Institution of Civil Engineers — Waste and Resource Management, 168(2), pp. 52–68. doi:10.1680/warm.14.00005.</w:t>
      </w:r>
    </w:p>
    <w:p>
      <w:pPr>
        <w:spacing w:after="120" w:before="0" w:line="320" w:lineRule="auto"/>
        <w:ind w:left="720" w:hanging="720"/>
        <w:jc w:val="both"/>
      </w:pPr>
      <w:r>
        <w:rPr>
          <w:rFonts w:ascii="Times New Roman" w:cs="Times New Roman" w:eastAsia="Times New Roman" w:hAnsi="Times New Roman"/>
          <w:sz w:val="24"/>
          <w:szCs w:val="24"/>
        </w:rPr>
        <w:t xml:space="preserve">Yang, M. and Thung, G. (2016) Classification of trash for recyclability status, CS229 Project Report, Stanford University. Available at: http://cs229.stanford.edu/proj2016/report/ThungYang-ClassificationOfTrashForRecyclabilityStatus-report.pdf (Accessed: 10 March 2025).</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2026-06-03T16:09:29.311Z</dcterms:created>
  <dcterms:modified xsi:type="dcterms:W3CDTF">2026-06-03T16:09:29.312Z</dcterms:modified>
</cp:coreProperties>
</file>

<file path=docProps/custom.xml><?xml version="1.0" encoding="utf-8"?>
<Properties xmlns="http://schemas.openxmlformats.org/officeDocument/2006/custom-properties" xmlns:vt="http://schemas.openxmlformats.org/officeDocument/2006/docPropsVTypes"/>
</file>