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40"/>
          <w:szCs w:val="4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2600"/>
            </w14:solidFill>
          </w14:textFill>
        </w:rPr>
        <w:t>SOLID Principal: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 i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t is the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best practices of software development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to deliver good quality of app because it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’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s help us to write clean &amp;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elegant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/nice of code with SOC(separation of concept).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433FF"/>
            </w14:solidFill>
          </w14:textFill>
        </w:rPr>
        <w:t>S =&gt;  SRP  =  Single Responsibility principal</w:t>
      </w: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: </w:t>
      </w:r>
      <w:r>
        <w:rPr>
          <w:rFonts w:ascii="Helvetica" w:hAnsi="Helvetica"/>
          <w:b w:val="0"/>
          <w:bCs w:val="0"/>
          <w:outline w:val="0"/>
          <w:color w:val="1d1f20"/>
          <w:u w:val="single"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https://www.geeksforgeeks.org/single-responsibility-principle-in-java-with-examples</w:t>
      </w: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/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A class should have only one reason to change.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This means when we design our classes, we need to ensure that our class is responsible only for 1 task or functionality and when there is a change in that task/functionality, only then, that class should change.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Achieve through create separate class for each responsibility.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Benefits of Single Responsibility Principle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When an application has multiple classes, each of them following this principle, then the applicable becomes more maintainable, easier to understand.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The code quality of the application is better, thereby having fewer defects.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Onboarding new members are easy, and they can start contributing much faster.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Testing and writing test cases is much simpler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Example: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We have activity and having task, 1. getting some input from user,  2. preparing request data, 3. preparing the request call,  4. Handling response,  5.parsing the response data.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Note: 1.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So once case we create each &amp; everything in same activity, which is not follow SRP</w:t>
      </w: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.   2.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Achieve SRP we have create separate class for each </w:t>
      </w: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task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0432ff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433FF"/>
            </w14:solidFill>
          </w14:textFill>
        </w:rPr>
        <w:t xml:space="preserve">O =&gt;  OCP =  Open-Close Principal:  </w:t>
      </w:r>
      <w:r>
        <w:rPr>
          <w:rFonts w:ascii="Helvetica" w:hAnsi="Helvetica"/>
          <w:b w:val="1"/>
          <w:bCs w:val="1"/>
          <w:outline w:val="0"/>
          <w:color w:val="0432ff"/>
          <w:u w:val="single"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433FF"/>
            </w14:solidFill>
          </w14:textFill>
        </w:rPr>
        <w:t>https://www.geeksforgeeks.org/open-closed-principle-in-java-with-examples/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Software entities such as classes, functions, modules should be open for extension but closed for modification.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Create an abstract class that serves as a base class for all types of objects.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Example: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Program to calculate the volume in which let us consider the task of building an application that calculates the volumes of all the geometric objects.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Note:  </w:t>
      </w: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1.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Don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’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  create  method or inner class for achieve this.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2.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Create an abstract class that serves as a base class for all types of objects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(rectangle, circular)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L  =&gt;  LSP  =   Liskov substitution of principal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The derived class must be usable through the base class interface, without the need for the user to know the difference.Simply put,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if class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A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is a subtype of class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B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, then we should be able to replace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objects of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B</w:t>
      </w:r>
      <w:r>
        <w:rPr>
          <w:rFonts w:ascii="Helvetica" w:hAnsi="Helvetica" w:hint="default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with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objects of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A</w:t>
      </w:r>
      <w:r>
        <w:rPr>
          <w:rFonts w:ascii="Helvetica" w:hAnsi="Helvetica" w:hint="default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(i.e., objects of type A may substitute objects of type B)</w:t>
      </w:r>
      <w:r>
        <w:rPr>
          <w:rFonts w:ascii="Helvetica" w:hAnsi="Helvetica" w:hint="default"/>
          <w:i w:val="1"/>
          <w:i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without changing the behavior (correctness, functionality, etc.) of our program.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“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Derived types must be completely substitutable for their base types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I  =&gt;   ISP   =   Interface Segregation Principal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No client should be forced to depend on methods it does not use.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In Interface Segregation Principle interface should not have methods that implementing classes don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’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t require. Implementing classes are for no reason forced to provide implementations for those methods it does not require to.</w:t>
      </w:r>
      <w:r>
        <w:rPr>
          <w:rFonts w:ascii="Helvetica" w:hAnsi="Helvetica" w:hint="default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D =&gt;  DIP   =   Dependancy Inversion principal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High-level modules should not depend on low-level modules. Both should depend on abstractions.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 Abstractions should not depend on details. Details should depend on abstractions.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 xml:space="preserve">gh </w:t>
      </w:r>
      <w:r>
        <w:rPr>
          <w:rFonts w:ascii="Helvetica" w:hAnsi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  <w:t>Any higher classes should always depend upon the abstraction of the class rather than the detail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