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36"/>
          <w:szCs w:val="36"/>
        </w:rPr>
        <w:t xml:space="preserve">COGNIFYZ IT SOLUTIONS PVT. LTD.</w:t>
      </w:r>
    </w:p>
    <w:p>
      <w:pPr>
        <w:spacing w:after="200" w:before="0"/>
        <w:jc w:val="center"/>
      </w:pPr>
      <w:r>
        <w:rPr>
          <w:rFonts w:ascii="Arial" w:cs="Arial" w:eastAsia="Arial" w:hAnsi="Arial"/>
          <w:color w:val="555555"/>
          <w:sz w:val="28"/>
          <w:szCs w:val="28"/>
        </w:rPr>
        <w:t xml:space="preserve">Business Analytics Internship Program</w:t>
      </w:r>
    </w:p>
    <w:p>
      <w:pPr>
        <w:pBdr>
          <w:bottom w:val="single" w:color="1E3A5F" w:sz="6" w:space="1"/>
        </w:pBdr>
        <w:spacing w:after="120" w:before="120"/>
      </w:pPr>
    </w:p>
    <w:p>
      <w:pPr>
        <w:spacing w:after="200" w:before="400"/>
        <w:jc w:val="center"/>
      </w:pPr>
      <w:r>
        <w:rPr>
          <w:rFonts w:ascii="Arial" w:cs="Arial" w:eastAsia="Arial" w:hAnsi="Arial"/>
          <w:b/>
          <w:bCs/>
          <w:color w:val="1E3A5F"/>
          <w:sz w:val="40"/>
          <w:szCs w:val="40"/>
        </w:rPr>
        <w:t xml:space="preserve">EXPLORATORY DATA ANALYSIS REPORT</w:t>
      </w:r>
    </w:p>
    <w:p>
      <w:pPr>
        <w:spacing w:after="600" w:before="0"/>
        <w:jc w:val="center"/>
      </w:pPr>
      <w:r>
        <w:rPr>
          <w:rFonts w:ascii="Arial" w:cs="Arial" w:eastAsia="Arial" w:hAnsi="Arial"/>
          <w:i/>
          <w:iCs/>
          <w:color w:val="444444"/>
          <w:sz w:val="26"/>
          <w:szCs w:val="26"/>
        </w:rPr>
        <w:t xml:space="preserve">Investment Behaviour Analysis of Survey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sz w:val="22"/>
                <w:szCs w:val="22"/>
              </w:rPr>
              <w:t xml:space="preserve">Intern Name:</w:t>
            </w:r>
          </w:p>
        </w:tc>
        <w:tc>
          <w:tcPr>
            <w:tcW w:type="dxa" w:w="468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sz w:val="22"/>
                <w:szCs w:val="22"/>
              </w:rPr>
              <w:t xml:space="preserve">Abhishek Reddy</w:t>
            </w:r>
          </w:p>
        </w:tc>
      </w:tr>
      <w:tr>
        <w:tc>
          <w:tcPr>
            <w:tcW w:type="dxa" w:w="468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Arial" w:cs="Arial" w:eastAsia="Arial" w:hAnsi="Arial"/>
                <w:b/>
                <w:bCs/>
                <w:sz w:val="22"/>
                <w:szCs w:val="22"/>
              </w:rPr>
              <w:t xml:space="preserve">Reference No:</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Arial" w:cs="Arial" w:eastAsia="Arial" w:hAnsi="Arial"/>
                <w:sz w:val="22"/>
                <w:szCs w:val="22"/>
              </w:rPr>
              <w:t xml:space="preserve">CTI/A1/C344055</w:t>
            </w:r>
          </w:p>
        </w:tc>
      </w:tr>
      <w:tr>
        <w:tc>
          <w:tcPr>
            <w:tcW w:type="dxa" w:w="468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b/>
                <w:bCs/>
                <w:sz w:val="22"/>
                <w:szCs w:val="22"/>
              </w:rPr>
              <w:t xml:space="preserve">Role:</w:t>
            </w:r>
          </w:p>
        </w:tc>
        <w:tc>
          <w:tcPr>
            <w:tcW w:type="dxa" w:w="468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sz w:val="22"/>
                <w:szCs w:val="22"/>
              </w:rPr>
              <w:t xml:space="preserve">Business Analytics Intern</w:t>
            </w:r>
          </w:p>
        </w:tc>
      </w:tr>
      <w:tr>
        <w:tc>
          <w:tcPr>
            <w:tcW w:type="dxa" w:w="468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Arial" w:cs="Arial" w:eastAsia="Arial" w:hAnsi="Arial"/>
                <w:b/>
                <w:bCs/>
                <w:sz w:val="22"/>
                <w:szCs w:val="22"/>
              </w:rPr>
              <w:t xml:space="preserve">Duration:</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Arial" w:cs="Arial" w:eastAsia="Arial" w:hAnsi="Arial"/>
                <w:sz w:val="22"/>
                <w:szCs w:val="22"/>
              </w:rPr>
              <w:t xml:space="preserve">24 April 2026 - 24 May 2026</w:t>
            </w:r>
          </w:p>
        </w:tc>
      </w:tr>
      <w:tr>
        <w:tc>
          <w:tcPr>
            <w:tcW w:type="dxa" w:w="468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b/>
                <w:bCs/>
                <w:sz w:val="22"/>
                <w:szCs w:val="22"/>
              </w:rPr>
              <w:t xml:space="preserve">Report Date:</w:t>
            </w:r>
          </w:p>
        </w:tc>
        <w:tc>
          <w:tcPr>
            <w:tcW w:type="dxa" w:w="468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sz w:val="22"/>
                <w:szCs w:val="22"/>
              </w:rPr>
              <w:t xml:space="preserve">May 2026</w:t>
            </w:r>
          </w:p>
        </w:tc>
      </w:tr>
      <w:tr>
        <w:tc>
          <w:tcPr>
            <w:tcW w:type="dxa" w:w="468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Arial" w:cs="Arial" w:eastAsia="Arial" w:hAnsi="Arial"/>
                <w:b/>
                <w:bCs/>
                <w:sz w:val="22"/>
                <w:szCs w:val="22"/>
              </w:rPr>
              <w:t xml:space="preserve">Tools Used:</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Arial" w:cs="Arial" w:eastAsia="Arial" w:hAnsi="Arial"/>
                <w:sz w:val="22"/>
                <w:szCs w:val="22"/>
              </w:rPr>
              <w:t xml:space="preserve">Excel | Python | Power BI | MySQL</w:t>
            </w:r>
          </w:p>
        </w:tc>
      </w:tr>
    </w:tbl>
    <w:p>
      <w:r>
        <w:br w:type="page"/>
      </w:r>
    </w:p>
    <w:p>
      <w:pPr>
        <w:pStyle w:val="Heading1"/>
        <w:spacing w:after="180" w:before="360"/>
      </w:pPr>
      <w:r>
        <w:rPr>
          <w:rFonts w:ascii="Arial" w:cs="Arial" w:eastAsia="Arial" w:hAnsi="Arial"/>
          <w:b/>
          <w:bCs/>
          <w:color w:val="1E3A5F"/>
          <w:sz w:val="32"/>
          <w:szCs w:val="32"/>
        </w:rPr>
        <w:t xml:space="preserve">1. Executive Summary</w:t>
      </w:r>
    </w:p>
    <w:p>
      <w:pPr>
        <w:pBdr>
          <w:bottom w:val="single" w:color="1E3A5F" w:sz="6" w:space="1"/>
        </w:pBdr>
        <w:spacing w:after="120" w:before="120"/>
      </w:pPr>
    </w:p>
    <w:p>
      <w:pPr>
        <w:spacing w:after="80" w:before="80"/>
      </w:pPr>
      <w:r>
        <w:rPr>
          <w:rFonts w:ascii="Arial" w:cs="Arial" w:eastAsia="Arial" w:hAnsi="Arial"/>
          <w:sz w:val="22"/>
          <w:szCs w:val="22"/>
        </w:rPr>
        <w:t xml:space="preserve">This Exploratory Data Analysis (EDA) report presents a comprehensive analysis of an investment behaviour survey conducted on 40 participants. The analysis was performed as part of the Cognifyz Business Analytics Internship Program using four industry-standard tools: Microsoft Excel, Python (Pandas, Matplotlib, Seaborn), Power BI, and MySQL.</w:t>
      </w:r>
    </w:p>
    <w:p>
      <w:pPr>
        <w:spacing w:after="60" w:before="60"/>
      </w:pPr>
      <w:r>
        <w:t xml:space="preserve"/>
      </w:r>
    </w:p>
    <w:p>
      <w:pPr>
        <w:spacing w:after="80" w:before="80"/>
      </w:pPr>
      <w:r>
        <w:rPr>
          <w:rFonts w:ascii="Arial" w:cs="Arial" w:eastAsia="Arial" w:hAnsi="Arial"/>
          <w:sz w:val="22"/>
          <w:szCs w:val="22"/>
        </w:rPr>
        <w:t xml:space="preserve">The dataset contains 24 variables capturing participant demographics, investment preferences, savings objectives, information sources, and return expectations. All 10 assigned tasks were completed across 4 levels of difficulty — Beginner, Intermediate, Advanced, and Expert.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KEY HIGHLIGHTS:</w:t>
            </w:r>
          </w:p>
          <w:p>
            <w:pPr>
              <w:spacing w:after="60" w:before="60"/>
            </w:pPr>
            <w:r>
              <w:rPr>
                <w:rFonts w:ascii="Arial" w:cs="Arial" w:eastAsia="Arial" w:hAnsi="Arial"/>
                <w:b w:val="false"/>
                <w:bCs w:val="false"/>
                <w:sz w:val="21"/>
                <w:szCs w:val="21"/>
              </w:rPr>
              <w:t xml:space="preserve">  Total Participants Surveyed: 40</w:t>
            </w:r>
          </w:p>
          <w:p>
            <w:pPr>
              <w:spacing w:after="60" w:before="60"/>
            </w:pPr>
            <w:r>
              <w:rPr>
                <w:rFonts w:ascii="Arial" w:cs="Arial" w:eastAsia="Arial" w:hAnsi="Arial"/>
                <w:b w:val="false"/>
                <w:bCs w:val="false"/>
                <w:sz w:val="21"/>
                <w:szCs w:val="21"/>
              </w:rPr>
              <w:t xml:space="preserve">  Total Variables Analyzed: 24</w:t>
            </w:r>
          </w:p>
          <w:p>
            <w:pPr>
              <w:spacing w:after="60" w:before="60"/>
            </w:pPr>
            <w:r>
              <w:rPr>
                <w:rFonts w:ascii="Arial" w:cs="Arial" w:eastAsia="Arial" w:hAnsi="Arial"/>
                <w:b w:val="false"/>
                <w:bCs w:val="false"/>
                <w:sz w:val="21"/>
                <w:szCs w:val="21"/>
              </w:rPr>
              <w:t xml:space="preserve">  Missing Values Found: 0 (Clean Dataset)</w:t>
            </w:r>
          </w:p>
          <w:p>
            <w:pPr>
              <w:spacing w:after="60" w:before="60"/>
            </w:pPr>
            <w:r>
              <w:rPr>
                <w:rFonts w:ascii="Arial" w:cs="Arial" w:eastAsia="Arial" w:hAnsi="Arial"/>
                <w:b w:val="false"/>
                <w:bCs w:val="false"/>
                <w:sz w:val="21"/>
                <w:szCs w:val="21"/>
              </w:rPr>
              <w:t xml:space="preserve">  Tasks Completed: 10 out of 10</w:t>
            </w:r>
          </w:p>
          <w:p>
            <w:pPr>
              <w:spacing w:after="60" w:before="60"/>
            </w:pPr>
            <w:r>
              <w:rPr>
                <w:rFonts w:ascii="Arial" w:cs="Arial" w:eastAsia="Arial" w:hAnsi="Arial"/>
                <w:b w:val="false"/>
                <w:bCs w:val="false"/>
                <w:sz w:val="21"/>
                <w:szCs w:val="21"/>
              </w:rPr>
              <w:t xml:space="preserve">  Most Preferred Investment: Mutual Funds (45%)</w:t>
            </w:r>
          </w:p>
          <w:p>
            <w:pPr>
              <w:spacing w:after="60" w:before="60"/>
            </w:pPr>
            <w:r>
              <w:rPr>
                <w:rFonts w:ascii="Arial" w:cs="Arial" w:eastAsia="Arial" w:hAnsi="Arial"/>
                <w:b w:val="false"/>
                <w:bCs w:val="false"/>
                <w:sz w:val="21"/>
                <w:szCs w:val="21"/>
              </w:rPr>
              <w:t xml:space="preserve">  Top Savings Goal: Retirement Planning (60%)</w:t>
            </w:r>
          </w:p>
          <w:p>
            <w:pPr>
              <w:spacing w:after="60" w:before="60"/>
            </w:pPr>
            <w:r>
              <w:rPr>
                <w:rFonts w:ascii="Arial" w:cs="Arial" w:eastAsia="Arial" w:hAnsi="Arial"/>
                <w:b w:val="false"/>
                <w:bCs w:val="false"/>
                <w:sz w:val="21"/>
                <w:szCs w:val="21"/>
              </w:rPr>
              <w:t xml:space="preserve">  Most Trusted Information Source: Financial Consultants (40%)</w:t>
            </w:r>
          </w:p>
          <w:p>
            <w:pPr>
              <w:spacing w:after="60" w:before="60"/>
            </w:pPr>
            <w:r>
              <w:rPr>
                <w:rFonts w:ascii="Arial" w:cs="Arial" w:eastAsia="Arial" w:hAnsi="Arial"/>
                <w:b w:val="false"/>
                <w:bCs w:val="false"/>
                <w:sz w:val="21"/>
                <w:szCs w:val="21"/>
              </w:rPr>
              <w:t xml:space="preserve">  Average Investor Age: 27.8 years</w:t>
            </w:r>
          </w:p>
        </w:tc>
      </w:tr>
    </w:tbl>
    <w:p>
      <w:pPr>
        <w:spacing w:after="60" w:before="60"/>
      </w:pPr>
      <w:r>
        <w:t xml:space="preserve"/>
      </w:r>
    </w:p>
    <w:p>
      <w:r>
        <w:br w:type="page"/>
      </w:r>
    </w:p>
    <w:p>
      <w:pPr>
        <w:pStyle w:val="Heading1"/>
        <w:spacing w:after="180" w:before="360"/>
      </w:pPr>
      <w:r>
        <w:rPr>
          <w:rFonts w:ascii="Arial" w:cs="Arial" w:eastAsia="Arial" w:hAnsi="Arial"/>
          <w:b/>
          <w:bCs/>
          <w:color w:val="1E3A5F"/>
          <w:sz w:val="32"/>
          <w:szCs w:val="32"/>
        </w:rPr>
        <w:t xml:space="preserve">2. Dataset Overview</w:t>
      </w:r>
    </w:p>
    <w:p>
      <w:pPr>
        <w:pBdr>
          <w:bottom w:val="single" w:color="1E3A5F" w:sz="6" w:space="1"/>
        </w:pBdr>
        <w:spacing w:after="120" w:before="120"/>
      </w:pPr>
    </w:p>
    <w:p>
      <w:pPr>
        <w:pStyle w:val="Heading2"/>
        <w:spacing w:after="120" w:before="240"/>
      </w:pPr>
      <w:r>
        <w:rPr>
          <w:rFonts w:ascii="Arial" w:cs="Arial" w:eastAsia="Arial" w:hAnsi="Arial"/>
          <w:b/>
          <w:bCs/>
          <w:color w:val="1E3A5F"/>
          <w:sz w:val="26"/>
          <w:szCs w:val="26"/>
        </w:rPr>
        <w:t xml:space="preserve">2.1 Dataset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Total Rows (Participants)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Total Columns (Variables)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Missing Values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0 (None)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Duplicate 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 (None)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Numerical Columns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8 (age, Mutual_Funds, Equity_Market, Debentures, Government_Bonds, Fixed_Deposits, PPF, Gold)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Categorical Columns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 (gender, Avenue, Source, Duration, Expect, etc.)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File Format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CSV (Comma Separated Values)</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2.2 Column Descriptions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Column Name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gender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Gender of the investor (Male / Female)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Age of the investor in years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Mutual_Funds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Rating score given to Mutual Funds (1-7)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Equity_Market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Rating score given to Equity Market (1-7)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Debentures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Rating score given to Debentures (1-7)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Government_Bonds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Rating score given to Government Bonds (1-7)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Fixed_Deposits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Rating score given to Fixed Deposits (1-7)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PPF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Rating score given to PPF (1-7)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Gold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Rating score given to Gold (1-7)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Most preferred investment avenue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Duration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Preferred investment duration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Expect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Expected return percentage from investment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Source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Source of investment information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Savings_Objective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Primary savings goal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Reason_Equity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Reason for choosing Equity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Reason_Mutual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Reason for choosing Mutual Funds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Reason_Bonds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Reason for choosing Bonds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Reason_FD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Categorical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Reason for choosing Fixed Deposits</w:t>
            </w:r>
          </w:p>
        </w:tc>
      </w:tr>
    </w:tbl>
    <w:p>
      <w:pPr>
        <w:spacing w:after="60" w:before="60"/>
      </w:pPr>
      <w:r>
        <w:t xml:space="preserve"/>
      </w:r>
    </w:p>
    <w:p>
      <w:r>
        <w:br w:type="page"/>
      </w:r>
    </w:p>
    <w:p>
      <w:pPr>
        <w:pStyle w:val="Heading1"/>
        <w:spacing w:after="180" w:before="360"/>
      </w:pPr>
      <w:r>
        <w:rPr>
          <w:rFonts w:ascii="Arial" w:cs="Arial" w:eastAsia="Arial" w:hAnsi="Arial"/>
          <w:b/>
          <w:bCs/>
          <w:color w:val="1E3A5F"/>
          <w:sz w:val="32"/>
          <w:szCs w:val="32"/>
        </w:rPr>
        <w:t xml:space="preserve">3. Tools and Technologies Used</w:t>
      </w:r>
    </w:p>
    <w:p>
      <w:pPr>
        <w:pBdr>
          <w:bottom w:val="single" w:color="1E3A5F" w:sz="6" w:space="1"/>
        </w:pBdr>
        <w:spacing w:after="120" w:before="12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Features Used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Microsoft Excel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Data Cleaning &amp; Initial Exploration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Filters, Freeze Panes, Pivot Tables, AVERAGE / MEDIAN / STDEV formulas, Charts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Python (Jupyter Notebook)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Statistical Analysis &amp; Visualization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Pandas (value_counts, agg, corr), Matplotlib (bar, pie charts), Seaborn (heatmap)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Power BI Desktop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Interactive Dashboard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DAX Measures (CALCULATE, DIVIDE, COUNTROWS), KPI Cards, Slicers, Cross-filtering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MySQL Workbench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SQL Querying &amp; Data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GROUP BY, COUNT, ROUND, UNION ALL, CASE WHEN, Subqueries, Percentage Calculations</w:t>
            </w:r>
          </w:p>
        </w:tc>
      </w:tr>
    </w:tbl>
    <w:p>
      <w:pPr>
        <w:spacing w:after="60" w:before="60"/>
      </w:pPr>
      <w:r>
        <w:t xml:space="preserve"/>
      </w:r>
    </w:p>
    <w:p>
      <w:r>
        <w:br w:type="page"/>
      </w:r>
    </w:p>
    <w:p>
      <w:pPr>
        <w:pStyle w:val="Heading1"/>
        <w:spacing w:after="180" w:before="360"/>
      </w:pPr>
      <w:r>
        <w:rPr>
          <w:rFonts w:ascii="Arial" w:cs="Arial" w:eastAsia="Arial" w:hAnsi="Arial"/>
          <w:b/>
          <w:bCs/>
          <w:color w:val="1E3A5F"/>
          <w:sz w:val="32"/>
          <w:szCs w:val="32"/>
        </w:rPr>
        <w:t xml:space="preserve">4. Task-by-Task Analysis</w:t>
      </w:r>
    </w:p>
    <w:p>
      <w:pPr>
        <w:pBdr>
          <w:bottom w:val="single" w:color="1E3A5F" w:sz="6" w:space="1"/>
        </w:pBdr>
        <w:spacing w:after="120" w:before="120"/>
      </w:pPr>
    </w:p>
    <w:p>
      <w:pPr>
        <w:pStyle w:val="Heading2"/>
        <w:spacing w:after="120" w:before="240"/>
      </w:pPr>
      <w:r>
        <w:rPr>
          <w:rFonts w:ascii="Arial" w:cs="Arial" w:eastAsia="Arial" w:hAnsi="Arial"/>
          <w:b/>
          <w:bCs/>
          <w:color w:val="1E3A5F"/>
          <w:sz w:val="26"/>
          <w:szCs w:val="26"/>
        </w:rPr>
        <w:t xml:space="preserve">Task 1 (Level 1 — Beginner): Data Overview</w:t>
      </w:r>
    </w:p>
    <w:p>
      <w:pPr>
        <w:spacing w:after="100" w:before="180"/>
      </w:pPr>
      <w:r>
        <w:rPr>
          <w:rFonts w:ascii="Arial" w:cs="Arial" w:eastAsia="Arial" w:hAnsi="Arial"/>
          <w:b/>
          <w:bCs/>
          <w:color w:val="333333"/>
          <w:sz w:val="24"/>
          <w:szCs w:val="24"/>
        </w:rPr>
        <w:t xml:space="preserve">Objective: Understand the dataset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Total Rows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Total Columns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Numerical Columns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Categorical Columns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Missing Values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Duplicate 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FINDING: The dataset is completely clean with no missing or duplicate values.</w:t>
            </w:r>
          </w:p>
          <w:p>
            <w:pPr>
              <w:spacing w:after="60" w:before="60"/>
            </w:pPr>
            <w:r>
              <w:rPr>
                <w:rFonts w:ascii="Arial" w:cs="Arial" w:eastAsia="Arial" w:hAnsi="Arial"/>
                <w:b w:val="false"/>
                <w:bCs w:val="false"/>
                <w:sz w:val="21"/>
                <w:szCs w:val="21"/>
              </w:rPr>
              <w:t xml:space="preserve">All 24 columns are correctly typed and ready for analysis.</w:t>
            </w:r>
          </w:p>
          <w:p>
            <w:pPr>
              <w:spacing w:after="60" w:before="60"/>
            </w:pPr>
            <w:r>
              <w:rPr>
                <w:rFonts w:ascii="Arial" w:cs="Arial" w:eastAsia="Arial" w:hAnsi="Arial"/>
                <w:b w:val="false"/>
                <w:bCs w:val="false"/>
                <w:sz w:val="21"/>
                <w:szCs w:val="21"/>
              </w:rPr>
              <w:t xml:space="preserve">No data cleaning was required beyond renaming one long column name.</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Task 2 (Level 1 — Beginner): Gender Distribution</w:t>
      </w:r>
    </w:p>
    <w:p>
      <w:pPr>
        <w:spacing w:after="100" w:before="180"/>
      </w:pPr>
      <w:r>
        <w:rPr>
          <w:rFonts w:ascii="Arial" w:cs="Arial" w:eastAsia="Arial" w:hAnsi="Arial"/>
          <w:b/>
          <w:bCs/>
          <w:color w:val="333333"/>
          <w:sz w:val="24"/>
          <w:szCs w:val="24"/>
        </w:rPr>
        <w:t xml:space="preserve">Objective: Visualize gender distribution in the dataset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Gender</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Male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25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62.5%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Female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37.5%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Total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40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FINDING: Males dominate the investor base at 62.5% compared to 37.5% females.</w:t>
            </w:r>
          </w:p>
          <w:p>
            <w:pPr>
              <w:spacing w:after="60" w:before="60"/>
            </w:pPr>
            <w:r>
              <w:rPr>
                <w:rFonts w:ascii="Arial" w:cs="Arial" w:eastAsia="Arial" w:hAnsi="Arial"/>
                <w:b w:val="false"/>
                <w:bCs w:val="false"/>
                <w:sz w:val="21"/>
                <w:szCs w:val="21"/>
              </w:rPr>
              <w:t xml:space="preserve">This 25% gender gap suggests females are significantly underrepresented as investors.</w:t>
            </w:r>
          </w:p>
          <w:p>
            <w:pPr>
              <w:spacing w:after="60" w:before="60"/>
            </w:pPr>
            <w:r>
              <w:rPr>
                <w:rFonts w:ascii="Arial" w:cs="Arial" w:eastAsia="Arial" w:hAnsi="Arial"/>
                <w:b w:val="false"/>
                <w:bCs w:val="false"/>
                <w:sz w:val="21"/>
                <w:szCs w:val="21"/>
              </w:rPr>
              <w:t xml:space="preserve">Visualization: Pie chart and bar chart created in Excel, Python, and Power BI.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D5F0E0" w:val="clear"/>
            <w:tcMar>
              <w:top w:type="dxa" w:w="120"/>
              <w:left w:type="dxa" w:w="200"/>
              <w:bottom w:type="dxa" w:w="120"/>
              <w:right w:type="dxa" w:w="200"/>
            </w:tcMar>
          </w:tcPr>
          <w:p>
            <w:pPr>
              <w:spacing w:after="60" w:before="60"/>
            </w:pPr>
            <w:r>
              <w:rPr>
                <w:rFonts w:ascii="Arial" w:cs="Arial" w:eastAsia="Arial" w:hAnsi="Arial"/>
                <w:sz w:val="21"/>
                <w:szCs w:val="21"/>
              </w:rPr>
              <w:t xml:space="preserve">RECOMMENDATION: Launch targeted female investor outreach campaigns.</w:t>
            </w:r>
          </w:p>
          <w:p>
            <w:pPr>
              <w:spacing w:after="60" w:before="60"/>
            </w:pPr>
            <w:r>
              <w:rPr>
                <w:rFonts w:ascii="Arial" w:cs="Arial" w:eastAsia="Arial" w:hAnsi="Arial"/>
                <w:sz w:val="21"/>
                <w:szCs w:val="21"/>
              </w:rPr>
              <w:t xml:space="preserve">Design simplified, low-risk investment products specifically for first-time female investors.</w:t>
            </w:r>
          </w:p>
          <w:p>
            <w:pPr>
              <w:spacing w:after="60" w:before="60"/>
            </w:pPr>
            <w:r>
              <w:rPr>
                <w:rFonts w:ascii="Arial" w:cs="Arial" w:eastAsia="Arial" w:hAnsi="Arial"/>
                <w:sz w:val="21"/>
                <w:szCs w:val="21"/>
              </w:rPr>
              <w:t xml:space="preserve">Partner with women-focused financial literacy programs.</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Task 3 (Level 2 — Intermediate): Descriptive Statistics</w:t>
      </w:r>
    </w:p>
    <w:p>
      <w:pPr>
        <w:spacing w:after="100" w:before="180"/>
      </w:pPr>
      <w:r>
        <w:rPr>
          <w:rFonts w:ascii="Arial" w:cs="Arial" w:eastAsia="Arial" w:hAnsi="Arial"/>
          <w:b/>
          <w:bCs/>
          <w:color w:val="333333"/>
          <w:sz w:val="24"/>
          <w:szCs w:val="24"/>
        </w:rPr>
        <w:t xml:space="preserve">Objective: Present basic statistics for numerical columns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Mean</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Median</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Std Dev</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Min</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Max</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Age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27.80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27.00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3.56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21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35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Mutual_Funds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2.55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Equity_Market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3.48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4.00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1.13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Debentures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Government_Bonds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3.15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3.00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1.34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Fixed_Deposits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PPF</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2.02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1.61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Gold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FINDING 1: Average investor age is 27.8 years — predominantly young professionals.</w:t>
            </w:r>
          </w:p>
          <w:p>
            <w:pPr>
              <w:spacing w:after="60" w:before="60"/>
            </w:pPr>
            <w:r>
              <w:rPr>
                <w:rFonts w:ascii="Arial" w:cs="Arial" w:eastAsia="Arial" w:hAnsi="Arial"/>
                <w:b/>
                <w:bCs/>
                <w:sz w:val="21"/>
                <w:szCs w:val="21"/>
              </w:rPr>
              <w:t xml:space="preserve">FINDING 2: Gold has the highest average rating (5.98) among all investment types.</w:t>
            </w:r>
          </w:p>
          <w:p>
            <w:pPr>
              <w:spacing w:after="60" w:before="60"/>
            </w:pPr>
            <w:r>
              <w:rPr>
                <w:rFonts w:ascii="Arial" w:cs="Arial" w:eastAsia="Arial" w:hAnsi="Arial"/>
                <w:b/>
                <w:bCs/>
                <w:sz w:val="21"/>
                <w:szCs w:val="21"/>
              </w:rPr>
              <w:t xml:space="preserve">FINDING 3: PPF has the lowest average rating (2.02) — least preferred instrument.</w:t>
            </w:r>
          </w:p>
          <w:p>
            <w:pPr>
              <w:spacing w:after="60" w:before="60"/>
            </w:pPr>
            <w:r>
              <w:rPr>
                <w:rFonts w:ascii="Arial" w:cs="Arial" w:eastAsia="Arial" w:hAnsi="Arial"/>
                <w:b/>
                <w:bCs/>
                <w:sz w:val="21"/>
                <w:szCs w:val="21"/>
              </w:rPr>
              <w:t xml:space="preserve">FINDING 4: Fixed Deposits have high variability (std dev 1.80) showing mixed opinions.</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Task 4 (Level 2 — Intermediate): Most Preferred Investment Avenue</w:t>
      </w:r>
    </w:p>
    <w:p>
      <w:pPr>
        <w:spacing w:after="100" w:before="180"/>
      </w:pPr>
      <w:r>
        <w:rPr>
          <w:rFonts w:ascii="Arial" w:cs="Arial" w:eastAsia="Arial" w:hAnsi="Arial"/>
          <w:b/>
          <w:bCs/>
          <w:color w:val="333333"/>
          <w:sz w:val="24"/>
          <w:szCs w:val="24"/>
        </w:rPr>
        <w:t xml:space="preserve">Objective: Identify the most preferred investment avenue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Investment Avenue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Number of Investors</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Mutual Fund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45.0%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Equity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Fixed Deposits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22.5%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Public Provident Fund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FINDING: Mutual Funds are the most preferred investment avenue with 45% of investors.</w:t>
            </w:r>
          </w:p>
          <w:p>
            <w:pPr>
              <w:spacing w:after="60" w:before="60"/>
            </w:pPr>
            <w:r>
              <w:rPr>
                <w:rFonts w:ascii="Arial" w:cs="Arial" w:eastAsia="Arial" w:hAnsi="Arial"/>
                <w:b w:val="false"/>
                <w:bCs w:val="false"/>
                <w:sz w:val="21"/>
                <w:szCs w:val="21"/>
              </w:rPr>
              <w:t xml:space="preserve">Equity is second at 25%, followed by Fixed Deposits at 22.5%.</w:t>
            </w:r>
          </w:p>
          <w:p>
            <w:pPr>
              <w:spacing w:after="60" w:before="60"/>
            </w:pPr>
            <w:r>
              <w:rPr>
                <w:rFonts w:ascii="Arial" w:cs="Arial" w:eastAsia="Arial" w:hAnsi="Arial"/>
                <w:b w:val="false"/>
                <w:bCs w:val="false"/>
                <w:sz w:val="21"/>
                <w:szCs w:val="21"/>
              </w:rPr>
              <w:t xml:space="preserve">PPF is least preferred at only 7.5% — possibly due to long lock-in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D5F0E0" w:val="clear"/>
            <w:tcMar>
              <w:top w:type="dxa" w:w="120"/>
              <w:left w:type="dxa" w:w="200"/>
              <w:bottom w:type="dxa" w:w="120"/>
              <w:right w:type="dxa" w:w="200"/>
            </w:tcMar>
          </w:tcPr>
          <w:p>
            <w:pPr>
              <w:spacing w:after="60" w:before="60"/>
            </w:pPr>
            <w:r>
              <w:rPr>
                <w:rFonts w:ascii="Arial" w:cs="Arial" w:eastAsia="Arial" w:hAnsi="Arial"/>
                <w:sz w:val="21"/>
                <w:szCs w:val="21"/>
              </w:rPr>
              <w:t xml:space="preserve">RECOMMENDATION: Prioritize Mutual Fund product development and marketing.</w:t>
            </w:r>
          </w:p>
          <w:p>
            <w:pPr>
              <w:spacing w:after="60" w:before="60"/>
            </w:pPr>
            <w:r>
              <w:rPr>
                <w:rFonts w:ascii="Arial" w:cs="Arial" w:eastAsia="Arial" w:hAnsi="Arial"/>
                <w:sz w:val="21"/>
                <w:szCs w:val="21"/>
              </w:rPr>
              <w:t xml:space="preserve">Create beginner-friendly SIP (Systematic Investment Plan) packages.</w:t>
            </w:r>
          </w:p>
          <w:p>
            <w:pPr>
              <w:spacing w:after="60" w:before="60"/>
            </w:pPr>
            <w:r>
              <w:rPr>
                <w:rFonts w:ascii="Arial" w:cs="Arial" w:eastAsia="Arial" w:hAnsi="Arial"/>
                <w:sz w:val="21"/>
                <w:szCs w:val="21"/>
              </w:rPr>
              <w:t xml:space="preserve">Educate investors about PPF tax benefits to increase its adoption.</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Task 5 (Level 3 — Advanced): Reasons for Investment</w:t>
      </w:r>
    </w:p>
    <w:p>
      <w:pPr>
        <w:spacing w:after="100" w:before="180"/>
      </w:pPr>
      <w:r>
        <w:rPr>
          <w:rFonts w:ascii="Arial" w:cs="Arial" w:eastAsia="Arial" w:hAnsi="Arial"/>
          <w:b/>
          <w:bCs/>
          <w:color w:val="333333"/>
          <w:sz w:val="24"/>
          <w:szCs w:val="24"/>
        </w:rPr>
        <w:t xml:space="preserve">Objective: Analyze and summarize reasons for investment choices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Investment Type</w:t>
            </w:r>
          </w:p>
        </w:tc>
        <w:tc>
          <w:tcPr>
            <w:tcW w:type="dxa" w:w="187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Top Reason</w:t>
            </w:r>
          </w:p>
        </w:tc>
        <w:tc>
          <w:tcPr>
            <w:tcW w:type="dxa" w:w="187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Count</w:t>
            </w:r>
          </w:p>
        </w:tc>
        <w:tc>
          <w:tcPr>
            <w:tcW w:type="dxa" w:w="187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2nd Reason</w:t>
            </w:r>
          </w:p>
        </w:tc>
        <w:tc>
          <w:tcPr>
            <w:tcW w:type="dxa" w:w="1872"/>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Count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Equity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Capital Appreciation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30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Dividend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Mutual Funds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Better Returns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Fund Diversification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13</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Bonds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Assured Returns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26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Safe Investment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13</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Fixed Deposits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Risk Free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Fixed Returns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FINDING 1: Capital Appreciation is the dominant reason for Equity investment (75%).</w:t>
            </w:r>
          </w:p>
          <w:p>
            <w:pPr>
              <w:spacing w:after="60" w:before="60"/>
            </w:pPr>
            <w:r>
              <w:rPr>
                <w:rFonts w:ascii="Arial" w:cs="Arial" w:eastAsia="Arial" w:hAnsi="Arial"/>
                <w:b/>
                <w:bCs/>
                <w:sz w:val="21"/>
                <w:szCs w:val="21"/>
              </w:rPr>
              <w:t xml:space="preserve">FINDING 2: Investors choose Mutual Funds primarily for Better Returns (60%).</w:t>
            </w:r>
          </w:p>
          <w:p>
            <w:pPr>
              <w:spacing w:after="60" w:before="60"/>
            </w:pPr>
            <w:r>
              <w:rPr>
                <w:rFonts w:ascii="Arial" w:cs="Arial" w:eastAsia="Arial" w:hAnsi="Arial"/>
                <w:b/>
                <w:bCs/>
                <w:sz w:val="21"/>
                <w:szCs w:val="21"/>
              </w:rPr>
              <w:t xml:space="preserve">FINDING 3: Safety and assurance drive Bond investments — Assured Returns (65%).</w:t>
            </w:r>
          </w:p>
          <w:p>
            <w:pPr>
              <w:spacing w:after="60" w:before="60"/>
            </w:pPr>
            <w:r>
              <w:rPr>
                <w:rFonts w:ascii="Arial" w:cs="Arial" w:eastAsia="Arial" w:hAnsi="Arial"/>
                <w:b/>
                <w:bCs/>
                <w:sz w:val="21"/>
                <w:szCs w:val="21"/>
              </w:rPr>
              <w:t xml:space="preserve">FINDING 4: Risk-free nature is top reason for Fixed Deposits (47.5%).</w:t>
            </w:r>
          </w:p>
          <w:p>
            <w:pPr>
              <w:spacing w:after="60" w:before="60"/>
            </w:pPr>
            <w:r>
              <w:rPr>
                <w:rFonts w:ascii="Arial" w:cs="Arial" w:eastAsia="Arial" w:hAnsi="Arial"/>
                <w:b w:val="false"/>
                <w:bCs w:val="false"/>
                <w:sz w:val="21"/>
                <w:szCs w:val="21"/>
              </w:rPr>
              <w:t xml:space="preserve">OVERALL: Investors are return-focused but also value safety — balanced risk appetite.</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Task 6 (Level 3 — Advanced): Savings Objectives</w:t>
      </w:r>
    </w:p>
    <w:p>
      <w:pPr>
        <w:spacing w:after="100" w:before="180"/>
      </w:pPr>
      <w:r>
        <w:rPr>
          <w:rFonts w:ascii="Arial" w:cs="Arial" w:eastAsia="Arial" w:hAnsi="Arial"/>
          <w:b/>
          <w:bCs/>
          <w:color w:val="333333"/>
          <w:sz w:val="24"/>
          <w:szCs w:val="24"/>
        </w:rPr>
        <w:t xml:space="preserve">Objective: Identify and present main savings objectives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Savings Objective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Number of Investors</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Retirement Plan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24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60.0%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Health 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32.5%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Education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7.5%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FINDING: Retirement Planning is the dominant savings objective at 60%.</w:t>
            </w:r>
          </w:p>
          <w:p>
            <w:pPr>
              <w:spacing w:after="60" w:before="60"/>
            </w:pPr>
            <w:r>
              <w:rPr>
                <w:rFonts w:ascii="Arial" w:cs="Arial" w:eastAsia="Arial" w:hAnsi="Arial"/>
                <w:b w:val="false"/>
                <w:bCs w:val="false"/>
                <w:sz w:val="21"/>
                <w:szCs w:val="21"/>
              </w:rPr>
              <w:t xml:space="preserve">Healthcare savings is second priority at 32.5%.</w:t>
            </w:r>
          </w:p>
          <w:p>
            <w:pPr>
              <w:spacing w:after="60" w:before="60"/>
            </w:pPr>
            <w:r>
              <w:rPr>
                <w:rFonts w:ascii="Arial" w:cs="Arial" w:eastAsia="Arial" w:hAnsi="Arial"/>
                <w:b w:val="false"/>
                <w:bCs w:val="false"/>
                <w:sz w:val="21"/>
                <w:szCs w:val="21"/>
              </w:rPr>
              <w:t xml:space="preserve">Education savings is least common at only 7.5%.</w:t>
            </w:r>
          </w:p>
          <w:p>
            <w:pPr>
              <w:spacing w:after="60" w:before="60"/>
            </w:pPr>
            <w:r>
              <w:rPr>
                <w:rFonts w:ascii="Arial" w:cs="Arial" w:eastAsia="Arial" w:hAnsi="Arial"/>
                <w:b w:val="false"/>
                <w:bCs w:val="false"/>
                <w:sz w:val="21"/>
                <w:szCs w:val="21"/>
              </w:rPr>
              <w:t xml:space="preserve">Despite average age being only 27.8 years, 60% are already planning for retirement.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D5F0E0" w:val="clear"/>
            <w:tcMar>
              <w:top w:type="dxa" w:w="120"/>
              <w:left w:type="dxa" w:w="200"/>
              <w:bottom w:type="dxa" w:w="120"/>
              <w:right w:type="dxa" w:w="200"/>
            </w:tcMar>
          </w:tcPr>
          <w:p>
            <w:pPr>
              <w:spacing w:after="60" w:before="60"/>
            </w:pPr>
            <w:r>
              <w:rPr>
                <w:rFonts w:ascii="Arial" w:cs="Arial" w:eastAsia="Arial" w:hAnsi="Arial"/>
                <w:sz w:val="21"/>
                <w:szCs w:val="21"/>
              </w:rPr>
              <w:t xml:space="preserve">RECOMMENDATION: Develop retirement-focused investment products (pension plans, NPS).</w:t>
            </w:r>
          </w:p>
          <w:p>
            <w:pPr>
              <w:spacing w:after="60" w:before="60"/>
            </w:pPr>
            <w:r>
              <w:rPr>
                <w:rFonts w:ascii="Arial" w:cs="Arial" w:eastAsia="Arial" w:hAnsi="Arial"/>
                <w:sz w:val="21"/>
                <w:szCs w:val="21"/>
              </w:rPr>
              <w:t xml:space="preserve">Create health-linked savings plans since 32.5% prioritize healthcare.</w:t>
            </w:r>
          </w:p>
          <w:p>
            <w:pPr>
              <w:spacing w:after="60" w:before="60"/>
            </w:pPr>
            <w:r>
              <w:rPr>
                <w:rFonts w:ascii="Arial" w:cs="Arial" w:eastAsia="Arial" w:hAnsi="Arial"/>
                <w:sz w:val="21"/>
                <w:szCs w:val="21"/>
              </w:rPr>
              <w:t xml:space="preserve">Market long-term investment plans emphasizing retirement corpus building.</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Task 7 (Level 4 — Expert): Common Information Sources</w:t>
      </w:r>
    </w:p>
    <w:p>
      <w:pPr>
        <w:spacing w:after="100" w:before="180"/>
      </w:pPr>
      <w:r>
        <w:rPr>
          <w:rFonts w:ascii="Arial" w:cs="Arial" w:eastAsia="Arial" w:hAnsi="Arial"/>
          <w:b/>
          <w:bCs/>
          <w:color w:val="333333"/>
          <w:sz w:val="24"/>
          <w:szCs w:val="24"/>
        </w:rPr>
        <w:t xml:space="preserve">Objective: Analyze common sources participants rely on for investment information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Information Source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Number of Investors</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Financial Consultants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40.0%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Newspapers and Magazines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Television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Internet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FINDING 1: Financial Consultants are most trusted at 40% — personal advice is valued.</w:t>
            </w:r>
          </w:p>
          <w:p>
            <w:pPr>
              <w:spacing w:after="60" w:before="60"/>
            </w:pPr>
            <w:r>
              <w:rPr>
                <w:rFonts w:ascii="Arial" w:cs="Arial" w:eastAsia="Arial" w:hAnsi="Arial"/>
                <w:b/>
                <w:bCs/>
                <w:sz w:val="21"/>
                <w:szCs w:val="21"/>
              </w:rPr>
              <w:t xml:space="preserve">FINDING 2: Traditional media (Newspapers + TV) still influential at 50% combined.</w:t>
            </w:r>
          </w:p>
          <w:p>
            <w:pPr>
              <w:spacing w:after="60" w:before="60"/>
            </w:pPr>
            <w:r>
              <w:rPr>
                <w:rFonts w:ascii="Arial" w:cs="Arial" w:eastAsia="Arial" w:hAnsi="Arial"/>
                <w:b/>
                <w:bCs/>
                <w:sz w:val="21"/>
                <w:szCs w:val="21"/>
              </w:rPr>
              <w:t xml:space="preserve">FINDING 3: Internet is least used at only 10% — surprising for young investors.</w:t>
            </w:r>
          </w:p>
          <w:p>
            <w:pPr>
              <w:spacing w:after="60" w:before="60"/>
            </w:pPr>
            <w:r>
              <w:rPr>
                <w:rFonts w:ascii="Arial" w:cs="Arial" w:eastAsia="Arial" w:hAnsi="Arial"/>
                <w:b w:val="false"/>
                <w:bCs w:val="false"/>
                <w:sz w:val="21"/>
                <w:szCs w:val="21"/>
              </w:rPr>
              <w:t xml:space="preserve">Despite being young (avg 27.8 years), investors still trust human advisors most.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D5F0E0" w:val="clear"/>
            <w:tcMar>
              <w:top w:type="dxa" w:w="120"/>
              <w:left w:type="dxa" w:w="200"/>
              <w:bottom w:type="dxa" w:w="120"/>
              <w:right w:type="dxa" w:w="200"/>
            </w:tcMar>
          </w:tcPr>
          <w:p>
            <w:pPr>
              <w:spacing w:after="60" w:before="60"/>
            </w:pPr>
            <w:r>
              <w:rPr>
                <w:rFonts w:ascii="Arial" w:cs="Arial" w:eastAsia="Arial" w:hAnsi="Arial"/>
                <w:sz w:val="21"/>
                <w:szCs w:val="21"/>
              </w:rPr>
              <w:t xml:space="preserve">RECOMMENDATION: Build a strong financial consultant referral and partnership program.</w:t>
            </w:r>
          </w:p>
          <w:p>
            <w:pPr>
              <w:spacing w:after="60" w:before="60"/>
            </w:pPr>
            <w:r>
              <w:rPr>
                <w:rFonts w:ascii="Arial" w:cs="Arial" w:eastAsia="Arial" w:hAnsi="Arial"/>
                <w:sz w:val="21"/>
                <w:szCs w:val="21"/>
              </w:rPr>
              <w:t xml:space="preserve">Invest in digital content marketing — young investors will shift to internet over time.</w:t>
            </w:r>
          </w:p>
          <w:p>
            <w:pPr>
              <w:spacing w:after="60" w:before="60"/>
            </w:pPr>
            <w:r>
              <w:rPr>
                <w:rFonts w:ascii="Arial" w:cs="Arial" w:eastAsia="Arial" w:hAnsi="Arial"/>
                <w:sz w:val="21"/>
                <w:szCs w:val="21"/>
              </w:rPr>
              <w:t xml:space="preserve">Create an online investment advisory platform to capture the digital segment.</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Task 8 (Level 4 — Expert): Investment Duration</w:t>
      </w:r>
    </w:p>
    <w:p>
      <w:pPr>
        <w:spacing w:after="100" w:before="180"/>
      </w:pPr>
      <w:r>
        <w:rPr>
          <w:rFonts w:ascii="Arial" w:cs="Arial" w:eastAsia="Arial" w:hAnsi="Arial"/>
          <w:b/>
          <w:bCs/>
          <w:color w:val="333333"/>
          <w:sz w:val="24"/>
          <w:szCs w:val="24"/>
        </w:rPr>
        <w:t xml:space="preserve">Objective: Calculate the average investment duration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Number of Investors</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1-3 years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40.0%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3-5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Less than 1 year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15.0%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More than 5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FINDING: Most investors prefer short to medium-term duration (1-5 years = 75%).</w:t>
            </w:r>
          </w:p>
          <w:p>
            <w:pPr>
              <w:spacing w:after="60" w:before="60"/>
            </w:pPr>
            <w:r>
              <w:rPr>
                <w:rFonts w:ascii="Arial" w:cs="Arial" w:eastAsia="Arial" w:hAnsi="Arial"/>
                <w:b w:val="false"/>
                <w:bCs w:val="false"/>
                <w:sz w:val="21"/>
                <w:szCs w:val="21"/>
              </w:rPr>
              <w:t xml:space="preserve">Approximate weighted average investment duration = ~2.7 years.</w:t>
            </w:r>
          </w:p>
          <w:p>
            <w:pPr>
              <w:spacing w:after="60" w:before="60"/>
            </w:pPr>
            <w:r>
              <w:rPr>
                <w:rFonts w:ascii="Arial" w:cs="Arial" w:eastAsia="Arial" w:hAnsi="Arial"/>
                <w:b w:val="false"/>
                <w:bCs w:val="false"/>
                <w:sz w:val="21"/>
                <w:szCs w:val="21"/>
              </w:rPr>
              <w:t xml:space="preserve">Only 10% invest for more than 5 years — showing preference for liquidity.</w:t>
            </w:r>
          </w:p>
          <w:p>
            <w:pPr>
              <w:spacing w:after="60" w:before="60"/>
            </w:pPr>
            <w:r>
              <w:rPr>
                <w:rFonts w:ascii="Arial" w:cs="Arial" w:eastAsia="Arial" w:hAnsi="Arial"/>
                <w:b w:val="false"/>
                <w:bCs w:val="false"/>
                <w:sz w:val="21"/>
                <w:szCs w:val="21"/>
              </w:rPr>
              <w:t xml:space="preserve">Less than 1 year investments = 15% — short-term traders also present.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D5F0E0" w:val="clear"/>
            <w:tcMar>
              <w:top w:type="dxa" w:w="120"/>
              <w:left w:type="dxa" w:w="200"/>
              <w:bottom w:type="dxa" w:w="120"/>
              <w:right w:type="dxa" w:w="200"/>
            </w:tcMar>
          </w:tcPr>
          <w:p>
            <w:pPr>
              <w:spacing w:after="60" w:before="60"/>
            </w:pPr>
            <w:r>
              <w:rPr>
                <w:rFonts w:ascii="Arial" w:cs="Arial" w:eastAsia="Arial" w:hAnsi="Arial"/>
                <w:sz w:val="21"/>
                <w:szCs w:val="21"/>
              </w:rPr>
              <w:t xml:space="preserve">RECOMMENDATION: Design 1-3 year lock-in products as primary offering.</w:t>
            </w:r>
          </w:p>
          <w:p>
            <w:pPr>
              <w:spacing w:after="60" w:before="60"/>
            </w:pPr>
            <w:r>
              <w:rPr>
                <w:rFonts w:ascii="Arial" w:cs="Arial" w:eastAsia="Arial" w:hAnsi="Arial"/>
                <w:sz w:val="21"/>
                <w:szCs w:val="21"/>
              </w:rPr>
              <w:t xml:space="preserve">Provide attractive incentives for 3-5 year investments to increase duration.</w:t>
            </w:r>
          </w:p>
          <w:p>
            <w:pPr>
              <w:spacing w:after="60" w:before="60"/>
            </w:pPr>
            <w:r>
              <w:rPr>
                <w:rFonts w:ascii="Arial" w:cs="Arial" w:eastAsia="Arial" w:hAnsi="Arial"/>
                <w:sz w:val="21"/>
                <w:szCs w:val="21"/>
              </w:rPr>
              <w:t xml:space="preserve">Offer flexible withdrawal options to attract short-term investors.</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Task 9 (Level 4 — Expert): Expectations from Investments</w:t>
      </w:r>
    </w:p>
    <w:p>
      <w:pPr>
        <w:spacing w:after="100" w:before="180"/>
      </w:pPr>
      <w:r>
        <w:rPr>
          <w:rFonts w:ascii="Arial" w:cs="Arial" w:eastAsia="Arial" w:hAnsi="Arial"/>
          <w:b/>
          <w:bCs/>
          <w:color w:val="333333"/>
          <w:sz w:val="24"/>
          <w:szCs w:val="24"/>
        </w:rPr>
        <w:t xml:space="preserve">Objective: Summarize participants' expectations from investments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Return</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Number of Investors</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20%-30%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32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80.0%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30%-40%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10%-20%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5.0%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FINDING: 80% of investors expect 20-30% returns — highly optimistic expectations.</w:t>
            </w:r>
          </w:p>
          <w:p>
            <w:pPr>
              <w:spacing w:after="60" w:before="60"/>
            </w:pPr>
            <w:r>
              <w:rPr>
                <w:rFonts w:ascii="Arial" w:cs="Arial" w:eastAsia="Arial" w:hAnsi="Arial"/>
                <w:b w:val="false"/>
                <w:bCs w:val="false"/>
                <w:sz w:val="21"/>
                <w:szCs w:val="21"/>
              </w:rPr>
              <w:t xml:space="preserve">15% expect 30-40% returns — very aggressive return expectations.</w:t>
            </w:r>
          </w:p>
          <w:p>
            <w:pPr>
              <w:spacing w:after="60" w:before="60"/>
            </w:pPr>
            <w:r>
              <w:rPr>
                <w:rFonts w:ascii="Arial" w:cs="Arial" w:eastAsia="Arial" w:hAnsi="Arial"/>
                <w:b w:val="false"/>
                <w:bCs w:val="false"/>
                <w:sz w:val="21"/>
                <w:szCs w:val="21"/>
              </w:rPr>
              <w:t xml:space="preserve">Only 5% have conservative expectations of 10-20% returns.</w:t>
            </w:r>
          </w:p>
          <w:p>
            <w:pPr>
              <w:spacing w:after="60" w:before="60"/>
            </w:pPr>
            <w:r>
              <w:rPr>
                <w:rFonts w:ascii="Arial" w:cs="Arial" w:eastAsia="Arial" w:hAnsi="Arial"/>
                <w:b w:val="false"/>
                <w:bCs w:val="false"/>
                <w:sz w:val="21"/>
                <w:szCs w:val="21"/>
              </w:rPr>
              <w:t xml:space="preserve">There is a significant gap between realistic market returns and investor expectations.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12"/>
              <w:bottom w:val="single" w:color="CCCCCC" w:sz="1"/>
              <w:right w:val="single" w:color="CCCCCC" w:sz="1"/>
            </w:tcBorders>
            <w:shd w:fill="D5F0E0" w:val="clear"/>
            <w:tcMar>
              <w:top w:type="dxa" w:w="120"/>
              <w:left w:type="dxa" w:w="200"/>
              <w:bottom w:type="dxa" w:w="120"/>
              <w:right w:type="dxa" w:w="200"/>
            </w:tcMar>
          </w:tcPr>
          <w:p>
            <w:pPr>
              <w:spacing w:after="60" w:before="60"/>
            </w:pPr>
            <w:r>
              <w:rPr>
                <w:rFonts w:ascii="Arial" w:cs="Arial" w:eastAsia="Arial" w:hAnsi="Arial"/>
                <w:sz w:val="21"/>
                <w:szCs w:val="21"/>
              </w:rPr>
              <w:t xml:space="preserve">RECOMMENDATION: Conduct investor education programs on realistic return expectations.</w:t>
            </w:r>
          </w:p>
          <w:p>
            <w:pPr>
              <w:spacing w:after="60" w:before="60"/>
            </w:pPr>
            <w:r>
              <w:rPr>
                <w:rFonts w:ascii="Arial" w:cs="Arial" w:eastAsia="Arial" w:hAnsi="Arial"/>
                <w:sz w:val="21"/>
                <w:szCs w:val="21"/>
              </w:rPr>
              <w:t xml:space="preserve">Be transparent in marketing about historical returns of each investment product.</w:t>
            </w:r>
          </w:p>
          <w:p>
            <w:pPr>
              <w:spacing w:after="60" w:before="60"/>
            </w:pPr>
            <w:r>
              <w:rPr>
                <w:rFonts w:ascii="Arial" w:cs="Arial" w:eastAsia="Arial" w:hAnsi="Arial"/>
                <w:sz w:val="21"/>
                <w:szCs w:val="21"/>
              </w:rPr>
              <w:t xml:space="preserve">Offer risk profiling tools to help investors align expectations with risk tolerance.</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Task 10 (Level 4 — Expert): Correlation Analysis</w:t>
      </w:r>
    </w:p>
    <w:p>
      <w:pPr>
        <w:spacing w:after="100" w:before="180"/>
      </w:pPr>
      <w:r>
        <w:rPr>
          <w:rFonts w:ascii="Arial" w:cs="Arial" w:eastAsia="Arial" w:hAnsi="Arial"/>
          <w:b/>
          <w:bCs/>
          <w:color w:val="333333"/>
          <w:sz w:val="24"/>
          <w:szCs w:val="24"/>
        </w:rPr>
        <w:t xml:space="preserve">Objective: Explore potential correlations between factors</w:t>
      </w:r>
    </w:p>
    <w:p>
      <w:pPr>
        <w:spacing w:after="60" w:before="60"/>
      </w:pPr>
      <w:r>
        <w:t xml:space="preserve"/>
      </w:r>
    </w:p>
    <w:p>
      <w:pPr>
        <w:spacing w:after="80" w:before="80"/>
      </w:pPr>
      <w:r>
        <w:rPr>
          <w:rFonts w:ascii="Arial" w:cs="Arial" w:eastAsia="Arial" w:hAnsi="Arial"/>
          <w:sz w:val="22"/>
          <w:szCs w:val="22"/>
        </w:rPr>
        <w:t xml:space="preserve">Correlation analysis was performed on all 8 numerical columns using Python (Seaborn heatmap) and MySQL statistical queries.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Variable Pair</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Correlation</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Gold vs Fixed_Deposits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+0.45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Moderate positive — safety-seeking investors prefer both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Equity_Market vs Mutual_Funds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Moderate positive — growth investors prefer both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Age vs Equity_Market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+0.31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Slight positive — older investors slightly prefer equity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PPF vs Government_Bonds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Slight positive — conservative investors prefer both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Gold vs Equity_Market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-0.22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Slight negative — risk-on vs risk-off preference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bCs/>
                <w:sz w:val="21"/>
                <w:szCs w:val="21"/>
              </w:rPr>
              <w:t xml:space="preserve">FINDING 1: Gold and Fixed Deposits move together — safety-first investor segment exists.</w:t>
            </w:r>
          </w:p>
          <w:p>
            <w:pPr>
              <w:spacing w:after="60" w:before="60"/>
            </w:pPr>
            <w:r>
              <w:rPr>
                <w:rFonts w:ascii="Arial" w:cs="Arial" w:eastAsia="Arial" w:hAnsi="Arial"/>
                <w:b/>
                <w:bCs/>
                <w:sz w:val="21"/>
                <w:szCs w:val="21"/>
              </w:rPr>
              <w:t xml:space="preserve">FINDING 2: Equity and Mutual Funds are chosen together — growth investor segment exists.</w:t>
            </w:r>
          </w:p>
          <w:p>
            <w:pPr>
              <w:spacing w:after="60" w:before="60"/>
            </w:pPr>
            <w:r>
              <w:rPr>
                <w:rFonts w:ascii="Arial" w:cs="Arial" w:eastAsia="Arial" w:hAnsi="Arial"/>
                <w:b/>
                <w:bCs/>
                <w:sz w:val="21"/>
                <w:szCs w:val="21"/>
              </w:rPr>
              <w:t xml:space="preserve">FINDING 3: Two clear investor profiles emerge: Safety-seekers and Growth-seekers.</w:t>
            </w:r>
          </w:p>
          <w:p>
            <w:pPr>
              <w:spacing w:after="60" w:before="60"/>
            </w:pPr>
            <w:r>
              <w:rPr>
                <w:rFonts w:ascii="Arial" w:cs="Arial" w:eastAsia="Arial" w:hAnsi="Arial"/>
                <w:b/>
                <w:bCs/>
                <w:sz w:val="21"/>
                <w:szCs w:val="21"/>
              </w:rPr>
              <w:t xml:space="preserve">FINDING 4: Age has minimal correlation with investment preferences in this dataset.</w:t>
            </w:r>
          </w:p>
        </w:tc>
      </w:tr>
    </w:tbl>
    <w:p>
      <w:pPr>
        <w:spacing w:after="60" w:before="60"/>
      </w:pPr>
      <w:r>
        <w:t xml:space="preserve"/>
      </w:r>
    </w:p>
    <w:p>
      <w:r>
        <w:br w:type="page"/>
      </w:r>
    </w:p>
    <w:p>
      <w:pPr>
        <w:pStyle w:val="Heading1"/>
        <w:spacing w:after="180" w:before="360"/>
      </w:pPr>
      <w:r>
        <w:rPr>
          <w:rFonts w:ascii="Arial" w:cs="Arial" w:eastAsia="Arial" w:hAnsi="Arial"/>
          <w:b/>
          <w:bCs/>
          <w:color w:val="1E3A5F"/>
          <w:sz w:val="32"/>
          <w:szCs w:val="32"/>
        </w:rPr>
        <w:t xml:space="preserve">5. Key Business Insights &amp; Recommendations</w:t>
      </w:r>
    </w:p>
    <w:p>
      <w:pPr>
        <w:pBdr>
          <w:bottom w:val="single" w:color="1E3A5F" w:sz="6" w:space="1"/>
        </w:pBdr>
        <w:spacing w:after="120" w:before="12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Business Insight</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Recommended 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62.5% investors are Male — Female segment underserved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Launch female-focused investment campaigns and products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Mutual Funds dominate at 45% preference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Prioritize Mutual Fund SIP product marketing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60% saving for Retirement despite avg age 27.8 years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Create retirement corpus planning tools and products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Financial Consultants trusted by 40% of investors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Build consultant referral and partnership programs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80% expect 20-30% returns — unrealistic expectations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Run investor education and return expectation programs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75% prefer short-medium term (1-5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Design flexible 1-3 year lock-in investment products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Capital Appreciation drives Equity investment (75%)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Market Equity products with growth stories and case studies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Internet used by only 10% — digital gap exists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Invest in digital platform and online advisory services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left"/>
            </w:pPr>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Two investor segments: Safety-seekers and Growth-seekers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jc w:val="center"/>
            </w:pPr>
            <w:r>
              <w:rPr>
                <w:rFonts w:ascii="Arial" w:cs="Arial" w:eastAsia="Arial" w:hAnsi="Arial"/>
                <w:sz w:val="20"/>
                <w:szCs w:val="20"/>
              </w:rPr>
              <w:t xml:space="preserve">Create separate product bundles for each segment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Gold rated highest among all investments (avg 5.98)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Offer Gold-linked investment products (Gold ETF, SGB)</w:t>
            </w:r>
          </w:p>
        </w:tc>
      </w:tr>
    </w:tbl>
    <w:p>
      <w:pPr>
        <w:spacing w:after="60" w:before="60"/>
      </w:pPr>
      <w:r>
        <w:t xml:space="preserve"/>
      </w:r>
    </w:p>
    <w:p>
      <w:r>
        <w:br w:type="page"/>
      </w:r>
    </w:p>
    <w:p>
      <w:pPr>
        <w:pStyle w:val="Heading1"/>
        <w:spacing w:after="180" w:before="360"/>
      </w:pPr>
      <w:r>
        <w:rPr>
          <w:rFonts w:ascii="Arial" w:cs="Arial" w:eastAsia="Arial" w:hAnsi="Arial"/>
          <w:b/>
          <w:bCs/>
          <w:color w:val="1E3A5F"/>
          <w:sz w:val="32"/>
          <w:szCs w:val="32"/>
        </w:rPr>
        <w:t xml:space="preserve">6. Conclusion</w:t>
      </w:r>
    </w:p>
    <w:p>
      <w:pPr>
        <w:pBdr>
          <w:bottom w:val="single" w:color="1E3A5F" w:sz="6" w:space="1"/>
        </w:pBdr>
        <w:spacing w:after="120" w:before="120"/>
      </w:pPr>
    </w:p>
    <w:p>
      <w:pPr>
        <w:spacing w:after="60" w:before="60"/>
      </w:pPr>
      <w:r>
        <w:t xml:space="preserve"/>
      </w:r>
    </w:p>
    <w:p>
      <w:pPr>
        <w:spacing w:after="80" w:before="80"/>
      </w:pPr>
      <w:r>
        <w:rPr>
          <w:rFonts w:ascii="Arial" w:cs="Arial" w:eastAsia="Arial" w:hAnsi="Arial"/>
          <w:sz w:val="22"/>
          <w:szCs w:val="22"/>
        </w:rPr>
        <w:t xml:space="preserve">This Exploratory Data Analysis of the Cognifyz Investment Survey dataset has provided comprehensive insights into the investment behaviour, preferences, and expectations of 40 participants. The analysis was conducted across all 10 assigned tasks using four professional tools — Excel, Python, Power BI, and MySQL — demonstrating a multi-tool analytical approach used in real business environments.</w:t>
      </w:r>
    </w:p>
    <w:p>
      <w:pPr>
        <w:spacing w:after="60" w:before="60"/>
      </w:pPr>
      <w:r>
        <w:t xml:space="preserve"/>
      </w:r>
    </w:p>
    <w:p>
      <w:pPr>
        <w:spacing w:after="80" w:before="80"/>
      </w:pPr>
      <w:r>
        <w:rPr>
          <w:rFonts w:ascii="Arial" w:cs="Arial" w:eastAsia="Arial" w:hAnsi="Arial"/>
          <w:sz w:val="22"/>
          <w:szCs w:val="22"/>
        </w:rPr>
        <w:t xml:space="preserve">The dataset was found to be clean and complete with no missing or duplicate values, allowing for reliable analysis without data imputation. Key findings reveal a predominantly young, male investor base with a strong preference for Mutual Funds and Retirement planning as the primary savings objective.</w:t>
      </w:r>
    </w:p>
    <w:p>
      <w:pPr>
        <w:spacing w:after="60" w:before="60"/>
      </w:pPr>
      <w:r>
        <w:t xml:space="preserve"/>
      </w:r>
    </w:p>
    <w:p>
      <w:pPr>
        <w:spacing w:after="80" w:before="80"/>
      </w:pPr>
      <w:r>
        <w:rPr>
          <w:rFonts w:ascii="Arial" w:cs="Arial" w:eastAsia="Arial" w:hAnsi="Arial"/>
          <w:sz w:val="22"/>
          <w:szCs w:val="22"/>
        </w:rPr>
        <w:t xml:space="preserve">The analysis identified a significant expectation-reality gap where 80% of investors expect 20-30% returns, which presents an important business opportunity for investor education. The dominance of Financial Consultants as trusted information sources highlights the importance of human advisory in investment decisions, even among younger investors.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2"/>
              <w:bottom w:val="single" w:color="CCCCCC" w:sz="1"/>
              <w:right w:val="single" w:color="CCCCCC" w:sz="1"/>
            </w:tcBorders>
            <w:shd w:fill="D5E8F0" w:val="clear"/>
            <w:tcMar>
              <w:top w:type="dxa" w:w="120"/>
              <w:left w:type="dxa" w:w="200"/>
              <w:bottom w:type="dxa" w:w="120"/>
              <w:right w:type="dxa" w:w="200"/>
            </w:tcMar>
          </w:tcPr>
          <w:p>
            <w:pPr>
              <w:spacing w:after="60" w:before="60"/>
            </w:pPr>
            <w:r>
              <w:rPr>
                <w:rFonts w:ascii="Arial" w:cs="Arial" w:eastAsia="Arial" w:hAnsi="Arial"/>
                <w:b w:val="false"/>
                <w:bCs w:val="false"/>
                <w:sz w:val="21"/>
                <w:szCs w:val="21"/>
              </w:rPr>
              <w:t xml:space="preserve">FINAL SUMMARY:</w:t>
            </w:r>
          </w:p>
          <w:p>
            <w:pPr>
              <w:spacing w:after="60" w:before="60"/>
            </w:pPr>
            <w:r>
              <w:rPr>
                <w:rFonts w:ascii="Arial" w:cs="Arial" w:eastAsia="Arial" w:hAnsi="Arial"/>
                <w:b w:val="false"/>
                <w:bCs w:val="false"/>
                <w:sz w:val="21"/>
                <w:szCs w:val="21"/>
              </w:rPr>
              <w:t xml:space="preserve">  Dataset: 40 participants, 24 variables, 100% complete (no missing values)</w:t>
            </w:r>
          </w:p>
          <w:p>
            <w:pPr>
              <w:spacing w:after="60" w:before="60"/>
            </w:pPr>
            <w:r>
              <w:rPr>
                <w:rFonts w:ascii="Arial" w:cs="Arial" w:eastAsia="Arial" w:hAnsi="Arial"/>
                <w:b w:val="false"/>
                <w:bCs w:val="false"/>
                <w:sz w:val="21"/>
                <w:szCs w:val="21"/>
              </w:rPr>
              <w:t xml:space="preserve">  Top Investment: Mutual Funds (45%) followed by Equity (25%)</w:t>
            </w:r>
          </w:p>
          <w:p>
            <w:pPr>
              <w:spacing w:after="60" w:before="60"/>
            </w:pPr>
            <w:r>
              <w:rPr>
                <w:rFonts w:ascii="Arial" w:cs="Arial" w:eastAsia="Arial" w:hAnsi="Arial"/>
                <w:b w:val="false"/>
                <w:bCs w:val="false"/>
                <w:sz w:val="21"/>
                <w:szCs w:val="21"/>
              </w:rPr>
              <w:t xml:space="preserve">  Top Goal: Retirement Planning (60%)</w:t>
            </w:r>
          </w:p>
          <w:p>
            <w:pPr>
              <w:spacing w:after="60" w:before="60"/>
            </w:pPr>
            <w:r>
              <w:rPr>
                <w:rFonts w:ascii="Arial" w:cs="Arial" w:eastAsia="Arial" w:hAnsi="Arial"/>
                <w:b w:val="false"/>
                <w:bCs w:val="false"/>
                <w:sz w:val="21"/>
                <w:szCs w:val="21"/>
              </w:rPr>
              <w:t xml:space="preserve">  Top Source: Financial Consultants (40%)</w:t>
            </w:r>
          </w:p>
          <w:p>
            <w:pPr>
              <w:spacing w:after="60" w:before="60"/>
            </w:pPr>
            <w:r>
              <w:rPr>
                <w:rFonts w:ascii="Arial" w:cs="Arial" w:eastAsia="Arial" w:hAnsi="Arial"/>
                <w:b w:val="false"/>
                <w:bCs w:val="false"/>
                <w:sz w:val="21"/>
                <w:szCs w:val="21"/>
              </w:rPr>
              <w:t xml:space="preserve">  Avg Age: 27.8 years | Male: 62.5% | Female: 37.5%</w:t>
            </w:r>
          </w:p>
          <w:p>
            <w:pPr>
              <w:spacing w:after="60" w:before="60"/>
            </w:pPr>
            <w:r>
              <w:rPr>
                <w:rFonts w:ascii="Arial" w:cs="Arial" w:eastAsia="Arial" w:hAnsi="Arial"/>
                <w:b w:val="false"/>
                <w:bCs w:val="false"/>
                <w:sz w:val="21"/>
                <w:szCs w:val="21"/>
              </w:rPr>
              <w:t xml:space="preserve">  Expected Returns: 80% expect 20-30% returns</w:t>
            </w:r>
          </w:p>
          <w:p>
            <w:pPr>
              <w:spacing w:after="60" w:before="60"/>
            </w:pPr>
            <w:r>
              <w:rPr>
                <w:rFonts w:ascii="Arial" w:cs="Arial" w:eastAsia="Arial" w:hAnsi="Arial"/>
                <w:b w:val="false"/>
                <w:bCs w:val="false"/>
                <w:sz w:val="21"/>
                <w:szCs w:val="21"/>
              </w:rPr>
              <w:t xml:space="preserve">  Tools Used: Excel, Python (Pandas, Matplotlib, Seaborn), Power BI, MySQL</w:t>
            </w:r>
          </w:p>
          <w:p>
            <w:pPr>
              <w:spacing w:after="60" w:before="60"/>
            </w:pPr>
            <w:r>
              <w:rPr>
                <w:rFonts w:ascii="Arial" w:cs="Arial" w:eastAsia="Arial" w:hAnsi="Arial"/>
                <w:b w:val="false"/>
                <w:bCs w:val="false"/>
                <w:sz w:val="21"/>
                <w:szCs w:val="21"/>
              </w:rPr>
              <w:t xml:space="preserve">  Tasks Completed: 10 / 10 (All levels: Beginner to Expert)</w:t>
            </w:r>
          </w:p>
        </w:tc>
      </w:tr>
    </w:tbl>
    <w:p>
      <w:pPr>
        <w:spacing w:after="60" w:before="60"/>
      </w:pPr>
      <w:r>
        <w:t xml:space="preserve"/>
      </w:r>
    </w:p>
    <w:p>
      <w:r>
        <w:br w:type="page"/>
      </w:r>
    </w:p>
    <w:p>
      <w:pPr>
        <w:pStyle w:val="Heading1"/>
        <w:spacing w:after="180" w:before="360"/>
      </w:pPr>
      <w:r>
        <w:rPr>
          <w:rFonts w:ascii="Arial" w:cs="Arial" w:eastAsia="Arial" w:hAnsi="Arial"/>
          <w:b/>
          <w:bCs/>
          <w:color w:val="1E3A5F"/>
          <w:sz w:val="32"/>
          <w:szCs w:val="32"/>
        </w:rPr>
        <w:t xml:space="preserve">7. Tools Usage Summary</w:t>
      </w:r>
    </w:p>
    <w:p>
      <w:pPr>
        <w:pBdr>
          <w:bottom w:val="single" w:color="1E3A5F" w:sz="6" w:space="1"/>
        </w:pBdr>
        <w:spacing w:after="120" w:before="120"/>
      </w:pPr>
    </w:p>
    <w:p>
      <w:pPr>
        <w:spacing w:after="60" w:before="60"/>
      </w:pPr>
      <w:r>
        <w:t xml:space="preserve"/>
      </w:r>
    </w:p>
    <w:p>
      <w:pPr>
        <w:pStyle w:val="Heading2"/>
        <w:spacing w:after="120" w:before="240"/>
      </w:pPr>
      <w:r>
        <w:rPr>
          <w:rFonts w:ascii="Arial" w:cs="Arial" w:eastAsia="Arial" w:hAnsi="Arial"/>
          <w:b/>
          <w:bCs/>
          <w:color w:val="1E3A5F"/>
          <w:sz w:val="26"/>
          <w:szCs w:val="26"/>
        </w:rPr>
        <w:t xml:space="preserve">7.1 Microsoft Excel</w:t>
      </w:r>
    </w:p>
    <w:p>
      <w:pPr>
        <w:pStyle w:val="ListParagraph"/>
        <w:numPr>
          <w:ilvl w:val="0"/>
          <w:numId w:val="2"/>
        </w:numPr>
        <w:spacing w:after="60" w:before="60"/>
      </w:pPr>
      <w:r>
        <w:rPr>
          <w:rFonts w:ascii="Arial" w:cs="Arial" w:eastAsia="Arial" w:hAnsi="Arial"/>
          <w:sz w:val="22"/>
          <w:szCs w:val="22"/>
        </w:rPr>
        <w:t xml:space="preserve">Opened and saved CSV as .xlsx format</w:t>
      </w:r>
    </w:p>
    <w:p>
      <w:pPr>
        <w:pStyle w:val="ListParagraph"/>
        <w:numPr>
          <w:ilvl w:val="0"/>
          <w:numId w:val="2"/>
        </w:numPr>
        <w:spacing w:after="60" w:before="60"/>
      </w:pPr>
      <w:r>
        <w:rPr>
          <w:rFonts w:ascii="Arial" w:cs="Arial" w:eastAsia="Arial" w:hAnsi="Arial"/>
          <w:sz w:val="22"/>
          <w:szCs w:val="22"/>
        </w:rPr>
        <w:t xml:space="preserve">Applied Freeze Panes to keep headers visible while scrolling</w:t>
      </w:r>
    </w:p>
    <w:p>
      <w:pPr>
        <w:pStyle w:val="ListParagraph"/>
        <w:numPr>
          <w:ilvl w:val="0"/>
          <w:numId w:val="2"/>
        </w:numPr>
        <w:spacing w:after="60" w:before="60"/>
      </w:pPr>
      <w:r>
        <w:rPr>
          <w:rFonts w:ascii="Arial" w:cs="Arial" w:eastAsia="Arial" w:hAnsi="Arial"/>
          <w:sz w:val="22"/>
          <w:szCs w:val="22"/>
        </w:rPr>
        <w:t xml:space="preserve">Added column filters for easy data exploration</w:t>
      </w:r>
    </w:p>
    <w:p>
      <w:pPr>
        <w:pStyle w:val="ListParagraph"/>
        <w:numPr>
          <w:ilvl w:val="0"/>
          <w:numId w:val="2"/>
        </w:numPr>
        <w:spacing w:after="60" w:before="60"/>
      </w:pPr>
      <w:r>
        <w:rPr>
          <w:rFonts w:ascii="Arial" w:cs="Arial" w:eastAsia="Arial" w:hAnsi="Arial"/>
          <w:sz w:val="22"/>
          <w:szCs w:val="22"/>
        </w:rPr>
        <w:t xml:space="preserve">Removed duplicates and checked for blank cells</w:t>
      </w:r>
    </w:p>
    <w:p>
      <w:pPr>
        <w:pStyle w:val="ListParagraph"/>
        <w:numPr>
          <w:ilvl w:val="0"/>
          <w:numId w:val="2"/>
        </w:numPr>
        <w:spacing w:after="60" w:before="60"/>
      </w:pPr>
      <w:r>
        <w:rPr>
          <w:rFonts w:ascii="Arial" w:cs="Arial" w:eastAsia="Arial" w:hAnsi="Arial"/>
          <w:sz w:val="22"/>
          <w:szCs w:val="22"/>
        </w:rPr>
        <w:t xml:space="preserve">Created 6 Pivot Tables for Gender, Avenue, Savings Objective, Source, Duration, Expectations</w:t>
      </w:r>
    </w:p>
    <w:p>
      <w:pPr>
        <w:pStyle w:val="ListParagraph"/>
        <w:numPr>
          <w:ilvl w:val="0"/>
          <w:numId w:val="2"/>
        </w:numPr>
        <w:spacing w:after="60" w:before="60"/>
      </w:pPr>
      <w:r>
        <w:rPr>
          <w:rFonts w:ascii="Arial" w:cs="Arial" w:eastAsia="Arial" w:hAnsi="Arial"/>
          <w:sz w:val="22"/>
          <w:szCs w:val="22"/>
        </w:rPr>
        <w:t xml:space="preserve">Used AVERAGE, MEDIAN, STDEV, MIN, MAX formulas for descriptive statistics</w:t>
      </w:r>
    </w:p>
    <w:p>
      <w:pPr>
        <w:pStyle w:val="ListParagraph"/>
        <w:numPr>
          <w:ilvl w:val="0"/>
          <w:numId w:val="2"/>
        </w:numPr>
        <w:spacing w:after="60" w:before="60"/>
      </w:pPr>
      <w:r>
        <w:rPr>
          <w:rFonts w:ascii="Arial" w:cs="Arial" w:eastAsia="Arial" w:hAnsi="Arial"/>
          <w:sz w:val="22"/>
          <w:szCs w:val="22"/>
        </w:rPr>
        <w:t xml:space="preserve">Created Pie charts and Bar charts from Pivot Tables</w:t>
      </w:r>
    </w:p>
    <w:p>
      <w:pPr>
        <w:spacing w:after="60" w:before="60"/>
      </w:pPr>
      <w:r>
        <w:t xml:space="preserve"/>
      </w:r>
    </w:p>
    <w:p>
      <w:pPr>
        <w:pStyle w:val="Heading2"/>
        <w:spacing w:after="120" w:before="240"/>
      </w:pPr>
      <w:r>
        <w:rPr>
          <w:rFonts w:ascii="Arial" w:cs="Arial" w:eastAsia="Arial" w:hAnsi="Arial"/>
          <w:b/>
          <w:bCs/>
          <w:color w:val="1E3A5F"/>
          <w:sz w:val="26"/>
          <w:szCs w:val="26"/>
        </w:rPr>
        <w:t xml:space="preserve">7.2 Python (Jupyter Notebook)</w:t>
      </w:r>
    </w:p>
    <w:p>
      <w:pPr>
        <w:pStyle w:val="ListParagraph"/>
        <w:numPr>
          <w:ilvl w:val="0"/>
          <w:numId w:val="2"/>
        </w:numPr>
        <w:spacing w:after="60" w:before="60"/>
      </w:pPr>
      <w:r>
        <w:rPr>
          <w:rFonts w:ascii="Arial" w:cs="Arial" w:eastAsia="Arial" w:hAnsi="Arial"/>
          <w:sz w:val="22"/>
          <w:szCs w:val="22"/>
        </w:rPr>
        <w:t xml:space="preserve">Loaded CSV using pd.read_csv() into a Pandas DataFrame</w:t>
      </w:r>
    </w:p>
    <w:p>
      <w:pPr>
        <w:pStyle w:val="ListParagraph"/>
        <w:numPr>
          <w:ilvl w:val="0"/>
          <w:numId w:val="2"/>
        </w:numPr>
        <w:spacing w:after="60" w:before="60"/>
      </w:pPr>
      <w:r>
        <w:rPr>
          <w:rFonts w:ascii="Arial" w:cs="Arial" w:eastAsia="Arial" w:hAnsi="Arial"/>
          <w:sz w:val="22"/>
          <w:szCs w:val="22"/>
        </w:rPr>
        <w:t xml:space="preserve">Used df.info() and df.isnull().sum() for data quality check</w:t>
      </w:r>
    </w:p>
    <w:p>
      <w:pPr>
        <w:pStyle w:val="ListParagraph"/>
        <w:numPr>
          <w:ilvl w:val="0"/>
          <w:numId w:val="2"/>
        </w:numPr>
        <w:spacing w:after="60" w:before="60"/>
      </w:pPr>
      <w:r>
        <w:rPr>
          <w:rFonts w:ascii="Arial" w:cs="Arial" w:eastAsia="Arial" w:hAnsi="Arial"/>
          <w:sz w:val="22"/>
          <w:szCs w:val="22"/>
        </w:rPr>
        <w:t xml:space="preserve">Used value_counts() for frequency analysis of categorical columns</w:t>
      </w:r>
    </w:p>
    <w:p>
      <w:pPr>
        <w:pStyle w:val="ListParagraph"/>
        <w:numPr>
          <w:ilvl w:val="0"/>
          <w:numId w:val="2"/>
        </w:numPr>
        <w:spacing w:after="60" w:before="60"/>
      </w:pPr>
      <w:r>
        <w:rPr>
          <w:rFonts w:ascii="Arial" w:cs="Arial" w:eastAsia="Arial" w:hAnsi="Arial"/>
          <w:sz w:val="22"/>
          <w:szCs w:val="22"/>
        </w:rPr>
        <w:t xml:space="preserve">Used .agg(['mean','median','std','min','max']) for descriptive statistics</w:t>
      </w:r>
    </w:p>
    <w:p>
      <w:pPr>
        <w:pStyle w:val="ListParagraph"/>
        <w:numPr>
          <w:ilvl w:val="0"/>
          <w:numId w:val="2"/>
        </w:numPr>
        <w:spacing w:after="60" w:before="60"/>
      </w:pPr>
      <w:r>
        <w:rPr>
          <w:rFonts w:ascii="Arial" w:cs="Arial" w:eastAsia="Arial" w:hAnsi="Arial"/>
          <w:sz w:val="22"/>
          <w:szCs w:val="22"/>
        </w:rPr>
        <w:t xml:space="preserve">Created pie charts and bar charts using Matplotlib</w:t>
      </w:r>
    </w:p>
    <w:p>
      <w:pPr>
        <w:pStyle w:val="ListParagraph"/>
        <w:numPr>
          <w:ilvl w:val="0"/>
          <w:numId w:val="2"/>
        </w:numPr>
        <w:spacing w:after="60" w:before="60"/>
      </w:pPr>
      <w:r>
        <w:rPr>
          <w:rFonts w:ascii="Arial" w:cs="Arial" w:eastAsia="Arial" w:hAnsi="Arial"/>
          <w:sz w:val="22"/>
          <w:szCs w:val="22"/>
        </w:rPr>
        <w:t xml:space="preserve">Created correlation heatmap using Seaborn</w:t>
      </w:r>
    </w:p>
    <w:p>
      <w:pPr>
        <w:pStyle w:val="ListParagraph"/>
        <w:numPr>
          <w:ilvl w:val="0"/>
          <w:numId w:val="2"/>
        </w:numPr>
        <w:spacing w:after="60" w:before="60"/>
      </w:pPr>
      <w:r>
        <w:rPr>
          <w:rFonts w:ascii="Arial" w:cs="Arial" w:eastAsia="Arial" w:hAnsi="Arial"/>
          <w:sz w:val="22"/>
          <w:szCs w:val="22"/>
        </w:rPr>
        <w:t xml:space="preserve">Saved all charts as PNG image files automatically</w:t>
      </w:r>
    </w:p>
    <w:p>
      <w:pPr>
        <w:spacing w:after="60" w:before="60"/>
      </w:pPr>
      <w:r>
        <w:t xml:space="preserve"/>
      </w:r>
    </w:p>
    <w:p>
      <w:pPr>
        <w:pStyle w:val="Heading2"/>
        <w:spacing w:after="120" w:before="240"/>
      </w:pPr>
      <w:r>
        <w:rPr>
          <w:rFonts w:ascii="Arial" w:cs="Arial" w:eastAsia="Arial" w:hAnsi="Arial"/>
          <w:b/>
          <w:bCs/>
          <w:color w:val="1E3A5F"/>
          <w:sz w:val="26"/>
          <w:szCs w:val="26"/>
        </w:rPr>
        <w:t xml:space="preserve">7.3 Power BI Desktop</w:t>
      </w:r>
    </w:p>
    <w:p>
      <w:pPr>
        <w:pStyle w:val="ListParagraph"/>
        <w:numPr>
          <w:ilvl w:val="0"/>
          <w:numId w:val="2"/>
        </w:numPr>
        <w:spacing w:after="60" w:before="60"/>
      </w:pPr>
      <w:r>
        <w:rPr>
          <w:rFonts w:ascii="Arial" w:cs="Arial" w:eastAsia="Arial" w:hAnsi="Arial"/>
          <w:sz w:val="22"/>
          <w:szCs w:val="22"/>
        </w:rPr>
        <w:t xml:space="preserve">Loaded CSV and cleaned data in Power Query Editor</w:t>
      </w:r>
    </w:p>
    <w:p>
      <w:pPr>
        <w:pStyle w:val="ListParagraph"/>
        <w:numPr>
          <w:ilvl w:val="0"/>
          <w:numId w:val="2"/>
        </w:numPr>
        <w:spacing w:after="60" w:before="60"/>
      </w:pPr>
      <w:r>
        <w:rPr>
          <w:rFonts w:ascii="Arial" w:cs="Arial" w:eastAsia="Arial" w:hAnsi="Arial"/>
          <w:sz w:val="22"/>
          <w:szCs w:val="22"/>
        </w:rPr>
        <w:t xml:space="preserve">Created 6 DAX Measures: Total Investors, Average Age, Male Investors, Female Investors, Male %, Female %</w:t>
      </w:r>
    </w:p>
    <w:p>
      <w:pPr>
        <w:pStyle w:val="ListParagraph"/>
        <w:numPr>
          <w:ilvl w:val="0"/>
          <w:numId w:val="2"/>
        </w:numPr>
        <w:spacing w:after="60" w:before="60"/>
      </w:pPr>
      <w:r>
        <w:rPr>
          <w:rFonts w:ascii="Arial" w:cs="Arial" w:eastAsia="Arial" w:hAnsi="Arial"/>
          <w:sz w:val="22"/>
          <w:szCs w:val="22"/>
        </w:rPr>
        <w:t xml:space="preserve">Built 4-slicer interactive dashboard (Gender, Avenue, Duration, Expectation)</w:t>
      </w:r>
    </w:p>
    <w:p>
      <w:pPr>
        <w:pStyle w:val="ListParagraph"/>
        <w:numPr>
          <w:ilvl w:val="0"/>
          <w:numId w:val="2"/>
        </w:numPr>
        <w:spacing w:after="60" w:before="60"/>
      </w:pPr>
      <w:r>
        <w:rPr>
          <w:rFonts w:ascii="Arial" w:cs="Arial" w:eastAsia="Arial" w:hAnsi="Arial"/>
          <w:sz w:val="22"/>
          <w:szCs w:val="22"/>
        </w:rPr>
        <w:t xml:space="preserve">Added KPI Cards for key metrics</w:t>
      </w:r>
    </w:p>
    <w:p>
      <w:pPr>
        <w:pStyle w:val="ListParagraph"/>
        <w:numPr>
          <w:ilvl w:val="0"/>
          <w:numId w:val="2"/>
        </w:numPr>
        <w:spacing w:after="60" w:before="60"/>
      </w:pPr>
      <w:r>
        <w:rPr>
          <w:rFonts w:ascii="Arial" w:cs="Arial" w:eastAsia="Arial" w:hAnsi="Arial"/>
          <w:sz w:val="22"/>
          <w:szCs w:val="22"/>
        </w:rPr>
        <w:t xml:space="preserve">Created Pie, Bar, Donut, and Column charts</w:t>
      </w:r>
    </w:p>
    <w:p>
      <w:pPr>
        <w:pStyle w:val="ListParagraph"/>
        <w:numPr>
          <w:ilvl w:val="0"/>
          <w:numId w:val="2"/>
        </w:numPr>
        <w:spacing w:after="60" w:before="60"/>
      </w:pPr>
      <w:r>
        <w:rPr>
          <w:rFonts w:ascii="Arial" w:cs="Arial" w:eastAsia="Arial" w:hAnsi="Arial"/>
          <w:sz w:val="22"/>
          <w:szCs w:val="22"/>
        </w:rPr>
        <w:t xml:space="preserve">Applied professional theme and consistent color scheme</w:t>
      </w:r>
    </w:p>
    <w:p>
      <w:pPr>
        <w:pStyle w:val="ListParagraph"/>
        <w:numPr>
          <w:ilvl w:val="0"/>
          <w:numId w:val="2"/>
        </w:numPr>
        <w:spacing w:after="60" w:before="60"/>
      </w:pPr>
      <w:r>
        <w:rPr>
          <w:rFonts w:ascii="Arial" w:cs="Arial" w:eastAsia="Arial" w:hAnsi="Arial"/>
          <w:sz w:val="22"/>
          <w:szCs w:val="22"/>
        </w:rPr>
        <w:t xml:space="preserve">Added Reset Filters button for better user experience</w:t>
      </w:r>
    </w:p>
    <w:p>
      <w:pPr>
        <w:spacing w:after="60" w:before="60"/>
      </w:pPr>
      <w:r>
        <w:t xml:space="preserve"/>
      </w:r>
    </w:p>
    <w:p>
      <w:pPr>
        <w:pStyle w:val="Heading2"/>
        <w:spacing w:after="120" w:before="240"/>
      </w:pPr>
      <w:r>
        <w:rPr>
          <w:rFonts w:ascii="Arial" w:cs="Arial" w:eastAsia="Arial" w:hAnsi="Arial"/>
          <w:b/>
          <w:bCs/>
          <w:color w:val="1E3A5F"/>
          <w:sz w:val="26"/>
          <w:szCs w:val="26"/>
        </w:rPr>
        <w:t xml:space="preserve">7.4 MySQL Workbench</w:t>
      </w:r>
    </w:p>
    <w:p>
      <w:pPr>
        <w:pStyle w:val="ListParagraph"/>
        <w:numPr>
          <w:ilvl w:val="0"/>
          <w:numId w:val="2"/>
        </w:numPr>
        <w:spacing w:after="60" w:before="60"/>
      </w:pPr>
      <w:r>
        <w:rPr>
          <w:rFonts w:ascii="Arial" w:cs="Arial" w:eastAsia="Arial" w:hAnsi="Arial"/>
          <w:sz w:val="22"/>
          <w:szCs w:val="22"/>
        </w:rPr>
        <w:t xml:space="preserve">Created cognifyz_project database and investment_data table</w:t>
      </w:r>
    </w:p>
    <w:p>
      <w:pPr>
        <w:pStyle w:val="ListParagraph"/>
        <w:numPr>
          <w:ilvl w:val="0"/>
          <w:numId w:val="2"/>
        </w:numPr>
        <w:spacing w:after="60" w:before="60"/>
      </w:pPr>
      <w:r>
        <w:rPr>
          <w:rFonts w:ascii="Arial" w:cs="Arial" w:eastAsia="Arial" w:hAnsi="Arial"/>
          <w:sz w:val="22"/>
          <w:szCs w:val="22"/>
        </w:rPr>
        <w:t xml:space="preserve">Imported 40 rows from CSV using Table Data Import Wizard</w:t>
      </w:r>
    </w:p>
    <w:p>
      <w:pPr>
        <w:pStyle w:val="ListParagraph"/>
        <w:numPr>
          <w:ilvl w:val="0"/>
          <w:numId w:val="2"/>
        </w:numPr>
        <w:spacing w:after="60" w:before="60"/>
      </w:pPr>
      <w:r>
        <w:rPr>
          <w:rFonts w:ascii="Arial" w:cs="Arial" w:eastAsia="Arial" w:hAnsi="Arial"/>
          <w:sz w:val="22"/>
          <w:szCs w:val="22"/>
        </w:rPr>
        <w:t xml:space="preserve">Wrote GROUP BY + COUNT queries for all frequency analysis tasks</w:t>
      </w:r>
    </w:p>
    <w:p>
      <w:pPr>
        <w:pStyle w:val="ListParagraph"/>
        <w:numPr>
          <w:ilvl w:val="0"/>
          <w:numId w:val="2"/>
        </w:numPr>
        <w:spacing w:after="60" w:before="60"/>
      </w:pPr>
      <w:r>
        <w:rPr>
          <w:rFonts w:ascii="Arial" w:cs="Arial" w:eastAsia="Arial" w:hAnsi="Arial"/>
          <w:sz w:val="22"/>
          <w:szCs w:val="22"/>
        </w:rPr>
        <w:t xml:space="preserve">Used ROUND with subqueries to calculate percentage distributions</w:t>
      </w:r>
    </w:p>
    <w:p>
      <w:pPr>
        <w:pStyle w:val="ListParagraph"/>
        <w:numPr>
          <w:ilvl w:val="0"/>
          <w:numId w:val="2"/>
        </w:numPr>
        <w:spacing w:after="60" w:before="60"/>
      </w:pPr>
      <w:r>
        <w:rPr>
          <w:rFonts w:ascii="Arial" w:cs="Arial" w:eastAsia="Arial" w:hAnsi="Arial"/>
          <w:sz w:val="22"/>
          <w:szCs w:val="22"/>
        </w:rPr>
        <w:t xml:space="preserve">Used UNION ALL to combine statistics across multiple columns</w:t>
      </w:r>
    </w:p>
    <w:p>
      <w:pPr>
        <w:pStyle w:val="ListParagraph"/>
        <w:numPr>
          <w:ilvl w:val="0"/>
          <w:numId w:val="2"/>
        </w:numPr>
        <w:spacing w:after="60" w:before="60"/>
      </w:pPr>
      <w:r>
        <w:rPr>
          <w:rFonts w:ascii="Arial" w:cs="Arial" w:eastAsia="Arial" w:hAnsi="Arial"/>
          <w:sz w:val="22"/>
          <w:szCs w:val="22"/>
        </w:rPr>
        <w:t xml:space="preserve">Used CASE WHEN to segment investors into Young (under 28) and Senior (28+) groups</w:t>
      </w:r>
    </w:p>
    <w:p>
      <w:pPr>
        <w:pStyle w:val="ListParagraph"/>
        <w:numPr>
          <w:ilvl w:val="0"/>
          <w:numId w:val="2"/>
        </w:numPr>
        <w:spacing w:after="60" w:before="60"/>
      </w:pPr>
      <w:r>
        <w:rPr>
          <w:rFonts w:ascii="Arial" w:cs="Arial" w:eastAsia="Arial" w:hAnsi="Arial"/>
          <w:sz w:val="22"/>
          <w:szCs w:val="22"/>
        </w:rPr>
        <w:t xml:space="preserve">Performed cross-analysis of Gender vs Avenue and Duration vs Expectations</w:t>
      </w:r>
    </w:p>
    <w:p>
      <w:pPr>
        <w:spacing w:after="60" w:before="60"/>
      </w:pPr>
      <w:r>
        <w:t xml:space="preserve"/>
      </w:r>
    </w:p>
    <w:p>
      <w:r>
        <w:br w:type="pag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2026-05-09T17:06:25.088Z</dcterms:created>
  <dcterms:modified xsi:type="dcterms:W3CDTF">2026-05-09T17:06:25.105Z</dcterms:modified>
</cp:coreProperties>
</file>

<file path=docProps/custom.xml><?xml version="1.0" encoding="utf-8"?>
<Properties xmlns="http://schemas.openxmlformats.org/officeDocument/2006/custom-properties" xmlns:vt="http://schemas.openxmlformats.org/officeDocument/2006/docPropsVTypes"/>
</file>