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Investment committee research memo</w:t>
      </w:r>
    </w:p>
    <w:p>
      <w:pPr>
        <w:widowControl/>
      </w:pPr>
      <w:r>
        <w:t>Core diversifier sleeve | SPY | 2026-10-11</w:t>
      </w:r>
    </w:p>
    <w:p>
      <w:pPr>
        <w:widowControl/>
      </w:pPr>
      <w:r>
        <w:t>Purpose: review manager suitability under the saved mandate and identify diligence required before any allocation. This editable document is a snapshot; edits in Word do not update the app or its evidence.</w:t>
      </w:r>
    </w:p>
    <w:p>
      <w:pPr>
        <w:widowControl/>
      </w:pPr>
      <w:r>
        <w:t>Evaluation 74292b22-5433-41b5-8cc7-5596a45ee27d</w:t>
        <w:br/>
        <w:t>Source status CACHED DEMO DATA</w:t>
        <w:br/>
        <w:t>Generation Ollama local inference</w:t>
      </w:r>
    </w:p>
    <w:p>
      <w:pPr>
        <w:pStyle w:val="Heading1"/>
        <w:widowControl/>
      </w:pPr>
      <w:r>
        <w:t>Argument Against</w:t>
      </w:r>
    </w:p>
    <w:p>
      <w:pPr>
        <w:widowControl/>
      </w:pPr>
      <w:r>
        <w:t>The approach's defensive hedges may limit upside participation, posing a risk to the core diversifier sleeve mandate. [1]</w:t>
      </w:r>
    </w:p>
    <w:p>
      <w:pPr>
        <w:pStyle w:val="Heading1"/>
        <w:widowControl/>
      </w:pPr>
      <w:r>
        <w:t>Alternative Conditions</w:t>
      </w:r>
    </w:p>
    <w:p>
      <w:pPr>
        <w:widowControl/>
      </w:pPr>
      <w:r>
        <w:t>The approach's defensive hedges could be optimized for better upside participation without compromising loss mitigation. [1]</w:t>
      </w:r>
    </w:p>
    <w:p>
      <w:pPr>
        <w:pStyle w:val="Heading1"/>
        <w:widowControl/>
      </w:pPr>
      <w:r>
        <w:t>Unresolved Risks</w:t>
      </w:r>
    </w:p>
    <w:p>
      <w:pPr>
        <w:widowControl/>
      </w:pPr>
      <w:r>
        <w:t>Is the effectiveness of defensive hedges consistently demonstrated across different market conditions? [1]</w:t>
      </w:r>
    </w:p>
    <w:p>
      <w:pPr>
        <w:pStyle w:val="Heading1"/>
        <w:widowControl/>
      </w:pPr>
      <w:r>
        <w:t>Diligence Questions</w:t>
      </w:r>
    </w:p>
    <w:p>
      <w:pPr>
        <w:widowControl/>
      </w:pPr>
      <w:r>
        <w:t>Could the defensive hedges be adjusted to enhance upside participation without sacrificing loss mitigation? [1]</w:t>
      </w:r>
    </w:p>
    <w:p>
      <w:pPr>
        <w:widowControl/>
      </w:pPr>
      <w:r>
        <w:t>Is there evidence of consistent performance across various market regimes, including bull and bear markets? [1]</w:t>
      </w:r>
    </w:p>
    <w:p>
      <w:pPr>
        <w:widowControl/>
      </w:pPr>
      <w:r>
        <w:t>Does the approach incorporate hedging strategies that are transparent and well-documented? [1]</w:t>
      </w:r>
    </w:p>
    <w:p>
      <w:pPr>
        <w:pStyle w:val="Heading1"/>
        <w:widowControl/>
      </w:pPr>
      <w:r>
        <w:t>Evidence references</w:t>
      </w:r>
    </w:p>
    <w:p>
      <w:pPr>
        <w:keepNext/>
        <w:widowControl/>
      </w:pPr>
      <w:r>
        <w:t>References below belong to the evaluation above. Full evidence IDs use its ID followed by a colon and the reference suffix. Inspect formulas and original sources in Audit, or download the full evidence export.</w:t>
      </w:r>
    </w:p>
    <w:p>
      <w:pPr>
        <w:keepLines/>
        <w:widowControl/>
        <w:spacing w:after="20"/>
      </w:pPr>
      <w:r>
        <w:rPr>
          <w:sz w:val="16"/>
        </w:rPr>
        <w:t>[1] Harbor Defensive · qualitative notes | SOURCE-HARBOR-QUALITATIVE_NOTES</w:t>
      </w:r>
    </w:p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Allocator IC Copilot | Internal research prototype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Calibri" w:hAnsi="Calibr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