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Investment committee research memo</w:t>
      </w:r>
    </w:p>
    <w:p>
      <w:pPr>
        <w:widowControl/>
      </w:pPr>
      <w:r>
        <w:t>Core diversifier sleeve | SPY | 2026-10-11</w:t>
      </w:r>
    </w:p>
    <w:p>
      <w:pPr>
        <w:widowControl/>
      </w:pPr>
      <w:r>
        <w:t>Purpose: review manager suitability under the saved mandate and identify diligence required before any allocation. This editable document is a snapshot; edits in Word do not update the app or its evidence.</w:t>
      </w:r>
    </w:p>
    <w:p>
      <w:pPr>
        <w:widowControl/>
      </w:pPr>
      <w:r>
        <w:t>Evaluation 74292b22-5433-41b5-8cc7-5596a45ee27d</w:t>
        <w:br/>
        <w:t>Source status CACHED DEMO DATA</w:t>
        <w:br/>
        <w:t>Generation Ollama local inference</w:t>
      </w:r>
    </w:p>
    <w:p>
      <w:pPr>
        <w:pStyle w:val="Heading1"/>
        <w:widowControl/>
      </w:pPr>
      <w:r>
        <w:t>Executive Summary</w:t>
      </w:r>
    </w:p>
    <w:p>
      <w:pPr>
        <w:widowControl/>
      </w:pPr>
      <w:r>
        <w:t>Harbor Defensive ranks first under the current transparent decision methodology. This is a diligence shortlist, not an allocation recommendation. [1]</w:t>
      </w:r>
    </w:p>
    <w:p>
      <w:pPr>
        <w:widowControl/>
      </w:pPr>
      <w:r>
        <w:t>The approach employs defensive hedges to mitigate equity losses, aligning with the core diversifier sleeve mandate. [2]</w:t>
      </w:r>
    </w:p>
    <w:p>
      <w:pPr>
        <w:pStyle w:val="Heading1"/>
        <w:widowControl/>
      </w:pPr>
      <w:r>
        <w:t>Mandate</w:t>
      </w:r>
    </w:p>
    <w:p>
      <w:pPr>
        <w:widowControl/>
      </w:pPr>
      <w:r>
        <w:t>Diversifier sleeve · SPY benchmark · monthly liquidity · minimum 36 months. [3]</w:t>
      </w:r>
    </w:p>
    <w:p>
      <w:pPr>
        <w:pStyle w:val="Heading1"/>
        <w:widowControl/>
      </w:pPr>
      <w:r>
        <w:t>Recommendation</w:t>
      </w:r>
    </w:p>
    <w:p>
      <w:pPr>
        <w:widowControl/>
      </w:pPr>
      <w:r>
        <w:t>Advance Harbor Defensive for manager diligence under the current mandate; validate source concerns before any allocation. [1, 2]</w:t>
      </w:r>
    </w:p>
    <w:p>
      <w:pPr>
        <w:pStyle w:val="Heading1"/>
        <w:widowControl/>
      </w:pPr>
      <w:r>
        <w:t>Ranked Shortlist</w:t>
      </w:r>
    </w:p>
    <w:p>
      <w:pPr>
        <w:widowControl/>
      </w:pPr>
      <w:r>
        <w:t>#1 Harbor Defensive — score 91.5/100; all configured hard constraints passed. [1]</w:t>
      </w:r>
    </w:p>
    <w:p>
      <w:pPr>
        <w:widowControl/>
      </w:pPr>
      <w:r>
        <w:t>#2 Vector Statistical — score 83.9/100; all configured hard constraints passed. [4]</w:t>
      </w:r>
    </w:p>
    <w:p>
      <w:pPr>
        <w:widowControl/>
      </w:pPr>
      <w:r>
        <w:t>#3 Pulse Tactical — score 76.7/100; all configured hard constraints passed. [5]</w:t>
      </w:r>
    </w:p>
    <w:p>
      <w:pPr>
        <w:widowControl/>
      </w:pPr>
      <w:r>
        <w:t>#4 Cedar Market Neutral — score 67.8/100; all configured hard constraints passed. [6]</w:t>
      </w:r>
    </w:p>
    <w:p>
      <w:pPr>
        <w:pStyle w:val="Heading1"/>
        <w:widowControl/>
      </w:pPr>
      <w:r>
        <w:t>Investment Rationale</w:t>
      </w:r>
    </w:p>
    <w:p>
      <w:pPr>
        <w:widowControl/>
      </w:pPr>
      <w:r>
        <w:t>Observed annualized return 9.1%, Sharpe 2.52, and maximum drawdown -1.6%. [7, 8, 9]</w:t>
      </w:r>
    </w:p>
    <w:p>
      <w:pPr>
        <w:widowControl/>
      </w:pPr>
      <w:r>
        <w:t>The approach uses defensive hedges to reduce equity losses, a key feature of the core diversifier sleeve mandate. [2]</w:t>
      </w:r>
    </w:p>
    <w:p>
      <w:pPr>
        <w:pStyle w:val="Heading1"/>
        <w:widowControl/>
      </w:pPr>
      <w:r>
        <w:t>Diversification and Factor Analysis</w:t>
      </w:r>
    </w:p>
    <w:p>
      <w:pPr>
        <w:widowControl/>
      </w:pPr>
      <w:r>
        <w:t>Benchmark correlation is -0.51. Explanatory factor R² is 28.9%. An unexplained residual is not proof of repeatable alpha. [10, 11]</w:t>
      </w:r>
    </w:p>
    <w:p>
      <w:pPr>
        <w:pStyle w:val="Heading1"/>
        <w:widowControl/>
      </w:pPr>
      <w:r>
        <w:t>Key Risks</w:t>
      </w:r>
    </w:p>
    <w:p>
      <w:pPr>
        <w:widowControl/>
      </w:pPr>
      <w:r>
        <w:t>Unverified source note: SYNTHETIC. Defensive hedges reduce equity-down losses at the cost of upside participation. [2]</w:t>
      </w:r>
    </w:p>
    <w:p>
      <w:pPr>
        <w:widowControl/>
      </w:pPr>
      <w:r>
        <w:t>The approach's defensive hedges may limit upside participation, posing a risk to the core diversifier sleeve mandate. [2]</w:t>
      </w:r>
    </w:p>
    <w:p>
      <w:pPr>
        <w:pStyle w:val="Heading1"/>
        <w:widowControl/>
      </w:pPr>
      <w:r>
        <w:t>Manager Specific Diligence Questions</w:t>
      </w:r>
    </w:p>
    <w:p>
      <w:pPr>
        <w:widowControl/>
      </w:pPr>
      <w:r>
        <w:t>Can the administrator independently verify performance, redemption terms, capacity and the concerns in the source note? [2, 12]</w:t>
      </w:r>
    </w:p>
    <w:p>
      <w:pPr>
        <w:widowControl/>
      </w:pPr>
      <w:r>
        <w:t>Is the effectiveness of defensive hedges consistently demonstrated across different market conditions? [2]</w:t>
      </w:r>
    </w:p>
    <w:p>
      <w:pPr>
        <w:pStyle w:val="Heading1"/>
        <w:widowControl/>
      </w:pPr>
      <w:r>
        <w:t>Alternatives Considered</w:t>
      </w:r>
    </w:p>
    <w:p>
      <w:pPr>
        <w:widowControl/>
      </w:pPr>
      <w:r>
        <w:t>Alpine Long Short: Benchmark correlation 0.93 exceeds limit 0.40. [13]</w:t>
      </w:r>
    </w:p>
    <w:p>
      <w:pPr>
        <w:widowControl/>
      </w:pPr>
      <w:r>
        <w:t>Atlas Global Macro: Maximum drawdown -9.5% breaches permitted loss 7.0%. Quarterly liquidity fails monthly requirement. [14]</w:t>
      </w:r>
    </w:p>
    <w:p>
      <w:pPr>
        <w:widowControl/>
      </w:pPr>
      <w:r>
        <w:t>Aurora Macro: Missing months prevent a defensible drawdown/annualized risk assessment; history must be contiguous. Maximum drawdown unavailable; constraint cannot be verified. Volatility unavailable; constraint cannot be verified. [15]</w:t>
      </w:r>
    </w:p>
    <w:p>
      <w:pPr>
        <w:widowControl/>
      </w:pPr>
      <w:r>
        <w:t>The approach of high-turnover statistical arbitrage may incur higher transaction costs and capacity risk. [16]</w:t>
      </w:r>
    </w:p>
    <w:p>
      <w:pPr>
        <w:pStyle w:val="Heading1"/>
        <w:widowControl/>
      </w:pPr>
      <w:r>
        <w:t>Data Appendix</w:t>
      </w:r>
    </w:p>
    <w:p>
      <w:pPr>
        <w:widowControl/>
      </w:pPr>
      <w:r>
        <w:t>History 2021-10 → 2026-09; 60 observed months. Source status: CACHED DEMO DATA. Manager data is synthetic only where explicitly marked. [7, 3]</w:t>
      </w:r>
    </w:p>
    <w:p>
      <w:pPr>
        <w:pStyle w:val="Heading1"/>
        <w:widowControl/>
      </w:pPr>
      <w:r>
        <w:t>Evidence references</w:t>
      </w:r>
    </w:p>
    <w:p>
      <w:pPr>
        <w:keepNext/>
        <w:widowControl/>
      </w:pPr>
      <w:r>
        <w:t>References below belong to the evaluation above. Full evidence IDs use its ID followed by a colon and the reference suffix. Inspect formulas and original sources in Audit, or download the full evidence export.</w:t>
      </w:r>
    </w:p>
    <w:p>
      <w:pPr>
        <w:keepLines/>
        <w:widowControl/>
        <w:spacing w:after="20"/>
      </w:pPr>
      <w:r>
        <w:rPr>
          <w:sz w:val="16"/>
        </w:rPr>
        <w:t>[1] Harbor Defensive · mandate decision | DECISION-HARBOR</w:t>
      </w:r>
    </w:p>
    <w:p>
      <w:pPr>
        <w:keepLines/>
        <w:widowControl/>
        <w:spacing w:after="20"/>
      </w:pPr>
      <w:r>
        <w:rPr>
          <w:sz w:val="16"/>
        </w:rPr>
        <w:t>[2] Harbor Defensive · qualitative notes | SOURCE-HARBOR-QUALITATIVE_NOTES</w:t>
      </w:r>
    </w:p>
    <w:p>
      <w:pPr>
        <w:keepLines/>
        <w:widowControl/>
        <w:spacing w:after="20"/>
      </w:pPr>
      <w:r>
        <w:rPr>
          <w:sz w:val="16"/>
        </w:rPr>
        <w:t>[3] Core diversifier sleeve | MANDATE</w:t>
      </w:r>
    </w:p>
    <w:p>
      <w:pPr>
        <w:keepLines/>
        <w:widowControl/>
        <w:spacing w:after="20"/>
      </w:pPr>
      <w:r>
        <w:rPr>
          <w:sz w:val="16"/>
        </w:rPr>
        <w:t>[4] Vector Statistical · mandate decision | DECISION-VECTOR</w:t>
      </w:r>
    </w:p>
    <w:p>
      <w:pPr>
        <w:keepLines/>
        <w:widowControl/>
        <w:spacing w:after="20"/>
      </w:pPr>
      <w:r>
        <w:rPr>
          <w:sz w:val="16"/>
        </w:rPr>
        <w:t>[5] Pulse Tactical · mandate decision | DECISION-PULSE</w:t>
      </w:r>
    </w:p>
    <w:p>
      <w:pPr>
        <w:keepLines/>
        <w:widowControl/>
        <w:spacing w:after="20"/>
      </w:pPr>
      <w:r>
        <w:rPr>
          <w:sz w:val="16"/>
        </w:rPr>
        <w:t>[6] Cedar Market Neutral · mandate decision | DECISION-CEDAR</w:t>
      </w:r>
    </w:p>
    <w:p>
      <w:pPr>
        <w:keepLines/>
        <w:widowControl/>
        <w:spacing w:after="20"/>
      </w:pPr>
      <w:r>
        <w:rPr>
          <w:sz w:val="16"/>
        </w:rPr>
        <w:t>[7] Harbor Defensive · annualized return | METRIC-HARBOR-ANNUALIZED_RETURN</w:t>
      </w:r>
    </w:p>
    <w:p>
      <w:pPr>
        <w:keepLines/>
        <w:widowControl/>
        <w:spacing w:after="20"/>
      </w:pPr>
      <w:r>
        <w:rPr>
          <w:sz w:val="16"/>
        </w:rPr>
        <w:t>[8] Harbor Defensive · sharpe ratio | METRIC-HARBOR-SHARPE_RATIO</w:t>
      </w:r>
    </w:p>
    <w:p>
      <w:pPr>
        <w:keepLines/>
        <w:widowControl/>
        <w:spacing w:after="20"/>
      </w:pPr>
      <w:r>
        <w:rPr>
          <w:sz w:val="16"/>
        </w:rPr>
        <w:t>[9] Harbor Defensive · maximum drawdown | METRIC-HARBOR-MAXIMUM_DRAWDOWN</w:t>
      </w:r>
    </w:p>
    <w:p>
      <w:pPr>
        <w:keepLines/>
        <w:widowControl/>
        <w:spacing w:after="20"/>
      </w:pPr>
      <w:r>
        <w:rPr>
          <w:sz w:val="16"/>
        </w:rPr>
        <w:t>[10] Harbor Defensive · benchmark correlation | METRIC-HARBOR-BENCHMARK_CORRELATION</w:t>
      </w:r>
    </w:p>
    <w:p>
      <w:pPr>
        <w:keepLines/>
        <w:widowControl/>
        <w:spacing w:after="20"/>
      </w:pPr>
      <w:r>
        <w:rPr>
          <w:sz w:val="16"/>
        </w:rPr>
        <w:t>[11] Harbor Defensive · factor r squared | METRIC-HARBOR-FACTOR_R_SQUARED</w:t>
      </w:r>
    </w:p>
    <w:p>
      <w:pPr>
        <w:keepLines/>
        <w:widowControl/>
        <w:spacing w:after="20"/>
      </w:pPr>
      <w:r>
        <w:rPr>
          <w:sz w:val="16"/>
        </w:rPr>
        <w:t>[12] Harbor Defensive · liquidity | SOURCE-HARBOR-LIQUIDITY</w:t>
      </w:r>
    </w:p>
    <w:p>
      <w:pPr>
        <w:keepLines/>
        <w:widowControl/>
        <w:spacing w:after="20"/>
      </w:pPr>
      <w:r>
        <w:rPr>
          <w:sz w:val="16"/>
        </w:rPr>
        <w:t>[13] Alpine Long Short · mandate decision | DECISION-ALPINE</w:t>
      </w:r>
    </w:p>
    <w:p>
      <w:pPr>
        <w:keepLines/>
        <w:widowControl/>
        <w:spacing w:after="20"/>
      </w:pPr>
      <w:r>
        <w:rPr>
          <w:sz w:val="16"/>
        </w:rPr>
        <w:t>[14] Atlas Global Macro · mandate decision | DECISION-ATLAS</w:t>
      </w:r>
    </w:p>
    <w:p>
      <w:pPr>
        <w:keepLines/>
        <w:widowControl/>
        <w:spacing w:after="20"/>
      </w:pPr>
      <w:r>
        <w:rPr>
          <w:sz w:val="16"/>
        </w:rPr>
        <w:t>[15] Aurora Macro · mandate decision | DECISION-AURORA</w:t>
      </w:r>
    </w:p>
    <w:p>
      <w:pPr>
        <w:keepLines/>
        <w:widowControl/>
        <w:spacing w:after="20"/>
      </w:pPr>
      <w:r>
        <w:rPr>
          <w:sz w:val="16"/>
        </w:rPr>
        <w:t>[16] Vector Statistical · qualitative notes | SOURCE-VECTOR-QUALITATIVE_NOTES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Allocator IC Copilot | Internal research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