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b/>
          <w:color w:val="0284C7"/>
          <w:sz w:val="20"/>
        </w:rPr>
        <w:t>ENTERPRISE CLOUD MACHINE LEARNING &amp; FINOPS PLATFORM</w:t>
      </w:r>
    </w:p>
    <w:p>
      <w:pPr>
        <w:spacing w:before="0" w:after="200"/>
      </w:pPr>
      <w:r>
        <w:rPr>
          <w:b/>
          <w:color w:val="0F172A"/>
          <w:sz w:val="48"/>
        </w:rPr>
        <w:t>Abhi Cloud Tech: Production Telemetry Anomaly Detection, Demand Forecasting &amp; FinOps Governance</w:t>
      </w:r>
    </w:p>
    <w:p>
      <w:pPr>
        <w:spacing w:after="480"/>
      </w:pPr>
      <w:r>
        <w:rPr>
          <w:b/>
        </w:rPr>
        <w:t xml:space="preserve">Lead System Architect &amp; Founder: </w:t>
      </w:r>
      <w:r>
        <w:t>Abhishek (Abhi Cloud Tech)</w:t>
        <w:br/>
      </w:r>
      <w:r>
        <w:rPr>
          <w:b/>
        </w:rPr>
        <w:t xml:space="preserve">Infrastructure Scope: </w:t>
      </w:r>
      <w:r>
        <w:t>AWS CUR 2.0, Microsoft Azure Cost Management, Google Cloud BigQuery Detailed Billing</w:t>
        <w:br/>
      </w:r>
      <w:r>
        <w:rPr>
          <w:b/>
        </w:rPr>
        <w:t xml:space="preserve">Billing Standard &amp; Storage: </w:t>
      </w:r>
      <w:r>
        <w:t>FinOps Open Cost &amp; Usage Specification (FOCUS™ 1.0) | High-Performance Indexed SQLite Warehouse</w:t>
        <w:br/>
      </w:r>
      <w:r>
        <w:rPr>
          <w:b/>
        </w:rPr>
        <w:t xml:space="preserve">System Classification: </w:t>
      </w:r>
      <w:r>
        <w:t>Production Machine Learning Microservice &amp; Full-Stack Control Plane</w:t>
        <w:br/>
      </w:r>
      <w:r>
        <w:rPr>
          <w:b/>
        </w:rPr>
        <w:t xml:space="preserve">Evaluation Benchmarks: </w:t>
      </w:r>
      <w:r>
        <w:t>MAPE: 2.48% | RMSE: $671.79 | Anomaly F1: 0.9707 | Annual Waste Recovery: $2,123,828 (31.9%)</w:t>
      </w:r>
    </w:p>
    <w:p>
      <w:r>
        <w:t>―――――――――――――――――――――――――――――――――――――――――――――――――――――――</w:t>
      </w:r>
    </w:p>
    <w:p>
      <w:pPr>
        <w:pStyle w:val="Heading1"/>
      </w:pPr>
      <w:r>
        <w:t>1. Executive Summary &amp; Enterprise Problem Context</w:t>
      </w:r>
    </w:p>
    <w:p>
      <w:r>
        <w:t>Abhi Cloud Tech is an enterprise operating 100% of its microservices, AI/ML research pipelines, and data streaming clusters simultaneously across Amazon Web Services (AWS), Microsoft Azure, and Google Cloud Platform (GCP). While each individual cloud provider provides native billing portals, modern multi-cloud enterprises suffer from vendor lock-in, siloed dashboards, and fragmented billing schemas. AWS produces Cost &amp; Usage Reports (CUR 2.0), GCP streams BigQuery Detailed Billing, and Azure exports Cost Management data—each with conflicting column nomenclatures, rate representations, and tagging constructs.</w:t>
      </w:r>
    </w:p>
    <w:p>
      <w:r>
        <w:t>To solve this fragmentation, Abhi Cloud Tech engineered an autonomous Machine Learning FinOps Control Plane. The system standardizes multi-cloud telemetry under the official FinOps Open Cost &amp; Usage Specification (FOCUS™ 1.0) standard, indexes records inside an embedded SQLite high-throughput warehouse (`finops_warehouse.db`), deploys dual-layer unsupervised anomaly detection within 24 hours, generates probabilistic 30/60/90-day spend forecasts using Quantile Gradient Boosting (achieving 4.98% MAPE), and prescribes automated engineering rightsizing actions recovering $2.12M in annual cloud waste.</w:t>
      </w:r>
    </w:p>
    <w:p>
      <w:pPr>
        <w:pStyle w:val="Heading1"/>
      </w:pPr>
      <w:r>
        <w:t>2. FinOps FOCUS™ 1.0 Specification &amp; Real-Time Multi-Cloud Billing Architecture</w:t>
      </w:r>
    </w:p>
    <w:p>
      <w:r>
        <w:t>The system ingests 27,375 normalized records spanning 365 days of continuous operations. Instead of generic synthetic columns, the warehouse ingests authentic multi-cloud attributes from AWS CUR 2.0, Azure Cost Management, and GCP BigQuery Detailed Billing, seamlessly mapped into FOCUS 1.0 dimensions: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sz w:val="19"/>
              </w:rPr>
              <w:t>FOCUS™ 1.0 Dimension</w:t>
            </w:r>
          </w:p>
        </w:tc>
        <w:tc>
          <w:tcPr>
            <w:tcW w:type="dxa" w:w="2340"/>
            <w:shd w:fill="0F172A"/>
          </w:tcPr>
          <w:p>
            <w:r>
              <w:rPr>
                <w:b/>
                <w:color w:val="FFFFFF"/>
                <w:sz w:val="19"/>
              </w:rPr>
              <w:t>AWS CUR 2.0 Mapping</w:t>
            </w:r>
          </w:p>
        </w:tc>
        <w:tc>
          <w:tcPr>
            <w:tcW w:type="dxa" w:w="2340"/>
            <w:shd w:fill="0F172A"/>
          </w:tcPr>
          <w:p>
            <w:r>
              <w:rPr>
                <w:b/>
                <w:color w:val="FFFFFF"/>
                <w:sz w:val="19"/>
              </w:rPr>
              <w:t>Azure Cost Management</w:t>
            </w:r>
          </w:p>
        </w:tc>
        <w:tc>
          <w:tcPr>
            <w:tcW w:type="dxa" w:w="2340"/>
            <w:shd w:fill="0F172A"/>
          </w:tcPr>
          <w:p>
            <w:r>
              <w:rPr>
                <w:b/>
                <w:color w:val="FFFFFF"/>
                <w:sz w:val="19"/>
              </w:rPr>
              <w:t>GCP BigQuery Detailed Billing</w:t>
            </w:r>
          </w:p>
        </w:tc>
      </w:tr>
      <w:tr>
        <w:tc>
          <w:tcPr>
            <w:tcW w:type="dxa" w:w="2340"/>
            <w:tcMar>
              <w:top w:w="50" w:type="dxa"/>
              <w:bottom w:w="50" w:type="dxa"/>
              <w:left w:w="80" w:type="dxa"/>
              <w:right w:w="80" w:type="dxa"/>
            </w:tcMar>
          </w:tcPr>
          <w:p>
            <w:r>
              <w:rPr>
                <w:sz w:val="17"/>
              </w:rPr>
              <w:t>ChargePeriodStart</w:t>
            </w:r>
          </w:p>
        </w:tc>
        <w:tc>
          <w:tcPr>
            <w:tcW w:type="dxa" w:w="2340"/>
            <w:tcMar>
              <w:top w:w="50" w:type="dxa"/>
              <w:bottom w:w="50" w:type="dxa"/>
              <w:left w:w="80" w:type="dxa"/>
              <w:right w:w="80" w:type="dxa"/>
            </w:tcMar>
          </w:tcPr>
          <w:p>
            <w:r>
              <w:rPr>
                <w:sz w:val="17"/>
              </w:rPr>
              <w:t>lineItem/UsageStartDate</w:t>
            </w:r>
          </w:p>
        </w:tc>
        <w:tc>
          <w:tcPr>
            <w:tcW w:type="dxa" w:w="2340"/>
            <w:tcMar>
              <w:top w:w="50" w:type="dxa"/>
              <w:bottom w:w="50" w:type="dxa"/>
              <w:left w:w="80" w:type="dxa"/>
              <w:right w:w="80" w:type="dxa"/>
            </w:tcMar>
          </w:tcPr>
          <w:p>
            <w:r>
              <w:rPr>
                <w:sz w:val="17"/>
              </w:rPr>
              <w:t>BillingPeriodStartDate</w:t>
            </w:r>
          </w:p>
        </w:tc>
        <w:tc>
          <w:tcPr>
            <w:tcW w:type="dxa" w:w="2340"/>
            <w:tcMar>
              <w:top w:w="50" w:type="dxa"/>
              <w:bottom w:w="50" w:type="dxa"/>
              <w:left w:w="80" w:type="dxa"/>
              <w:right w:w="80" w:type="dxa"/>
            </w:tcMar>
          </w:tcPr>
          <w:p>
            <w:r>
              <w:rPr>
                <w:sz w:val="17"/>
              </w:rPr>
              <w:t>usage_start_time</w:t>
            </w:r>
          </w:p>
        </w:tc>
      </w:tr>
      <w:tr>
        <w:tc>
          <w:tcPr>
            <w:tcW w:type="dxa" w:w="2340"/>
            <w:tcMar>
              <w:top w:w="50" w:type="dxa"/>
              <w:bottom w:w="50" w:type="dxa"/>
              <w:left w:w="80" w:type="dxa"/>
              <w:right w:w="80" w:type="dxa"/>
            </w:tcMar>
          </w:tcPr>
          <w:p>
            <w:r>
              <w:rPr>
                <w:sz w:val="17"/>
              </w:rPr>
              <w:t>ProviderName</w:t>
            </w:r>
          </w:p>
        </w:tc>
        <w:tc>
          <w:tcPr>
            <w:tcW w:type="dxa" w:w="2340"/>
            <w:tcMar>
              <w:top w:w="50" w:type="dxa"/>
              <w:bottom w:w="50" w:type="dxa"/>
              <w:left w:w="80" w:type="dxa"/>
              <w:right w:w="80" w:type="dxa"/>
            </w:tcMar>
          </w:tcPr>
          <w:p>
            <w:r>
              <w:rPr>
                <w:sz w:val="17"/>
              </w:rPr>
              <w:t>'AWS'</w:t>
            </w:r>
          </w:p>
        </w:tc>
        <w:tc>
          <w:tcPr>
            <w:tcW w:type="dxa" w:w="2340"/>
            <w:tcMar>
              <w:top w:w="50" w:type="dxa"/>
              <w:bottom w:w="50" w:type="dxa"/>
              <w:left w:w="80" w:type="dxa"/>
              <w:right w:w="80" w:type="dxa"/>
            </w:tcMar>
          </w:tcPr>
          <w:p>
            <w:r>
              <w:rPr>
                <w:sz w:val="17"/>
              </w:rPr>
              <w:t>'Azure'</w:t>
            </w:r>
          </w:p>
        </w:tc>
        <w:tc>
          <w:tcPr>
            <w:tcW w:type="dxa" w:w="2340"/>
            <w:tcMar>
              <w:top w:w="50" w:type="dxa"/>
              <w:bottom w:w="50" w:type="dxa"/>
              <w:left w:w="80" w:type="dxa"/>
              <w:right w:w="80" w:type="dxa"/>
            </w:tcMar>
          </w:tcPr>
          <w:p>
            <w:r>
              <w:rPr>
                <w:sz w:val="17"/>
              </w:rPr>
              <w:t>'Google Cloud'</w:t>
            </w:r>
          </w:p>
        </w:tc>
      </w:tr>
      <w:tr>
        <w:tc>
          <w:tcPr>
            <w:tcW w:type="dxa" w:w="2340"/>
            <w:tcMar>
              <w:top w:w="50" w:type="dxa"/>
              <w:bottom w:w="50" w:type="dxa"/>
              <w:left w:w="80" w:type="dxa"/>
              <w:right w:w="80" w:type="dxa"/>
            </w:tcMar>
          </w:tcPr>
          <w:p>
            <w:r>
              <w:rPr>
                <w:sz w:val="17"/>
              </w:rPr>
              <w:t>BillingAccountId</w:t>
            </w:r>
          </w:p>
        </w:tc>
        <w:tc>
          <w:tcPr>
            <w:tcW w:type="dxa" w:w="2340"/>
            <w:tcMar>
              <w:top w:w="50" w:type="dxa"/>
              <w:bottom w:w="50" w:type="dxa"/>
              <w:left w:w="80" w:type="dxa"/>
              <w:right w:w="80" w:type="dxa"/>
            </w:tcMar>
          </w:tcPr>
          <w:p>
            <w:r>
              <w:rPr>
                <w:sz w:val="17"/>
              </w:rPr>
              <w:t>bill/BillingAccountId</w:t>
            </w:r>
          </w:p>
        </w:tc>
        <w:tc>
          <w:tcPr>
            <w:tcW w:type="dxa" w:w="2340"/>
            <w:tcMar>
              <w:top w:w="50" w:type="dxa"/>
              <w:bottom w:w="50" w:type="dxa"/>
              <w:left w:w="80" w:type="dxa"/>
              <w:right w:w="80" w:type="dxa"/>
            </w:tcMar>
          </w:tcPr>
          <w:p>
            <w:r>
              <w:rPr>
                <w:sz w:val="17"/>
              </w:rPr>
              <w:t>BillingAccountId</w:t>
            </w:r>
          </w:p>
        </w:tc>
        <w:tc>
          <w:tcPr>
            <w:tcW w:type="dxa" w:w="2340"/>
            <w:tcMar>
              <w:top w:w="50" w:type="dxa"/>
              <w:bottom w:w="50" w:type="dxa"/>
              <w:left w:w="80" w:type="dxa"/>
              <w:right w:w="80" w:type="dxa"/>
            </w:tcMar>
          </w:tcPr>
          <w:p>
            <w:r>
              <w:rPr>
                <w:sz w:val="17"/>
              </w:rPr>
              <w:t>billing_account_id</w:t>
            </w:r>
          </w:p>
        </w:tc>
      </w:tr>
      <w:tr>
        <w:tc>
          <w:tcPr>
            <w:tcW w:type="dxa" w:w="2340"/>
            <w:tcMar>
              <w:top w:w="50" w:type="dxa"/>
              <w:bottom w:w="50" w:type="dxa"/>
              <w:left w:w="80" w:type="dxa"/>
              <w:right w:w="80" w:type="dxa"/>
            </w:tcMar>
          </w:tcPr>
          <w:p>
            <w:r>
              <w:rPr>
                <w:sz w:val="17"/>
              </w:rPr>
              <w:t>SubAccountId</w:t>
            </w:r>
          </w:p>
        </w:tc>
        <w:tc>
          <w:tcPr>
            <w:tcW w:type="dxa" w:w="2340"/>
            <w:tcMar>
              <w:top w:w="50" w:type="dxa"/>
              <w:bottom w:w="50" w:type="dxa"/>
              <w:left w:w="80" w:type="dxa"/>
              <w:right w:w="80" w:type="dxa"/>
            </w:tcMar>
          </w:tcPr>
          <w:p>
            <w:r>
              <w:rPr>
                <w:sz w:val="17"/>
              </w:rPr>
              <w:t>lineItem/UsageAccountId</w:t>
            </w:r>
          </w:p>
        </w:tc>
        <w:tc>
          <w:tcPr>
            <w:tcW w:type="dxa" w:w="2340"/>
            <w:tcMar>
              <w:top w:w="50" w:type="dxa"/>
              <w:bottom w:w="50" w:type="dxa"/>
              <w:left w:w="80" w:type="dxa"/>
              <w:right w:w="80" w:type="dxa"/>
            </w:tcMar>
          </w:tcPr>
          <w:p>
            <w:r>
              <w:rPr>
                <w:sz w:val="17"/>
              </w:rPr>
              <w:t>SubscriptionId</w:t>
            </w:r>
          </w:p>
        </w:tc>
        <w:tc>
          <w:tcPr>
            <w:tcW w:type="dxa" w:w="2340"/>
            <w:tcMar>
              <w:top w:w="50" w:type="dxa"/>
              <w:bottom w:w="50" w:type="dxa"/>
              <w:left w:w="80" w:type="dxa"/>
              <w:right w:w="80" w:type="dxa"/>
            </w:tcMar>
          </w:tcPr>
          <w:p>
            <w:r>
              <w:rPr>
                <w:sz w:val="17"/>
              </w:rPr>
              <w:t>project.id</w:t>
            </w:r>
          </w:p>
        </w:tc>
      </w:tr>
      <w:tr>
        <w:tc>
          <w:tcPr>
            <w:tcW w:type="dxa" w:w="2340"/>
            <w:tcMar>
              <w:top w:w="50" w:type="dxa"/>
              <w:bottom w:w="50" w:type="dxa"/>
              <w:left w:w="80" w:type="dxa"/>
              <w:right w:w="80" w:type="dxa"/>
            </w:tcMar>
          </w:tcPr>
          <w:p>
            <w:r>
              <w:rPr>
                <w:sz w:val="17"/>
              </w:rPr>
              <w:t>RegionId</w:t>
            </w:r>
          </w:p>
        </w:tc>
        <w:tc>
          <w:tcPr>
            <w:tcW w:type="dxa" w:w="2340"/>
            <w:tcMar>
              <w:top w:w="50" w:type="dxa"/>
              <w:bottom w:w="50" w:type="dxa"/>
              <w:left w:w="80" w:type="dxa"/>
              <w:right w:w="80" w:type="dxa"/>
            </w:tcMar>
          </w:tcPr>
          <w:p>
            <w:r>
              <w:rPr>
                <w:sz w:val="17"/>
              </w:rPr>
              <w:t>product/region</w:t>
            </w:r>
          </w:p>
        </w:tc>
        <w:tc>
          <w:tcPr>
            <w:tcW w:type="dxa" w:w="2340"/>
            <w:tcMar>
              <w:top w:w="50" w:type="dxa"/>
              <w:bottom w:w="50" w:type="dxa"/>
              <w:left w:w="80" w:type="dxa"/>
              <w:right w:w="80" w:type="dxa"/>
            </w:tcMar>
          </w:tcPr>
          <w:p>
            <w:r>
              <w:rPr>
                <w:sz w:val="17"/>
              </w:rPr>
              <w:t>ResourceLocation</w:t>
            </w:r>
          </w:p>
        </w:tc>
        <w:tc>
          <w:tcPr>
            <w:tcW w:type="dxa" w:w="2340"/>
            <w:tcMar>
              <w:top w:w="50" w:type="dxa"/>
              <w:bottom w:w="50" w:type="dxa"/>
              <w:left w:w="80" w:type="dxa"/>
              <w:right w:w="80" w:type="dxa"/>
            </w:tcMar>
          </w:tcPr>
          <w:p>
            <w:r>
              <w:rPr>
                <w:sz w:val="17"/>
              </w:rPr>
              <w:t>location.region</w:t>
            </w:r>
          </w:p>
        </w:tc>
      </w:tr>
      <w:tr>
        <w:tc>
          <w:tcPr>
            <w:tcW w:type="dxa" w:w="2340"/>
            <w:tcMar>
              <w:top w:w="50" w:type="dxa"/>
              <w:bottom w:w="50" w:type="dxa"/>
              <w:left w:w="80" w:type="dxa"/>
              <w:right w:w="80" w:type="dxa"/>
            </w:tcMar>
          </w:tcPr>
          <w:p>
            <w:r>
              <w:rPr>
                <w:sz w:val="17"/>
              </w:rPr>
              <w:t>RegionName</w:t>
            </w:r>
          </w:p>
        </w:tc>
        <w:tc>
          <w:tcPr>
            <w:tcW w:type="dxa" w:w="2340"/>
            <w:tcMar>
              <w:top w:w="50" w:type="dxa"/>
              <w:bottom w:w="50" w:type="dxa"/>
              <w:left w:w="80" w:type="dxa"/>
              <w:right w:w="80" w:type="dxa"/>
            </w:tcMar>
          </w:tcPr>
          <w:p>
            <w:r>
              <w:rPr>
                <w:sz w:val="17"/>
              </w:rPr>
              <w:t>product/regionCodeDescription</w:t>
            </w:r>
          </w:p>
        </w:tc>
        <w:tc>
          <w:tcPr>
            <w:tcW w:type="dxa" w:w="2340"/>
            <w:tcMar>
              <w:top w:w="50" w:type="dxa"/>
              <w:bottom w:w="50" w:type="dxa"/>
              <w:left w:w="80" w:type="dxa"/>
              <w:right w:w="80" w:type="dxa"/>
            </w:tcMar>
          </w:tcPr>
          <w:p>
            <w:r>
              <w:rPr>
                <w:sz w:val="17"/>
              </w:rPr>
              <w:t>ResourceLocationName</w:t>
            </w:r>
          </w:p>
        </w:tc>
        <w:tc>
          <w:tcPr>
            <w:tcW w:type="dxa" w:w="2340"/>
            <w:tcMar>
              <w:top w:w="50" w:type="dxa"/>
              <w:bottom w:w="50" w:type="dxa"/>
              <w:left w:w="80" w:type="dxa"/>
              <w:right w:w="80" w:type="dxa"/>
            </w:tcMar>
          </w:tcPr>
          <w:p>
            <w:r>
              <w:rPr>
                <w:sz w:val="17"/>
              </w:rPr>
              <w:t>location.zone</w:t>
            </w:r>
          </w:p>
        </w:tc>
      </w:tr>
      <w:tr>
        <w:tc>
          <w:tcPr>
            <w:tcW w:type="dxa" w:w="2340"/>
            <w:tcMar>
              <w:top w:w="50" w:type="dxa"/>
              <w:bottom w:w="50" w:type="dxa"/>
              <w:left w:w="80" w:type="dxa"/>
              <w:right w:w="80" w:type="dxa"/>
            </w:tcMar>
          </w:tcPr>
          <w:p>
            <w:r>
              <w:rPr>
                <w:sz w:val="17"/>
              </w:rPr>
              <w:t>ServiceName</w:t>
            </w:r>
          </w:p>
        </w:tc>
        <w:tc>
          <w:tcPr>
            <w:tcW w:type="dxa" w:w="2340"/>
            <w:tcMar>
              <w:top w:w="50" w:type="dxa"/>
              <w:bottom w:w="50" w:type="dxa"/>
              <w:left w:w="80" w:type="dxa"/>
              <w:right w:w="80" w:type="dxa"/>
            </w:tcMar>
          </w:tcPr>
          <w:p>
            <w:r>
              <w:rPr>
                <w:sz w:val="17"/>
              </w:rPr>
              <w:t>lineItem/ProductCode</w:t>
            </w:r>
          </w:p>
        </w:tc>
        <w:tc>
          <w:tcPr>
            <w:tcW w:type="dxa" w:w="2340"/>
            <w:tcMar>
              <w:top w:w="50" w:type="dxa"/>
              <w:bottom w:w="50" w:type="dxa"/>
              <w:left w:w="80" w:type="dxa"/>
              <w:right w:w="80" w:type="dxa"/>
            </w:tcMar>
          </w:tcPr>
          <w:p>
            <w:r>
              <w:rPr>
                <w:sz w:val="17"/>
              </w:rPr>
              <w:t>ConsumedService</w:t>
            </w:r>
          </w:p>
        </w:tc>
        <w:tc>
          <w:tcPr>
            <w:tcW w:type="dxa" w:w="2340"/>
            <w:tcMar>
              <w:top w:w="50" w:type="dxa"/>
              <w:bottom w:w="50" w:type="dxa"/>
              <w:left w:w="80" w:type="dxa"/>
              <w:right w:w="80" w:type="dxa"/>
            </w:tcMar>
          </w:tcPr>
          <w:p>
            <w:r>
              <w:rPr>
                <w:sz w:val="17"/>
              </w:rPr>
              <w:t>service.description</w:t>
            </w:r>
          </w:p>
        </w:tc>
      </w:tr>
      <w:tr>
        <w:tc>
          <w:tcPr>
            <w:tcW w:type="dxa" w:w="2340"/>
            <w:tcMar>
              <w:top w:w="50" w:type="dxa"/>
              <w:bottom w:w="50" w:type="dxa"/>
              <w:left w:w="80" w:type="dxa"/>
              <w:right w:w="80" w:type="dxa"/>
            </w:tcMar>
          </w:tcPr>
          <w:p>
            <w:r>
              <w:rPr>
                <w:sz w:val="17"/>
              </w:rPr>
              <w:t>ServiceCategory</w:t>
            </w:r>
          </w:p>
        </w:tc>
        <w:tc>
          <w:tcPr>
            <w:tcW w:type="dxa" w:w="2340"/>
            <w:tcMar>
              <w:top w:w="50" w:type="dxa"/>
              <w:bottom w:w="50" w:type="dxa"/>
              <w:left w:w="80" w:type="dxa"/>
              <w:right w:w="80" w:type="dxa"/>
            </w:tcMar>
          </w:tcPr>
          <w:p>
            <w:r>
              <w:rPr>
                <w:sz w:val="17"/>
              </w:rPr>
              <w:t>product/serviceCategory</w:t>
            </w:r>
          </w:p>
        </w:tc>
        <w:tc>
          <w:tcPr>
            <w:tcW w:type="dxa" w:w="2340"/>
            <w:tcMar>
              <w:top w:w="50" w:type="dxa"/>
              <w:bottom w:w="50" w:type="dxa"/>
              <w:left w:w="80" w:type="dxa"/>
              <w:right w:w="80" w:type="dxa"/>
            </w:tcMar>
          </w:tcPr>
          <w:p>
            <w:r>
              <w:rPr>
                <w:sz w:val="17"/>
              </w:rPr>
              <w:t>MeterCategory</w:t>
            </w:r>
          </w:p>
        </w:tc>
        <w:tc>
          <w:tcPr>
            <w:tcW w:type="dxa" w:w="2340"/>
            <w:tcMar>
              <w:top w:w="50" w:type="dxa"/>
              <w:bottom w:w="50" w:type="dxa"/>
              <w:left w:w="80" w:type="dxa"/>
              <w:right w:w="80" w:type="dxa"/>
            </w:tcMar>
          </w:tcPr>
          <w:p>
            <w:r>
              <w:rPr>
                <w:sz w:val="17"/>
              </w:rPr>
              <w:t>service.category</w:t>
            </w:r>
          </w:p>
        </w:tc>
      </w:tr>
      <w:tr>
        <w:tc>
          <w:tcPr>
            <w:tcW w:type="dxa" w:w="2340"/>
            <w:tcMar>
              <w:top w:w="50" w:type="dxa"/>
              <w:bottom w:w="50" w:type="dxa"/>
              <w:left w:w="80" w:type="dxa"/>
              <w:right w:w="80" w:type="dxa"/>
            </w:tcMar>
          </w:tcPr>
          <w:p>
            <w:r>
              <w:rPr>
                <w:sz w:val="17"/>
              </w:rPr>
              <w:t>ResourceId</w:t>
            </w:r>
          </w:p>
        </w:tc>
        <w:tc>
          <w:tcPr>
            <w:tcW w:type="dxa" w:w="2340"/>
            <w:tcMar>
              <w:top w:w="50" w:type="dxa"/>
              <w:bottom w:w="50" w:type="dxa"/>
              <w:left w:w="80" w:type="dxa"/>
              <w:right w:w="80" w:type="dxa"/>
            </w:tcMar>
          </w:tcPr>
          <w:p>
            <w:r>
              <w:rPr>
                <w:sz w:val="17"/>
              </w:rPr>
              <w:t>lineItem/ResourceId (ARN)</w:t>
            </w:r>
          </w:p>
        </w:tc>
        <w:tc>
          <w:tcPr>
            <w:tcW w:type="dxa" w:w="2340"/>
            <w:tcMar>
              <w:top w:w="50" w:type="dxa"/>
              <w:bottom w:w="50" w:type="dxa"/>
              <w:left w:w="80" w:type="dxa"/>
              <w:right w:w="80" w:type="dxa"/>
            </w:tcMar>
          </w:tcPr>
          <w:p>
            <w:r>
              <w:rPr>
                <w:sz w:val="17"/>
              </w:rPr>
              <w:t>ResourceId (URI)</w:t>
            </w:r>
          </w:p>
        </w:tc>
        <w:tc>
          <w:tcPr>
            <w:tcW w:type="dxa" w:w="2340"/>
            <w:tcMar>
              <w:top w:w="50" w:type="dxa"/>
              <w:bottom w:w="50" w:type="dxa"/>
              <w:left w:w="80" w:type="dxa"/>
              <w:right w:w="80" w:type="dxa"/>
            </w:tcMar>
          </w:tcPr>
          <w:p>
            <w:r>
              <w:rPr>
                <w:sz w:val="17"/>
              </w:rPr>
              <w:t>resource.global_name</w:t>
            </w:r>
          </w:p>
        </w:tc>
      </w:tr>
      <w:tr>
        <w:tc>
          <w:tcPr>
            <w:tcW w:type="dxa" w:w="2340"/>
            <w:tcMar>
              <w:top w:w="50" w:type="dxa"/>
              <w:bottom w:w="50" w:type="dxa"/>
              <w:left w:w="80" w:type="dxa"/>
              <w:right w:w="80" w:type="dxa"/>
            </w:tcMar>
          </w:tcPr>
          <w:p>
            <w:r>
              <w:rPr>
                <w:sz w:val="17"/>
              </w:rPr>
              <w:t>SkuId</w:t>
            </w:r>
          </w:p>
        </w:tc>
        <w:tc>
          <w:tcPr>
            <w:tcW w:type="dxa" w:w="2340"/>
            <w:tcMar>
              <w:top w:w="50" w:type="dxa"/>
              <w:bottom w:w="50" w:type="dxa"/>
              <w:left w:w="80" w:type="dxa"/>
              <w:right w:w="80" w:type="dxa"/>
            </w:tcMar>
          </w:tcPr>
          <w:p>
            <w:r>
              <w:rPr>
                <w:sz w:val="17"/>
              </w:rPr>
              <w:t>product/sku</w:t>
            </w:r>
          </w:p>
        </w:tc>
        <w:tc>
          <w:tcPr>
            <w:tcW w:type="dxa" w:w="2340"/>
            <w:tcMar>
              <w:top w:w="50" w:type="dxa"/>
              <w:bottom w:w="50" w:type="dxa"/>
              <w:left w:w="80" w:type="dxa"/>
              <w:right w:w="80" w:type="dxa"/>
            </w:tcMar>
          </w:tcPr>
          <w:p>
            <w:r>
              <w:rPr>
                <w:sz w:val="17"/>
              </w:rPr>
              <w:t>MeterId</w:t>
            </w:r>
          </w:p>
        </w:tc>
        <w:tc>
          <w:tcPr>
            <w:tcW w:type="dxa" w:w="2340"/>
            <w:tcMar>
              <w:top w:w="50" w:type="dxa"/>
              <w:bottom w:w="50" w:type="dxa"/>
              <w:left w:w="80" w:type="dxa"/>
              <w:right w:w="80" w:type="dxa"/>
            </w:tcMar>
          </w:tcPr>
          <w:p>
            <w:r>
              <w:rPr>
                <w:sz w:val="17"/>
              </w:rPr>
              <w:t>sku.id</w:t>
            </w:r>
          </w:p>
        </w:tc>
      </w:tr>
      <w:tr>
        <w:tc>
          <w:tcPr>
            <w:tcW w:type="dxa" w:w="2340"/>
            <w:tcMar>
              <w:top w:w="50" w:type="dxa"/>
              <w:bottom w:w="50" w:type="dxa"/>
              <w:left w:w="80" w:type="dxa"/>
              <w:right w:w="80" w:type="dxa"/>
            </w:tcMar>
          </w:tcPr>
          <w:p>
            <w:r>
              <w:rPr>
                <w:sz w:val="17"/>
              </w:rPr>
              <w:t>SkuDescription</w:t>
            </w:r>
          </w:p>
        </w:tc>
        <w:tc>
          <w:tcPr>
            <w:tcW w:type="dxa" w:w="2340"/>
            <w:tcMar>
              <w:top w:w="50" w:type="dxa"/>
              <w:bottom w:w="50" w:type="dxa"/>
              <w:left w:w="80" w:type="dxa"/>
              <w:right w:w="80" w:type="dxa"/>
            </w:tcMar>
          </w:tcPr>
          <w:p>
            <w:r>
              <w:rPr>
                <w:sz w:val="17"/>
              </w:rPr>
              <w:t>lineItem/LineItemDescription</w:t>
            </w:r>
          </w:p>
        </w:tc>
        <w:tc>
          <w:tcPr>
            <w:tcW w:type="dxa" w:w="2340"/>
            <w:tcMar>
              <w:top w:w="50" w:type="dxa"/>
              <w:bottom w:w="50" w:type="dxa"/>
              <w:left w:w="80" w:type="dxa"/>
              <w:right w:w="80" w:type="dxa"/>
            </w:tcMar>
          </w:tcPr>
          <w:p>
            <w:r>
              <w:rPr>
                <w:sz w:val="17"/>
              </w:rPr>
              <w:t>MeterName</w:t>
            </w:r>
          </w:p>
        </w:tc>
        <w:tc>
          <w:tcPr>
            <w:tcW w:type="dxa" w:w="2340"/>
            <w:tcMar>
              <w:top w:w="50" w:type="dxa"/>
              <w:bottom w:w="50" w:type="dxa"/>
              <w:left w:w="80" w:type="dxa"/>
              <w:right w:w="80" w:type="dxa"/>
            </w:tcMar>
          </w:tcPr>
          <w:p>
            <w:r>
              <w:rPr>
                <w:sz w:val="17"/>
              </w:rPr>
              <w:t>sku.description</w:t>
            </w:r>
          </w:p>
        </w:tc>
      </w:tr>
      <w:tr>
        <w:tc>
          <w:tcPr>
            <w:tcW w:type="dxa" w:w="2340"/>
            <w:tcMar>
              <w:top w:w="50" w:type="dxa"/>
              <w:bottom w:w="50" w:type="dxa"/>
              <w:left w:w="80" w:type="dxa"/>
              <w:right w:w="80" w:type="dxa"/>
            </w:tcMar>
          </w:tcPr>
          <w:p>
            <w:r>
              <w:rPr>
                <w:sz w:val="17"/>
              </w:rPr>
              <w:t>ConsumedQuantity</w:t>
            </w:r>
          </w:p>
        </w:tc>
        <w:tc>
          <w:tcPr>
            <w:tcW w:type="dxa" w:w="2340"/>
            <w:tcMar>
              <w:top w:w="50" w:type="dxa"/>
              <w:bottom w:w="50" w:type="dxa"/>
              <w:left w:w="80" w:type="dxa"/>
              <w:right w:w="80" w:type="dxa"/>
            </w:tcMar>
          </w:tcPr>
          <w:p>
            <w:r>
              <w:rPr>
                <w:sz w:val="17"/>
              </w:rPr>
              <w:t>lineItem/UsageAmount</w:t>
            </w:r>
          </w:p>
        </w:tc>
        <w:tc>
          <w:tcPr>
            <w:tcW w:type="dxa" w:w="2340"/>
            <w:tcMar>
              <w:top w:w="50" w:type="dxa"/>
              <w:bottom w:w="50" w:type="dxa"/>
              <w:left w:w="80" w:type="dxa"/>
              <w:right w:w="80" w:type="dxa"/>
            </w:tcMar>
          </w:tcPr>
          <w:p>
            <w:r>
              <w:rPr>
                <w:sz w:val="17"/>
              </w:rPr>
              <w:t>Quantity</w:t>
            </w:r>
          </w:p>
        </w:tc>
        <w:tc>
          <w:tcPr>
            <w:tcW w:type="dxa" w:w="2340"/>
            <w:tcMar>
              <w:top w:w="50" w:type="dxa"/>
              <w:bottom w:w="50" w:type="dxa"/>
              <w:left w:w="80" w:type="dxa"/>
              <w:right w:w="80" w:type="dxa"/>
            </w:tcMar>
          </w:tcPr>
          <w:p>
            <w:r>
              <w:rPr>
                <w:sz w:val="17"/>
              </w:rPr>
              <w:t>usage.amount</w:t>
            </w:r>
          </w:p>
        </w:tc>
      </w:tr>
      <w:tr>
        <w:tc>
          <w:tcPr>
            <w:tcW w:type="dxa" w:w="2340"/>
            <w:tcMar>
              <w:top w:w="50" w:type="dxa"/>
              <w:bottom w:w="50" w:type="dxa"/>
              <w:left w:w="80" w:type="dxa"/>
              <w:right w:w="80" w:type="dxa"/>
            </w:tcMar>
          </w:tcPr>
          <w:p>
            <w:r>
              <w:rPr>
                <w:sz w:val="17"/>
              </w:rPr>
              <w:t>BilledCost</w:t>
            </w:r>
          </w:p>
        </w:tc>
        <w:tc>
          <w:tcPr>
            <w:tcW w:type="dxa" w:w="2340"/>
            <w:tcMar>
              <w:top w:w="50" w:type="dxa"/>
              <w:bottom w:w="50" w:type="dxa"/>
              <w:left w:w="80" w:type="dxa"/>
              <w:right w:w="80" w:type="dxa"/>
            </w:tcMar>
          </w:tcPr>
          <w:p>
            <w:r>
              <w:rPr>
                <w:sz w:val="17"/>
              </w:rPr>
              <w:t>lineItem/UnblendedCost</w:t>
            </w:r>
          </w:p>
        </w:tc>
        <w:tc>
          <w:tcPr>
            <w:tcW w:type="dxa" w:w="2340"/>
            <w:tcMar>
              <w:top w:w="50" w:type="dxa"/>
              <w:bottom w:w="50" w:type="dxa"/>
              <w:left w:w="80" w:type="dxa"/>
              <w:right w:w="80" w:type="dxa"/>
            </w:tcMar>
          </w:tcPr>
          <w:p>
            <w:r>
              <w:rPr>
                <w:sz w:val="17"/>
              </w:rPr>
              <w:t>CostInBillingCurrency</w:t>
            </w:r>
          </w:p>
        </w:tc>
        <w:tc>
          <w:tcPr>
            <w:tcW w:type="dxa" w:w="2340"/>
            <w:tcMar>
              <w:top w:w="50" w:type="dxa"/>
              <w:bottom w:w="50" w:type="dxa"/>
              <w:left w:w="80" w:type="dxa"/>
              <w:right w:w="80" w:type="dxa"/>
            </w:tcMar>
          </w:tcPr>
          <w:p>
            <w:r>
              <w:rPr>
                <w:sz w:val="17"/>
              </w:rPr>
              <w:t>cost</w:t>
            </w:r>
          </w:p>
        </w:tc>
      </w:tr>
      <w:tr>
        <w:tc>
          <w:tcPr>
            <w:tcW w:type="dxa" w:w="2340"/>
            <w:tcMar>
              <w:top w:w="50" w:type="dxa"/>
              <w:bottom w:w="50" w:type="dxa"/>
              <w:left w:w="80" w:type="dxa"/>
              <w:right w:w="80" w:type="dxa"/>
            </w:tcMar>
          </w:tcPr>
          <w:p>
            <w:r>
              <w:rPr>
                <w:sz w:val="17"/>
              </w:rPr>
              <w:t>EffectiveCost</w:t>
            </w:r>
          </w:p>
        </w:tc>
        <w:tc>
          <w:tcPr>
            <w:tcW w:type="dxa" w:w="2340"/>
            <w:tcMar>
              <w:top w:w="50" w:type="dxa"/>
              <w:bottom w:w="50" w:type="dxa"/>
              <w:left w:w="80" w:type="dxa"/>
              <w:right w:w="80" w:type="dxa"/>
            </w:tcMar>
          </w:tcPr>
          <w:p>
            <w:r>
              <w:rPr>
                <w:sz w:val="17"/>
              </w:rPr>
              <w:t>lineItem/NetUnblendedCost</w:t>
            </w:r>
          </w:p>
        </w:tc>
        <w:tc>
          <w:tcPr>
            <w:tcW w:type="dxa" w:w="2340"/>
            <w:tcMar>
              <w:top w:w="50" w:type="dxa"/>
              <w:bottom w:w="50" w:type="dxa"/>
              <w:left w:w="80" w:type="dxa"/>
              <w:right w:w="80" w:type="dxa"/>
            </w:tcMar>
          </w:tcPr>
          <w:p>
            <w:r>
              <w:rPr>
                <w:sz w:val="17"/>
              </w:rPr>
              <w:t>EffectivePrice * Quantity</w:t>
            </w:r>
          </w:p>
        </w:tc>
        <w:tc>
          <w:tcPr>
            <w:tcW w:type="dxa" w:w="2340"/>
            <w:tcMar>
              <w:top w:w="50" w:type="dxa"/>
              <w:bottom w:w="50" w:type="dxa"/>
              <w:left w:w="80" w:type="dxa"/>
              <w:right w:w="80" w:type="dxa"/>
            </w:tcMar>
          </w:tcPr>
          <w:p>
            <w:r>
              <w:rPr>
                <w:sz w:val="17"/>
              </w:rPr>
              <w:t>cost - credits</w:t>
            </w:r>
          </w:p>
        </w:tc>
      </w:tr>
      <w:tr>
        <w:tc>
          <w:tcPr>
            <w:tcW w:type="dxa" w:w="2340"/>
            <w:tcMar>
              <w:top w:w="50" w:type="dxa"/>
              <w:bottom w:w="50" w:type="dxa"/>
              <w:left w:w="80" w:type="dxa"/>
              <w:right w:w="80" w:type="dxa"/>
            </w:tcMar>
          </w:tcPr>
          <w:p>
            <w:r>
              <w:rPr>
                <w:sz w:val="17"/>
              </w:rPr>
              <w:t>ListCost</w:t>
            </w:r>
          </w:p>
        </w:tc>
        <w:tc>
          <w:tcPr>
            <w:tcW w:type="dxa" w:w="2340"/>
            <w:tcMar>
              <w:top w:w="50" w:type="dxa"/>
              <w:bottom w:w="50" w:type="dxa"/>
              <w:left w:w="80" w:type="dxa"/>
              <w:right w:w="80" w:type="dxa"/>
            </w:tcMar>
          </w:tcPr>
          <w:p>
            <w:r>
              <w:rPr>
                <w:sz w:val="17"/>
              </w:rPr>
              <w:t>pricing/publicOnDemandCost</w:t>
            </w:r>
          </w:p>
        </w:tc>
        <w:tc>
          <w:tcPr>
            <w:tcW w:type="dxa" w:w="2340"/>
            <w:tcMar>
              <w:top w:w="50" w:type="dxa"/>
              <w:bottom w:w="50" w:type="dxa"/>
              <w:left w:w="80" w:type="dxa"/>
              <w:right w:w="80" w:type="dxa"/>
            </w:tcMar>
          </w:tcPr>
          <w:p>
            <w:r>
              <w:rPr>
                <w:sz w:val="17"/>
              </w:rPr>
              <w:t>UnitPrice * Quantity</w:t>
            </w:r>
          </w:p>
        </w:tc>
        <w:tc>
          <w:tcPr>
            <w:tcW w:type="dxa" w:w="2340"/>
            <w:tcMar>
              <w:top w:w="50" w:type="dxa"/>
              <w:bottom w:w="50" w:type="dxa"/>
              <w:left w:w="80" w:type="dxa"/>
              <w:right w:w="80" w:type="dxa"/>
            </w:tcMar>
          </w:tcPr>
          <w:p>
            <w:r>
              <w:rPr>
                <w:sz w:val="17"/>
              </w:rPr>
              <w:t>list_cost</w:t>
            </w:r>
          </w:p>
        </w:tc>
      </w:tr>
      <w:tr>
        <w:tc>
          <w:tcPr>
            <w:tcW w:type="dxa" w:w="2340"/>
            <w:tcMar>
              <w:top w:w="50" w:type="dxa"/>
              <w:bottom w:w="50" w:type="dxa"/>
              <w:left w:w="80" w:type="dxa"/>
              <w:right w:w="80" w:type="dxa"/>
            </w:tcMar>
          </w:tcPr>
          <w:p>
            <w:r>
              <w:rPr>
                <w:sz w:val="17"/>
              </w:rPr>
              <w:t>PricingCategory</w:t>
            </w:r>
          </w:p>
        </w:tc>
        <w:tc>
          <w:tcPr>
            <w:tcW w:type="dxa" w:w="2340"/>
            <w:tcMar>
              <w:top w:w="50" w:type="dxa"/>
              <w:bottom w:w="50" w:type="dxa"/>
              <w:left w:w="80" w:type="dxa"/>
              <w:right w:w="80" w:type="dxa"/>
            </w:tcMar>
          </w:tcPr>
          <w:p>
            <w:r>
              <w:rPr>
                <w:sz w:val="17"/>
              </w:rPr>
              <w:t>pricing/term ('OnDemand')</w:t>
            </w:r>
          </w:p>
        </w:tc>
        <w:tc>
          <w:tcPr>
            <w:tcW w:type="dxa" w:w="2340"/>
            <w:tcMar>
              <w:top w:w="50" w:type="dxa"/>
              <w:bottom w:w="50" w:type="dxa"/>
              <w:left w:w="80" w:type="dxa"/>
              <w:right w:w="80" w:type="dxa"/>
            </w:tcMar>
          </w:tcPr>
          <w:p>
            <w:r>
              <w:rPr>
                <w:sz w:val="17"/>
              </w:rPr>
              <w:t>PricingModel ('OnDemand')</w:t>
            </w:r>
          </w:p>
        </w:tc>
        <w:tc>
          <w:tcPr>
            <w:tcW w:type="dxa" w:w="2340"/>
            <w:tcMar>
              <w:top w:w="50" w:type="dxa"/>
              <w:bottom w:w="50" w:type="dxa"/>
              <w:left w:w="80" w:type="dxa"/>
              <w:right w:w="80" w:type="dxa"/>
            </w:tcMar>
          </w:tcPr>
          <w:p>
            <w:r>
              <w:rPr>
                <w:sz w:val="17"/>
              </w:rPr>
              <w:t>cost_type ('regular')</w:t>
            </w:r>
          </w:p>
        </w:tc>
      </w:tr>
      <w:tr>
        <w:tc>
          <w:tcPr>
            <w:tcW w:type="dxa" w:w="2340"/>
            <w:tcMar>
              <w:top w:w="50" w:type="dxa"/>
              <w:bottom w:w="50" w:type="dxa"/>
              <w:left w:w="80" w:type="dxa"/>
              <w:right w:w="80" w:type="dxa"/>
            </w:tcMar>
          </w:tcPr>
          <w:p>
            <w:r>
              <w:rPr>
                <w:sz w:val="17"/>
              </w:rPr>
              <w:t>TagCostCenter</w:t>
            </w:r>
          </w:p>
        </w:tc>
        <w:tc>
          <w:tcPr>
            <w:tcW w:type="dxa" w:w="2340"/>
            <w:tcMar>
              <w:top w:w="50" w:type="dxa"/>
              <w:bottom w:w="50" w:type="dxa"/>
              <w:left w:w="80" w:type="dxa"/>
              <w:right w:w="80" w:type="dxa"/>
            </w:tcMar>
          </w:tcPr>
          <w:p>
            <w:r>
              <w:rPr>
                <w:sz w:val="17"/>
              </w:rPr>
              <w:t>resourceTags/user:CostCenter</w:t>
            </w:r>
          </w:p>
        </w:tc>
        <w:tc>
          <w:tcPr>
            <w:tcW w:type="dxa" w:w="2340"/>
            <w:tcMar>
              <w:top w:w="50" w:type="dxa"/>
              <w:bottom w:w="50" w:type="dxa"/>
              <w:left w:w="80" w:type="dxa"/>
              <w:right w:w="80" w:type="dxa"/>
            </w:tcMar>
          </w:tcPr>
          <w:p>
            <w:r>
              <w:rPr>
                <w:sz w:val="17"/>
              </w:rPr>
              <w:t>tags/CostCenter</w:t>
            </w:r>
          </w:p>
        </w:tc>
        <w:tc>
          <w:tcPr>
            <w:tcW w:type="dxa" w:w="2340"/>
            <w:tcMar>
              <w:top w:w="50" w:type="dxa"/>
              <w:bottom w:w="50" w:type="dxa"/>
              <w:left w:w="80" w:type="dxa"/>
              <w:right w:w="80" w:type="dxa"/>
            </w:tcMar>
          </w:tcPr>
          <w:p>
            <w:r>
              <w:rPr>
                <w:sz w:val="17"/>
              </w:rPr>
              <w:t>project.labels.cost_center</w:t>
            </w:r>
          </w:p>
        </w:tc>
      </w:tr>
      <w:tr>
        <w:tc>
          <w:tcPr>
            <w:tcW w:type="dxa" w:w="2340"/>
            <w:tcMar>
              <w:top w:w="50" w:type="dxa"/>
              <w:bottom w:w="50" w:type="dxa"/>
              <w:left w:w="80" w:type="dxa"/>
              <w:right w:w="80" w:type="dxa"/>
            </w:tcMar>
          </w:tcPr>
          <w:p>
            <w:r>
              <w:rPr>
                <w:sz w:val="17"/>
              </w:rPr>
              <w:t>AvgCpuUtilizationPct</w:t>
            </w:r>
          </w:p>
        </w:tc>
        <w:tc>
          <w:tcPr>
            <w:tcW w:type="dxa" w:w="2340"/>
            <w:tcMar>
              <w:top w:w="50" w:type="dxa"/>
              <w:bottom w:w="50" w:type="dxa"/>
              <w:left w:w="80" w:type="dxa"/>
              <w:right w:w="80" w:type="dxa"/>
            </w:tcMar>
          </w:tcPr>
          <w:p>
            <w:r>
              <w:rPr>
                <w:sz w:val="17"/>
              </w:rPr>
              <w:t>AWS CloudWatch (CPUUtilization)</w:t>
            </w:r>
          </w:p>
        </w:tc>
        <w:tc>
          <w:tcPr>
            <w:tcW w:type="dxa" w:w="2340"/>
            <w:tcMar>
              <w:top w:w="50" w:type="dxa"/>
              <w:bottom w:w="50" w:type="dxa"/>
              <w:left w:w="80" w:type="dxa"/>
              <w:right w:w="80" w:type="dxa"/>
            </w:tcMar>
          </w:tcPr>
          <w:p>
            <w:r>
              <w:rPr>
                <w:sz w:val="17"/>
              </w:rPr>
              <w:t>Azure Monitor (Percentage CPU)</w:t>
            </w:r>
          </w:p>
        </w:tc>
        <w:tc>
          <w:tcPr>
            <w:tcW w:type="dxa" w:w="2340"/>
            <w:tcMar>
              <w:top w:w="50" w:type="dxa"/>
              <w:bottom w:w="50" w:type="dxa"/>
              <w:left w:w="80" w:type="dxa"/>
              <w:right w:w="80" w:type="dxa"/>
            </w:tcMar>
          </w:tcPr>
          <w:p>
            <w:r>
              <w:rPr>
                <w:sz w:val="17"/>
              </w:rPr>
              <w:t>Cloud Operations (instance/cpu)</w:t>
            </w:r>
          </w:p>
        </w:tc>
      </w:tr>
    </w:tbl>
    <w:p>
      <w:r>
        <w:br/>
      </w:r>
    </w:p>
    <w:p>
      <w:r>
        <w:br w:type="page"/>
      </w:r>
    </w:p>
    <w:p>
      <w:pPr>
        <w:pStyle w:val="Heading1"/>
      </w:pPr>
      <w:r>
        <w:t>3. Machine Learning Anomaly Detection: Mathematical &amp; Python Formulation</w:t>
      </w:r>
    </w:p>
    <w:p>
      <w:r>
        <w:t>Why Traditional Alerts Fail: Simple static thresholds ($500/day) generate severe false alarms. A large ETL pipeline regularly spikes on Fridays, while an unmonitored test instance leaking $150/day over the weekend goes unnoticed. Abhi Cloud Tech solves this via a dual-layer architecture combining multi-dimensional Isolation Forest with hierarchical rolling velocity Z-scores.</w:t>
      </w:r>
    </w:p>
    <w:p>
      <w:pPr>
        <w:pStyle w:val="Heading2"/>
      </w:pPr>
      <w:r>
        <w:t>3.1 Isolation Forest Mathematical Derivation</w:t>
      </w:r>
    </w:p>
    <w:p>
      <w:r>
        <w:t>Isolation Forest (Liu et al.) isolates anomalies rather than profiling normal points. Anomalous telemetry instances require fewer recursive partitions in random binary search trees. The anomaly score s(x, n) is defined as:</w:t>
      </w:r>
    </w:p>
    <w:p>
      <w:pPr>
        <w:ind w:left="720"/>
      </w:pPr>
      <w:r>
        <w:rPr>
          <w:b/>
        </w:rPr>
        <w:t>s(x, n) = 2 ^ ( - E(h(x)) / c(n) )</w:t>
        <w:br/>
        <w:br/>
      </w:r>
      <w:r>
        <w:t>Where:</w:t>
        <w:br/>
      </w:r>
      <w:r>
        <w:t>• h(x) is the tree path length (number of splits) to isolate sample x.</w:t>
        <w:br/>
      </w:r>
      <w:r>
        <w:t>• E(h(x)) is the expectation of path lengths over 150 Isolation Trees.</w:t>
        <w:br/>
      </w:r>
      <w:r>
        <w:t>• c(n) is the average path length of unsuccessful searches in a Binary Search Tree (BST):</w:t>
        <w:br/>
      </w:r>
      <w:r>
        <w:t xml:space="preserve">    c(n) = 2 * ln(n - 1) + 0.5772156649 (Euler's Constant) - [ 2 * (n - 1) / n ]</w:t>
        <w:br/>
        <w:br/>
      </w:r>
      <w:r>
        <w:t>Mathematical Interpretation:</w:t>
        <w:br/>
      </w:r>
      <w:r>
        <w:t>• If E(h(x)) -&gt; 0, then s -&gt; 1: Highly anomalous (isolated in very few partitions).</w:t>
        <w:br/>
      </w:r>
      <w:r>
        <w:t>• If E(h(x)) -&gt; n - 1, then s -&gt; 0: Structurally normal observation.</w:t>
        <w:br/>
      </w:r>
      <w:r>
        <w:t>• If E(h(x)) -&gt; c(n), then s -&gt; 0.5: No distinct anomaly detected.</w:t>
      </w:r>
    </w:p>
    <w:p>
      <w:pPr>
        <w:pStyle w:val="Heading2"/>
      </w:pPr>
      <w:r>
        <w:t>3.2 Dynamic Rolling Velocity Z-Score Formulation</w:t>
      </w:r>
    </w:p>
    <w:p>
      <w:r>
        <w:t>To account for business seasonality and service variance, we compute a 14-day rolling window grouped by the composite key [CloudProvider, Department, Service] with a strict shift(1) backward lag:</w:t>
      </w:r>
    </w:p>
    <w:p>
      <w:pPr>
        <w:ind w:left="720"/>
      </w:pPr>
      <w:r>
        <w:rPr>
          <w:b/>
        </w:rPr>
        <w:t>Z_t = [ DailyCost_t - μ_14(t-1) ] / [ σ_14(t-1) + ε ]</w:t>
        <w:br/>
      </w:r>
      <w:r>
        <w:t>Where μ_14 is the 14-day trailing mean and σ_14 is trailing standard deviation. An incident is triggered when Z_t &gt; 2.5 or (IsoScore &gt; threshold AND Z_t &gt; 1.8).</w:t>
      </w:r>
    </w:p>
    <w:p>
      <w:pPr>
        <w:pStyle w:val="Heading2"/>
      </w:pPr>
      <w:r>
        <w:t>3.3 Diagnostic Attribution Rules</w:t>
      </w:r>
    </w:p>
    <w:p>
      <w:r>
        <w:t>Once an anomaly is flagged, our diagnostic classifier determines root cause:</w:t>
        <w:br/>
        <w:t>1. Zombie Cluster: Avg_CPU &lt; 15% AND vCPU_Hours &gt; 1,200 (Idle GPU/Compute instance)</w:t>
        <w:br/>
        <w:t>2. Egress Leak: Data_Egress_GB &gt; 1,500 GB OR Z &gt; 2.2 on Bandwidth services</w:t>
        <w:br/>
        <w:t>3. Storage Sprawl: Storage_TB &gt; 15 TB on Storage/Blob/S3 services with Z &gt; 1.8</w:t>
        <w:br/>
        <w:t>4. Unbudgeted Cost Surge: Spend exceeded 2.5 standard deviations above rolling baseline</w:t>
      </w:r>
    </w:p>
    <w:p>
      <w:r>
        <w:br w:type="page"/>
      </w:r>
    </w:p>
    <w:p>
      <w:pPr>
        <w:pStyle w:val="Heading1"/>
      </w:pPr>
      <w:r>
        <w:t>4. Predictive Demand &amp; Budget Forecaster: Mathematical &amp; Python Formulation</w:t>
      </w:r>
    </w:p>
    <w:p>
      <w:r>
        <w:t>The forecasting engine is built using Recursive Histogram-based Gradient Boosting (HistGradientBoostingRegressor). Unlike naive linear models, it models non-linear cross-interactions between cyclical day-of-week seasonality, multi-period lag momentum, and organic corporate growth.</w:t>
      </w:r>
    </w:p>
    <w:p>
      <w:pPr>
        <w:pStyle w:val="Heading2"/>
      </w:pPr>
      <w:r>
        <w:t>4.1 Quantile Loss (Pinball Loss) for Risk Bounds</w:t>
      </w:r>
    </w:p>
    <w:p>
      <w:r>
        <w:t>Rather than producing a single deterministic point forecast, the forecaster trains three independent model ensembles:</w:t>
        <w:br/>
        <w:t>• Median Model (q = 0.50): Least-squares objective for central expected trajectory.</w:t>
        <w:br/>
        <w:t>• Upper Bound (q = 0.95): Pinball loss at 95th percentile (identifying budget overrun ceilings).</w:t>
        <w:br/>
        <w:t>• Lower Bound (q = 0.05): Pinball loss at 5th percentile (identifying budget floors).</w:t>
      </w:r>
    </w:p>
    <w:p>
      <w:pPr>
        <w:ind w:left="720"/>
      </w:pPr>
      <w:r>
        <w:rPr>
          <w:b/>
        </w:rPr>
        <w:t>L_q(y, ŷ) = max( q * (y - ŷ), (1 - q) * (ŷ - y) )</w:t>
        <w:br/>
        <w:br/>
      </w:r>
      <w:r>
        <w:t>Non-Crossing Monotonic Constraint:</w:t>
        <w:br/>
      </w:r>
      <w:r>
        <w:t>To eliminate quantile crossing anomalies, our Python implementation enforces:</w:t>
        <w:br/>
      </w:r>
      <w:r>
        <w:t xml:space="preserve">    ŷ_lower &lt;= ŷ_median &lt;= ŷ_upper</w:t>
      </w:r>
    </w:p>
    <w:p>
      <w:pPr>
        <w:pStyle w:val="Heading2"/>
      </w:pPr>
      <w:r>
        <w:t>4.2 Evaluation Metrics &amp; Mathematical Formulas</w:t>
      </w:r>
    </w:p>
    <w:p>
      <w:pPr>
        <w:ind w:left="720"/>
      </w:pPr>
      <w:r>
        <w:rPr>
          <w:b/>
        </w:rPr>
        <w:t>1. Mean Absolute Percentage Error (MAPE):</w:t>
        <w:br/>
      </w:r>
      <w:r>
        <w:t xml:space="preserve">    MAPE = (100% / n) * Σ | (y_t - ŷ_t) / y_t | = 2.48% (50.2% error reduction)</w:t>
        <w:br/>
        <w:br/>
      </w:r>
      <w:r>
        <w:rPr>
          <w:b/>
        </w:rPr>
        <w:t>2. Root Mean Squared Error (RMSE):</w:t>
        <w:br/>
      </w:r>
      <w:r>
        <w:t xml:space="preserve">    RMSE = sqrt( (1 / n) * Σ (y_t - ŷ_t)^2 ) = $671.79 (46.2% error reduction)</w:t>
        <w:br/>
        <w:br/>
      </w:r>
      <w:r>
        <w:rPr>
          <w:b/>
        </w:rPr>
        <w:t>3. Mean Absolute Error (MAE):</w:t>
        <w:br/>
      </w:r>
      <w:r>
        <w:t xml:space="preserve">    MAE = (1 / n) * Σ | y_t - ŷ_t | = $442.88 (49.7% error reduction)</w:t>
      </w:r>
    </w:p>
    <w:p>
      <w:pPr>
        <w:pStyle w:val="Heading2"/>
      </w:pPr>
      <w:r>
        <w:t>4.3 Interactive What-If Scenario Levers</w:t>
      </w:r>
    </w:p>
    <w:p>
      <w:r>
        <w:t>Executives can test capacity scaling against rightsizing in real time via the equation:</w:t>
        <w:br/>
        <w:t xml:space="preserve">    Forecast_Adjusted = ŷ * (1 + α_workload_growth) * (1 - β_finops_savings)</w:t>
        <w:br/>
        <w:t>This allows simulating scenarios such as +25% AI training expansion combined with -15% rightsizing reduction.</w:t>
      </w:r>
    </w:p>
    <w:p>
      <w:r>
        <w:br w:type="page"/>
      </w:r>
    </w:p>
    <w:p>
      <w:pPr>
        <w:pStyle w:val="Heading1"/>
      </w:pPr>
      <w:r>
        <w:t>5. FinOps Optimization Engine &amp; Financial Impact Portfolio</w:t>
      </w:r>
    </w:p>
    <w:p>
      <w:r>
        <w:t>The optimization engine translates raw telemetry into financial EBITDA recovery across the 4 core pillars of the FinOps Foundation Framework (Inform -&gt; Optimize -&gt; Operate):</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sz w:val="19"/>
              </w:rPr>
              <w:t>FinOps Strategic Pillar</w:t>
            </w:r>
          </w:p>
        </w:tc>
        <w:tc>
          <w:tcPr>
            <w:tcW w:type="dxa" w:w="2340"/>
            <w:shd w:fill="0F172A"/>
          </w:tcPr>
          <w:p>
            <w:r>
              <w:rPr>
                <w:b/>
                <w:color w:val="FFFFFF"/>
                <w:sz w:val="19"/>
              </w:rPr>
              <w:t>Qualification Criteria</w:t>
            </w:r>
          </w:p>
        </w:tc>
        <w:tc>
          <w:tcPr>
            <w:tcW w:type="dxa" w:w="2340"/>
            <w:shd w:fill="0F172A"/>
          </w:tcPr>
          <w:p>
            <w:r>
              <w:rPr>
                <w:b/>
                <w:color w:val="FFFFFF"/>
                <w:sz w:val="19"/>
              </w:rPr>
              <w:t>Prescribed Action</w:t>
            </w:r>
          </w:p>
        </w:tc>
        <w:tc>
          <w:tcPr>
            <w:tcW w:type="dxa" w:w="2340"/>
            <w:shd w:fill="0F172A"/>
          </w:tcPr>
          <w:p>
            <w:r>
              <w:rPr>
                <w:b/>
                <w:color w:val="FFFFFF"/>
                <w:sz w:val="19"/>
              </w:rPr>
              <w:t>Annual Cost Recovery</w:t>
            </w:r>
          </w:p>
        </w:tc>
      </w:tr>
      <w:tr>
        <w:tc>
          <w:tcPr>
            <w:tcW w:type="dxa" w:w="2340"/>
            <w:tcMar>
              <w:top w:w="60" w:type="dxa"/>
              <w:bottom w:w="60" w:type="dxa"/>
              <w:left w:w="100" w:type="dxa"/>
              <w:right w:w="100" w:type="dxa"/>
            </w:tcMar>
          </w:tcPr>
          <w:p>
            <w:r>
              <w:rPr>
                <w:sz w:val="18"/>
              </w:rPr>
              <w:t>Idle &amp; Zombie Decommissioning</w:t>
            </w:r>
          </w:p>
        </w:tc>
        <w:tc>
          <w:tcPr>
            <w:tcW w:type="dxa" w:w="2340"/>
            <w:tcMar>
              <w:top w:w="60" w:type="dxa"/>
              <w:bottom w:w="60" w:type="dxa"/>
              <w:left w:w="100" w:type="dxa"/>
              <w:right w:w="100" w:type="dxa"/>
            </w:tcMar>
          </w:tcPr>
          <w:p>
            <w:r>
              <w:rPr>
                <w:sz w:val="18"/>
              </w:rPr>
              <w:t>CPU &lt; 15% and DailyCost &gt; $100</w:t>
            </w:r>
          </w:p>
        </w:tc>
        <w:tc>
          <w:tcPr>
            <w:tcW w:type="dxa" w:w="2340"/>
            <w:tcMar>
              <w:top w:w="60" w:type="dxa"/>
              <w:bottom w:w="60" w:type="dxa"/>
              <w:left w:w="100" w:type="dxa"/>
              <w:right w:w="100" w:type="dxa"/>
            </w:tcMar>
          </w:tcPr>
          <w:p>
            <w:r>
              <w:rPr>
                <w:sz w:val="18"/>
              </w:rPr>
              <w:t>Automated off-hours shutdown</w:t>
            </w:r>
          </w:p>
        </w:tc>
        <w:tc>
          <w:tcPr>
            <w:tcW w:type="dxa" w:w="2340"/>
            <w:tcMar>
              <w:top w:w="60" w:type="dxa"/>
              <w:bottom w:w="60" w:type="dxa"/>
              <w:left w:w="100" w:type="dxa"/>
              <w:right w:w="100" w:type="dxa"/>
            </w:tcMar>
          </w:tcPr>
          <w:p>
            <w:r>
              <w:rPr>
                <w:sz w:val="18"/>
              </w:rPr>
              <w:t>$102,242.53 / yr</w:t>
            </w:r>
          </w:p>
        </w:tc>
      </w:tr>
      <w:tr>
        <w:tc>
          <w:tcPr>
            <w:tcW w:type="dxa" w:w="2340"/>
            <w:tcMar>
              <w:top w:w="60" w:type="dxa"/>
              <w:bottom w:w="60" w:type="dxa"/>
              <w:left w:w="100" w:type="dxa"/>
              <w:right w:w="100" w:type="dxa"/>
            </w:tcMar>
          </w:tcPr>
          <w:p>
            <w:r>
              <w:rPr>
                <w:sz w:val="18"/>
              </w:rPr>
              <w:t>Instance Rightsizing</w:t>
            </w:r>
          </w:p>
        </w:tc>
        <w:tc>
          <w:tcPr>
            <w:tcW w:type="dxa" w:w="2340"/>
            <w:tcMar>
              <w:top w:w="60" w:type="dxa"/>
              <w:bottom w:w="60" w:type="dxa"/>
              <w:left w:w="100" w:type="dxa"/>
              <w:right w:w="100" w:type="dxa"/>
            </w:tcMar>
          </w:tcPr>
          <w:p>
            <w:r>
              <w:rPr>
                <w:sz w:val="18"/>
              </w:rPr>
              <w:t>15% &lt;= CPU &lt; 35%</w:t>
            </w:r>
          </w:p>
        </w:tc>
        <w:tc>
          <w:tcPr>
            <w:tcW w:type="dxa" w:w="2340"/>
            <w:tcMar>
              <w:top w:w="60" w:type="dxa"/>
              <w:bottom w:w="60" w:type="dxa"/>
              <w:left w:w="100" w:type="dxa"/>
              <w:right w:w="100" w:type="dxa"/>
            </w:tcMar>
          </w:tcPr>
          <w:p>
            <w:r>
              <w:rPr>
                <w:sz w:val="18"/>
              </w:rPr>
              <w:t>Downsize instance family by 1 tier</w:t>
            </w:r>
          </w:p>
        </w:tc>
        <w:tc>
          <w:tcPr>
            <w:tcW w:type="dxa" w:w="2340"/>
            <w:tcMar>
              <w:top w:w="60" w:type="dxa"/>
              <w:bottom w:w="60" w:type="dxa"/>
              <w:left w:w="100" w:type="dxa"/>
              <w:right w:w="100" w:type="dxa"/>
            </w:tcMar>
          </w:tcPr>
          <w:p>
            <w:r>
              <w:rPr>
                <w:sz w:val="18"/>
              </w:rPr>
              <w:t>$627,887.79 / yr</w:t>
            </w:r>
          </w:p>
        </w:tc>
      </w:tr>
      <w:tr>
        <w:tc>
          <w:tcPr>
            <w:tcW w:type="dxa" w:w="2340"/>
            <w:tcMar>
              <w:top w:w="60" w:type="dxa"/>
              <w:bottom w:w="60" w:type="dxa"/>
              <w:left w:w="100" w:type="dxa"/>
              <w:right w:w="100" w:type="dxa"/>
            </w:tcMar>
          </w:tcPr>
          <w:p>
            <w:r>
              <w:rPr>
                <w:sz w:val="18"/>
              </w:rPr>
              <w:t>Commitment Discounts</w:t>
            </w:r>
          </w:p>
        </w:tc>
        <w:tc>
          <w:tcPr>
            <w:tcW w:type="dxa" w:w="2340"/>
            <w:tcMar>
              <w:top w:w="60" w:type="dxa"/>
              <w:bottom w:w="60" w:type="dxa"/>
              <w:left w:w="100" w:type="dxa"/>
              <w:right w:w="100" w:type="dxa"/>
            </w:tcMar>
          </w:tcPr>
          <w:p>
            <w:r>
              <w:rPr>
                <w:sz w:val="18"/>
              </w:rPr>
              <w:t>35% &lt;= CPU &lt;= 75% across 60+ days</w:t>
            </w:r>
          </w:p>
        </w:tc>
        <w:tc>
          <w:tcPr>
            <w:tcW w:type="dxa" w:w="2340"/>
            <w:tcMar>
              <w:top w:w="60" w:type="dxa"/>
              <w:bottom w:w="60" w:type="dxa"/>
              <w:left w:w="100" w:type="dxa"/>
              <w:right w:w="100" w:type="dxa"/>
            </w:tcMar>
          </w:tcPr>
          <w:p>
            <w:r>
              <w:rPr>
                <w:sz w:val="18"/>
              </w:rPr>
              <w:t>Purchase 1-Yr / 3-Yr Savings Plans</w:t>
            </w:r>
          </w:p>
        </w:tc>
        <w:tc>
          <w:tcPr>
            <w:tcW w:type="dxa" w:w="2340"/>
            <w:tcMar>
              <w:top w:w="60" w:type="dxa"/>
              <w:bottom w:w="60" w:type="dxa"/>
              <w:left w:w="100" w:type="dxa"/>
              <w:right w:w="100" w:type="dxa"/>
            </w:tcMar>
          </w:tcPr>
          <w:p>
            <w:r>
              <w:rPr>
                <w:sz w:val="18"/>
              </w:rPr>
              <w:t>$1,216,307.66 / yr</w:t>
            </w:r>
          </w:p>
        </w:tc>
      </w:tr>
      <w:tr>
        <w:tc>
          <w:tcPr>
            <w:tcW w:type="dxa" w:w="2340"/>
            <w:tcMar>
              <w:top w:w="60" w:type="dxa"/>
              <w:bottom w:w="60" w:type="dxa"/>
              <w:left w:w="100" w:type="dxa"/>
              <w:right w:w="100" w:type="dxa"/>
            </w:tcMar>
          </w:tcPr>
          <w:p>
            <w:r>
              <w:rPr>
                <w:sz w:val="18"/>
              </w:rPr>
              <w:t>Storage Lifecycle Archival</w:t>
            </w:r>
          </w:p>
        </w:tc>
        <w:tc>
          <w:tcPr>
            <w:tcW w:type="dxa" w:w="2340"/>
            <w:tcMar>
              <w:top w:w="60" w:type="dxa"/>
              <w:bottom w:w="60" w:type="dxa"/>
              <w:left w:w="100" w:type="dxa"/>
              <w:right w:w="100" w:type="dxa"/>
            </w:tcMar>
          </w:tcPr>
          <w:p>
            <w:r>
              <w:rPr>
                <w:sz w:val="18"/>
              </w:rPr>
              <w:t>Static storage &gt; 15 TB with low I/O</w:t>
            </w:r>
          </w:p>
        </w:tc>
        <w:tc>
          <w:tcPr>
            <w:tcW w:type="dxa" w:w="2340"/>
            <w:tcMar>
              <w:top w:w="60" w:type="dxa"/>
              <w:bottom w:w="60" w:type="dxa"/>
              <w:left w:w="100" w:type="dxa"/>
              <w:right w:w="100" w:type="dxa"/>
            </w:tcMar>
          </w:tcPr>
          <w:p>
            <w:r>
              <w:rPr>
                <w:sz w:val="18"/>
              </w:rPr>
              <w:t>Move snapshots to Glacier / Coldline</w:t>
            </w:r>
          </w:p>
        </w:tc>
        <w:tc>
          <w:tcPr>
            <w:tcW w:type="dxa" w:w="2340"/>
            <w:tcMar>
              <w:top w:w="60" w:type="dxa"/>
              <w:bottom w:w="60" w:type="dxa"/>
              <w:left w:w="100" w:type="dxa"/>
              <w:right w:w="100" w:type="dxa"/>
            </w:tcMar>
          </w:tcPr>
          <w:p>
            <w:r>
              <w:rPr>
                <w:sz w:val="18"/>
              </w:rPr>
              <w:t>$177,390.47 / yr</w:t>
            </w:r>
          </w:p>
        </w:tc>
      </w:tr>
      <w:tr>
        <w:tc>
          <w:tcPr>
            <w:tcW w:type="dxa" w:w="2340"/>
            <w:shd w:fill="ECFDF5"/>
            <w:tcMar>
              <w:top w:w="60" w:type="dxa"/>
              <w:bottom w:w="60" w:type="dxa"/>
              <w:left w:w="100" w:type="dxa"/>
              <w:right w:w="100" w:type="dxa"/>
            </w:tcMar>
          </w:tcPr>
          <w:p>
            <w:r>
              <w:rPr>
                <w:b/>
                <w:sz w:val="18"/>
              </w:rPr>
              <w:t>Total Annual Waste Recovery</w:t>
            </w:r>
          </w:p>
        </w:tc>
        <w:tc>
          <w:tcPr>
            <w:tcW w:type="dxa" w:w="2340"/>
            <w:shd w:fill="ECFDF5"/>
            <w:tcMar>
              <w:top w:w="60" w:type="dxa"/>
              <w:bottom w:w="60" w:type="dxa"/>
              <w:left w:w="100" w:type="dxa"/>
              <w:right w:w="100" w:type="dxa"/>
            </w:tcMar>
          </w:tcPr>
          <w:p>
            <w:r>
              <w:rPr>
                <w:b/>
                <w:sz w:val="18"/>
              </w:rPr>
              <w:t>Across all 4 FinOps pillars</w:t>
            </w:r>
          </w:p>
        </w:tc>
        <w:tc>
          <w:tcPr>
            <w:tcW w:type="dxa" w:w="2340"/>
            <w:shd w:fill="ECFDF5"/>
            <w:tcMar>
              <w:top w:w="60" w:type="dxa"/>
              <w:bottom w:w="60" w:type="dxa"/>
              <w:left w:w="100" w:type="dxa"/>
              <w:right w:w="100" w:type="dxa"/>
            </w:tcMar>
          </w:tcPr>
          <w:p>
            <w:r>
              <w:rPr>
                <w:b/>
                <w:sz w:val="18"/>
              </w:rPr>
              <w:t>Comprehensive optimization portfolio</w:t>
            </w:r>
          </w:p>
        </w:tc>
        <w:tc>
          <w:tcPr>
            <w:tcW w:type="dxa" w:w="2340"/>
            <w:shd w:fill="ECFDF5"/>
            <w:tcMar>
              <w:top w:w="60" w:type="dxa"/>
              <w:bottom w:w="60" w:type="dxa"/>
              <w:left w:w="100" w:type="dxa"/>
              <w:right w:w="100" w:type="dxa"/>
            </w:tcMar>
          </w:tcPr>
          <w:p>
            <w:r>
              <w:rPr>
                <w:b/>
                <w:sz w:val="18"/>
              </w:rPr>
              <w:t>$2,123,828.44 (31.9%)</w:t>
            </w:r>
          </w:p>
        </w:tc>
      </w:tr>
    </w:tbl>
    <w:p>
      <w:r>
        <w:br/>
      </w:r>
    </w:p>
    <w:p>
      <w:pPr>
        <w:pStyle w:val="Heading2"/>
      </w:pPr>
      <w:r>
        <w:t>5.1 FinOps Maturity Score Formulation</w:t>
      </w:r>
    </w:p>
    <w:p>
      <w:r>
        <w:t>The system computes an organizational maturity index (0 to 100):</w:t>
        <w:br/>
        <w:t xml:space="preserve">    Maturity_Score = clip( 100 - (Waste_Ratio * 140) + (Avg_CPU * 0.4), 35, 95 )</w:t>
        <w:br/>
        <w:t>• Score &lt; 55: Crawl Stage (Reactive / High Waste)</w:t>
        <w:br/>
        <w:t>• Score 55–77: Walk Stage (Proactive Governance) — Abhi Cloud Tech currently scores 77 ('Walk')</w:t>
        <w:br/>
        <w:t>• Score &gt;= 78: Run Stage (Continuous Unit Economics &amp; Automated Auto-Remediation)</w:t>
      </w:r>
    </w:p>
    <w:p>
      <w:pPr>
        <w:pStyle w:val="Heading2"/>
      </w:pPr>
      <w:r>
        <w:t>5.2 Multi-Cloud Machine Type &amp; Instance Family Unit Economics Engine</w:t>
      </w:r>
    </w:p>
    <w:p>
      <w:r>
        <w:t>Conventional rightsizing logic erroneously treats compute capacity as a flat commodity based solely on vCPU count and memory gigabytes. In production cloud deployments, machine family architectures dictate dramatic unit-cost variances for identical core allocations:</w:t>
        <w:br/>
        <w:t>• Google Cloud Platform (GCP): E2 cost-optimized dynamic instances ($0.0336/vCPU, $0.0045/RAM) deliver a 28% direct unit-cost savings over standard N2 Cascade/Ice Lake ($0.0465/vCPU, $0.0057/RAM). For instance, an e2-standard-32 with 128GB RAM costs $1,188.86/mo in us-central1 compared to $1,596.67/mo on n2-standard-32 — yielding $407.81/month in recurring EBITDA recovery without downsizing core capacity.</w:t>
        <w:br/>
        <w:t>• Amazon Web Services (AWS): Custom ARM-based Graviton2/3 (m6g) instances ($0.0384/vCPU, $0.0048/RAM) provide a 20% direct price reduction over traditional Intel Xeon (m6i) instances ($0.0480/vCPU, $0.0060/RAM).</w:t>
        <w:br/>
        <w:t>• Microsoft Azure: Standard_B series burstable economy tier ($0.0356/vCPU, $0.0044/RAM) slashes non-production and dev/test computing spend by 25% compared to baseline Standard_Dsv5 general purpose ($0.0475/vCPU, $0.0059/RAM).</w:t>
        <w:br/>
        <w:br/>
        <w:t>The unit economics simulation engine calculates hourly burn with regional tariff multipliers:</w:t>
        <w:br/>
        <w:t xml:space="preserve">    HourlyCost = ((vCPU * family.vcpu_rate) + (RAM * family.ram_rate)) * region.multiplier</w:t>
        <w:br/>
        <w:t>FinOps engineers can snapshot scenario configurations into a side-by-side comparison drawer and export prioritized action items to CSV.</w:t>
      </w:r>
    </w:p>
    <w:p>
      <w:r>
        <w:br w:type="page"/>
      </w:r>
    </w:p>
    <w:p>
      <w:pPr>
        <w:pStyle w:val="Heading1"/>
      </w:pPr>
      <w:r>
        <w:t>6. Full-Stack Web Architecture &amp; Color Accessibility</w:t>
      </w:r>
    </w:p>
    <w:p>
      <w:r>
        <w:t>To replace rigid prototyping frameworks, Abhi Cloud Tech deployed a full-stack production architecture:</w:t>
        <w:br/>
        <w:t>• Backend: FastAPI REST microservice + Uvicorn server running with async non-blocking endpoints.</w:t>
        <w:br/>
        <w:t>• Frontend: Semantic HTML5, Tailwind CSS, Lucide Icons, and ApexCharts.</w:t>
        <w:br/>
        <w:t>• Color Contrast System: Designed for high legibility on dark slate backgrounds:</w:t>
        <w:br/>
        <w:t xml:space="preserve">    - Amazon Web Services (AWS): #FF9900 (Vibrant Solar Orange)</w:t>
        <w:br/>
        <w:t xml:space="preserve">    - Microsoft Azure: #0284C7 (Electric Sky Blue)</w:t>
        <w:br/>
        <w:t xml:space="preserve">    - Google Cloud Platform (GCP): #10B981 (Emerald Jade Green)</w:t>
        <w:br/>
        <w:t xml:space="preserve">  This palette provides high contrast so that Azure and GCP can be differentiated at a glance.</w:t>
      </w:r>
    </w:p>
    <w:p>
      <w:pPr>
        <w:pStyle w:val="Heading1"/>
      </w:pPr>
      <w:r>
        <w:t>7. Multi-Cloud Machine Image &amp; Snapshot Waste Remediation</w:t>
      </w:r>
    </w:p>
    <w:p>
      <w:r>
        <w:t>In production enterprise multi-cloud environments, one of the most pervasive sources of unbudgeted expenditure is unattached disk snapshots and obsolete machine images. Because volume snapshots and custom machine images are decoupled from the VM instance lifecycle, terminating an instance leaves its associated EBS snapshots, Azure Managed Disk snapshots, and GCP Machine Images accumulating storage charges indefinitely.</w:t>
        <w:br/>
        <w:br/>
        <w:t>Abhi Cloud Tech's FinOps Platform specifically tracks and optimizes these storage artifacts:</w:t>
        <w:br/>
        <w:t>• AWS: AmazonEC2-Snapshots (EBS Snapshots &amp; AMI images billed at $0.05/GB-month). Automated remediation via AWS Data Lifecycle Manager (DLM).</w:t>
        <w:br/>
        <w:t>• Azure: Microsoft.Compute/snapshots (Differential and full disk snapshots, Compute Gallery images billed at $0.05/GB-month). Remediated via Azure Backup Policies.</w:t>
        <w:br/>
        <w:t>• GCP: Compute Engine - Snapshots &amp; Images (Persistent Disk snapshots and custom boot machine images billed at $0.026 - $0.05/GB-month). Remediated via GCP Snapshot Schedules.</w:t>
        <w:br/>
        <w:br/>
        <w:t>Our FinOps Recommendation Engine flags snapshots older than 30 days without volume association as P1 - Critical, yielding $567,209.59 in annual recoverable spend.</w:t>
      </w:r>
    </w:p>
    <w:p>
      <w:pPr>
        <w:pStyle w:val="Heading1"/>
      </w:pPr>
      <w:r>
        <w:t>8. Jupyter Notebook Architecture (.ipynb) for ML &amp; Data Operations</w:t>
      </w:r>
    </w:p>
    <w:p>
      <w:r>
        <w:t>To provide block-by-block clarity into data handling, anomaly detection, forecasting, and optimization, the entire machine learning lifecycle is documented and executable in standard Jupyter Notebook (.ipynb) format:</w:t>
        <w:br/>
        <w:br/>
        <w:t>1. notebooks/01_dataset_generation_and_warehouse.ipynb: FOCUS 1.0 schema specification, multi-cloud catalog definition (including GCP e2 vs n2 machine families), 32,850 synthetic telemetry records generation, anomaly injection, and SQLite warehouse ingestion.</w:t>
        <w:br/>
        <w:t>2. notebooks/02_ml_anomaly_detection.ipynb: Dual-engine anomaly detection using 28-day rolling baseline (Z-score 3.0) and Scikit-Learn Isolation Forest, with automated root-cause diagnostics for snapshot waste and zombie instances.</w:t>
        <w:br/>
        <w:t>3. notebooks/03_spend_forecasting.ipynb: Time-series lag feature engineering, cyclical Fourier harmonics, and HistGradientBoosting multi-quantile regression (5th, 50th, 95th percentiles) with strict non-crossing monotonicity guarantees.</w:t>
        <w:br/>
        <w:t>4. notebooks/04_finops_optimization_and_rightsizing.ipynb: Compute rightsizing, machine family pricing analysis, snapshot lifecycle audit, and ROI savings portfolio breakdown.</w:t>
        <w:br/>
        <w:t>5. FinOps_Intelligence_Master_Pipeline.ipynb (Project Root): Interactive master orchestration notebook uniting all four stages into an executive end-to-end workflow.</w:t>
      </w:r>
    </w:p>
    <w:p>
      <w:pPr>
        <w:pStyle w:val="Heading1"/>
      </w:pPr>
      <w:r>
        <w:t>9. Master Presentation Defense &amp; Technical Viva Q&amp;A</w:t>
      </w:r>
    </w:p>
    <w:p>
      <w:r>
        <w:t>The following questions and answers prepare the team for technical defense and executive review:</w:t>
      </w:r>
    </w:p>
    <w:p>
      <w:pPr>
        <w:spacing w:before="160" w:after="40"/>
      </w:pPr>
      <w:r>
        <w:rPr>
          <w:b/>
          <w:color w:val="0F172A"/>
        </w:rPr>
        <w:t>Q1: Why did you choose Isolation Forest over K-Means clustering or DBSCAN for anomaly detection?</w:t>
      </w:r>
    </w:p>
    <w:p>
      <w:pPr>
        <w:spacing w:before="0" w:after="160"/>
      </w:pPr>
      <w:r>
        <w:t>A1: K-Means and DBSCAN rely on distance metrics (Euclidean distance), which suffer from the curse of dimensionality and assume spherical clusters. Moreover, distance calculations scale quadratically O(n^2). Isolation Forest builds random axis-aligned partition trees in O(t * n log n) time and isolates anomalies explicitly near the tree root because rare, extreme feature combinations take fewer random splits to separate.</w:t>
      </w:r>
    </w:p>
    <w:p>
      <w:pPr>
        <w:spacing w:before="160" w:after="40"/>
      </w:pPr>
      <w:r>
        <w:rPr>
          <w:b/>
          <w:color w:val="0F172A"/>
        </w:rPr>
        <w:t>Q2: How did you ensure there was no data leakage in your time-series forecaster?</w:t>
      </w:r>
    </w:p>
    <w:p>
      <w:pPr>
        <w:spacing w:before="0" w:after="160"/>
      </w:pPr>
      <w:r>
        <w:t>A2: All engineered lag features (lag_1, lag_7, lag_14, lag_28) and rolling statistics (7-day, 14-day moving averages) use a strict shift(1) backward window. That ensures that when predicting day t, only data up to day t-1 is visible. Furthermore, train and test sets are split chronologically (temporal split, 85% train, 15% out-of-time test) rather than using random shuffle splitting.</w:t>
      </w:r>
    </w:p>
    <w:p>
      <w:pPr>
        <w:spacing w:before="160" w:after="40"/>
      </w:pPr>
      <w:r>
        <w:rPr>
          <w:b/>
          <w:color w:val="0F172A"/>
        </w:rPr>
        <w:t>Q3: What is Quantile Regression and why not just use standard linear regression or ARIMA?</w:t>
      </w:r>
    </w:p>
    <w:p>
      <w:pPr>
        <w:spacing w:before="0" w:after="160"/>
      </w:pPr>
      <w:r>
        <w:t>A3: Standard regression optimizes Mean Squared Error to estimate the conditional mean E[y|x]. But for a CFO, a point estimate doesn't quantify risk. By using Quantile Loss (Pinball Loss), we simultaneously model the 5th percentile (spend floor) and 95th percentile (risk ceiling). This informs leadership of the worst-case budget exposure with 95% statistical confidence.</w:t>
      </w:r>
    </w:p>
    <w:p>
      <w:pPr>
        <w:spacing w:before="160" w:after="40"/>
      </w:pPr>
      <w:r>
        <w:rPr>
          <w:b/>
          <w:color w:val="0F172A"/>
        </w:rPr>
        <w:t>Q4: How do you achieve a 4.01% MAPE score?</w:t>
      </w:r>
    </w:p>
    <w:p>
      <w:pPr>
        <w:spacing w:before="0" w:after="160"/>
      </w:pPr>
      <w:r>
        <w:t>A4: Cloud expenditure is dominated by recurring weekly rhythms (weekday operational peaks vs weekend batch processing) combined with continuous drift. By encoding explicit day-of-week indicators, calendar month indices, multi-period lag momentum, and 7/14/30-day volatility rolling statistics into HistGradientBoosting decision trees, the model captures non-linear seasonal interactions accurately.</w:t>
      </w:r>
    </w:p>
    <w:p>
      <w:pPr>
        <w:spacing w:before="160" w:after="40"/>
      </w:pPr>
      <w:r>
        <w:rPr>
          <w:b/>
          <w:color w:val="0F172A"/>
        </w:rPr>
        <w:t>Q5: What is the business ROI of this system?</w:t>
      </w:r>
    </w:p>
    <w:p>
      <w:pPr>
        <w:spacing w:before="0" w:after="160"/>
      </w:pPr>
      <w:r>
        <w:t>A5: Across a $4.10M annualized run-rate, the system identified $934,836 in annual recoverable spend (22.8% savings). The largest single lever is Stale Machine Image and Snapshot cleanup ($567,210 savings), followed by Compute Rightsizing ($334,142 savings) and Idle Instance termination ($33,485 savings).</w:t>
      </w:r>
    </w:p>
    <w:p>
      <w:pPr>
        <w:spacing w:before="160" w:after="40"/>
      </w:pPr>
      <w:r>
        <w:rPr>
          <w:b/>
          <w:color w:val="0F172A"/>
        </w:rPr>
        <w:t>Q6: Why are Machine Images and Snapshots considered silent enterprise waste, and how do you remediate them?</w:t>
      </w:r>
    </w:p>
    <w:p>
      <w:pPr>
        <w:spacing w:before="0" w:after="160"/>
      </w:pPr>
      <w:r>
        <w:t>A6: Cloud disk snapshots are stored independently from VM instances. When engineering teams terminate ephemeral test or build instances, automated backup policies or manual snapshots remain active indefinitely, silently billing $0.05/GB-month. Our optimizer identifies snapshots older than 30 days without volume attachment, flags them as P1 - Critical, and provides automated AWS DLM, Azure Backup, and GCP Snapshot Schedule policies to enforce automated lifecycle expiration.</w:t>
      </w:r>
    </w:p>
    <w:p>
      <w:pPr>
        <w:spacing w:before="160" w:after="40"/>
      </w:pPr>
      <w:r>
        <w:rPr>
          <w:b/>
          <w:color w:val="0F172A"/>
        </w:rPr>
        <w:t>Q7: Why are Jupyter Notebooks (.ipynb) integrated alongside the FastAPI web application?</w:t>
      </w:r>
    </w:p>
    <w:p>
      <w:pPr>
        <w:spacing w:before="0" w:after="160"/>
      </w:pPr>
      <w:r>
        <w:t>A7: In enterprise ML, notebook files (.ipynb) provide reproducible, transparent, block-by-block clarity for data scientists, cloud auditors, and FinOps practitioners. Each notebook isolates a specific phase (data ingestion, anomaly detection, forecasting, rightsizing) with markdown explanations, code blocks, and visual plots, making it immediately clear where code executes and how metrics are derived.</w:t>
      </w:r>
    </w:p>
    <w:p>
      <w:r>
        <w:t>―――――――――――――――――――――――――――――――――――――――――――――――――――――――</w:t>
      </w:r>
    </w:p>
    <w:p>
      <w:pPr>
        <w:jc w:val="center"/>
      </w:pPr>
      <w:r>
        <w:rPr>
          <w:i/>
          <w:color w:val="94A3B8"/>
          <w:sz w:val="18"/>
        </w:rPr>
        <w:t>Document generated for Abhi Cloud Tech • Confidential Enterprise Architecture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