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284C7"/>
          <w:sz w:val="20"/>
        </w:rPr>
        <w:t>ENTERPRISE CLOUD MACHINE LEARNING &amp; FINOPS PLATFORM</w:t>
      </w:r>
    </w:p>
    <w:p>
      <w:pPr>
        <w:spacing w:before="0" w:after="200"/>
      </w:pPr>
      <w:r>
        <w:rPr>
          <w:b/>
          <w:color w:val="0F172A"/>
          <w:sz w:val="48"/>
        </w:rPr>
        <w:t>Abhi Cloud Tech: Production Telemetry Anomaly Detection, Demand Forecasting &amp; FinOps Governance</w:t>
      </w:r>
    </w:p>
    <w:p>
      <w:pPr>
        <w:spacing w:after="480"/>
      </w:pPr>
      <w:r>
        <w:rPr>
          <w:b/>
        </w:rPr>
        <w:t xml:space="preserve">Lead System Architect &amp; Founder: </w:t>
      </w:r>
      <w:r>
        <w:t>Abhishek (Abhi Cloud Tech)</w:t>
        <w:br/>
      </w:r>
      <w:r>
        <w:rPr>
          <w:b/>
        </w:rPr>
        <w:t xml:space="preserve">Infrastructure Scope: </w:t>
      </w:r>
      <w:r>
        <w:t>AWS, Microsoft Azure, Google Cloud Platform (GCP)</w:t>
        <w:br/>
      </w:r>
      <w:r>
        <w:rPr>
          <w:b/>
        </w:rPr>
        <w:t xml:space="preserve">System Classification: </w:t>
      </w:r>
      <w:r>
        <w:t>Production Machine Learning Microservice &amp; Full-Stack Control Plane</w:t>
        <w:br/>
      </w:r>
      <w:r>
        <w:rPr>
          <w:b/>
        </w:rPr>
        <w:t xml:space="preserve">Evaluation Benchmarks: </w:t>
      </w:r>
      <w:r>
        <w:t>MAPE: 4.87% | RMSE: $1,573 | Annual Cost Waste Recovery: $2,752,739 (32.9%)</w:t>
      </w:r>
    </w:p>
    <w:p>
      <w:r>
        <w:t>―――――――――――――――――――――――――――――――――――――――――――――――――――――――</w:t>
      </w:r>
    </w:p>
    <w:p>
      <w:pPr>
        <w:pStyle w:val="Heading1"/>
      </w:pPr>
      <w:r>
        <w:t>1. Executive Summary &amp; Enterprise Problem Context</w:t>
      </w:r>
    </w:p>
    <w:p>
      <w:r>
        <w:t>Abhi Cloud Tech is an enterprise running 100% of its microservices, AI/ML research pipelines, and data streaming clusters across Amazon Web Services (AWS), Microsoft Azure, and Google Cloud Platform (GCP). As workload demand scaled, the organization faced an annualized cloud run-rate exceeding $8.34 Million USD. More critically, decentralized procurement and asynchronous auto-scaling led to an estimated 32.9% in cloud waste—specifically from unmonitored zombie GPU clusters, runaway internet egress, and orphan storage volumes.</w:t>
      </w:r>
    </w:p>
    <w:p>
      <w:r>
        <w:t>To solve this, Abhi Cloud Tech engineered an autonomous Machine Learning FinOps Control Plane. The system standardizes multi-cloud telemetry, deploys dual-layer unsupervised anomaly detection within 24 hours, generates probabilistic 30/60/90-day spend forecasts using Quantile Gradient Boosting (achieving 4.87% MAPE), and prescribes automated engineering rightsizing actions.</w:t>
      </w:r>
    </w:p>
    <w:p>
      <w:pPr>
        <w:pStyle w:val="Heading1"/>
      </w:pPr>
      <w:r>
        <w:t>2. Multi-Cloud Telemetry Dataset &amp; Feature Architecture</w:t>
      </w:r>
    </w:p>
    <w:p>
      <w:r>
        <w:t>The system ingests 27,375 records spanning 365 days of continuous operations. Every record captures resource consumption and billing for 3 cloud providers across 5 corporate divisions.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Column Name</w:t>
            </w:r>
          </w:p>
        </w:tc>
        <w:tc>
          <w:tcPr>
            <w:tcW w:type="dxa" w:w="2340"/>
            <w:shd w:fill="0F172A"/>
          </w:tcPr>
          <w:p>
            <w:r>
              <w:rPr>
                <w:b/>
                <w:color w:val="FFFFFF"/>
                <w:sz w:val="19"/>
              </w:rPr>
              <w:t>Data Type</w:t>
            </w:r>
          </w:p>
        </w:tc>
        <w:tc>
          <w:tcPr>
            <w:tcW w:type="dxa" w:w="2340"/>
            <w:shd w:fill="0F172A"/>
          </w:tcPr>
          <w:p>
            <w:r>
              <w:rPr>
                <w:b/>
                <w:color w:val="FFFFFF"/>
                <w:sz w:val="19"/>
              </w:rPr>
              <w:t>Source / Calculation</w:t>
            </w:r>
          </w:p>
        </w:tc>
        <w:tc>
          <w:tcPr>
            <w:tcW w:type="dxa" w:w="2340"/>
            <w:shd w:fill="0F172A"/>
          </w:tcPr>
          <w:p>
            <w:r>
              <w:rPr>
                <w:b/>
                <w:color w:val="FFFFFF"/>
                <w:sz w:val="19"/>
              </w:rPr>
              <w:t>Business &amp; ML Purpose</w:t>
            </w:r>
          </w:p>
        </w:tc>
      </w:tr>
      <w:tr>
        <w:tc>
          <w:tcPr>
            <w:tcW w:type="dxa" w:w="2340"/>
            <w:tcMar>
              <w:top w:w="60" w:type="dxa"/>
              <w:bottom w:w="60" w:type="dxa"/>
              <w:left w:w="100" w:type="dxa"/>
              <w:right w:w="100" w:type="dxa"/>
            </w:tcMar>
          </w:tcPr>
          <w:p>
            <w:r>
              <w:rPr>
                <w:sz w:val="18"/>
              </w:rPr>
              <w:t>Date</w:t>
            </w:r>
          </w:p>
        </w:tc>
        <w:tc>
          <w:tcPr>
            <w:tcW w:type="dxa" w:w="2340"/>
            <w:tcMar>
              <w:top w:w="60" w:type="dxa"/>
              <w:bottom w:w="60" w:type="dxa"/>
              <w:left w:w="100" w:type="dxa"/>
              <w:right w:w="100" w:type="dxa"/>
            </w:tcMar>
          </w:tcPr>
          <w:p>
            <w:r>
              <w:rPr>
                <w:sz w:val="18"/>
              </w:rPr>
              <w:t>string (YYYY-MM-DD)</w:t>
            </w:r>
          </w:p>
        </w:tc>
        <w:tc>
          <w:tcPr>
            <w:tcW w:type="dxa" w:w="2340"/>
            <w:tcMar>
              <w:top w:w="60" w:type="dxa"/>
              <w:bottom w:w="60" w:type="dxa"/>
              <w:left w:w="100" w:type="dxa"/>
              <w:right w:w="100" w:type="dxa"/>
            </w:tcMar>
          </w:tcPr>
          <w:p>
            <w:r>
              <w:rPr>
                <w:sz w:val="18"/>
              </w:rPr>
              <w:t>Time index (365 days)</w:t>
            </w:r>
          </w:p>
        </w:tc>
        <w:tc>
          <w:tcPr>
            <w:tcW w:type="dxa" w:w="2340"/>
            <w:tcMar>
              <w:top w:w="60" w:type="dxa"/>
              <w:bottom w:w="60" w:type="dxa"/>
              <w:left w:w="100" w:type="dxa"/>
              <w:right w:w="100" w:type="dxa"/>
            </w:tcMar>
          </w:tcPr>
          <w:p>
            <w:r>
              <w:rPr>
                <w:sz w:val="18"/>
              </w:rPr>
              <w:t>Temporal ordering for moving averages &amp; lags</w:t>
            </w:r>
          </w:p>
        </w:tc>
      </w:tr>
      <w:tr>
        <w:tc>
          <w:tcPr>
            <w:tcW w:type="dxa" w:w="2340"/>
            <w:tcMar>
              <w:top w:w="60" w:type="dxa"/>
              <w:bottom w:w="60" w:type="dxa"/>
              <w:left w:w="100" w:type="dxa"/>
              <w:right w:w="100" w:type="dxa"/>
            </w:tcMar>
          </w:tcPr>
          <w:p>
            <w:r>
              <w:rPr>
                <w:sz w:val="18"/>
              </w:rPr>
              <w:t>CloudProvider</w:t>
            </w:r>
          </w:p>
        </w:tc>
        <w:tc>
          <w:tcPr>
            <w:tcW w:type="dxa" w:w="2340"/>
            <w:tcMar>
              <w:top w:w="60" w:type="dxa"/>
              <w:bottom w:w="60" w:type="dxa"/>
              <w:left w:w="100" w:type="dxa"/>
              <w:right w:w="100" w:type="dxa"/>
            </w:tcMar>
          </w:tcPr>
          <w:p>
            <w:r>
              <w:rPr>
                <w:sz w:val="18"/>
              </w:rPr>
              <w:t>categorical</w:t>
            </w:r>
          </w:p>
        </w:tc>
        <w:tc>
          <w:tcPr>
            <w:tcW w:type="dxa" w:w="2340"/>
            <w:tcMar>
              <w:top w:w="60" w:type="dxa"/>
              <w:bottom w:w="60" w:type="dxa"/>
              <w:left w:w="100" w:type="dxa"/>
              <w:right w:w="100" w:type="dxa"/>
            </w:tcMar>
          </w:tcPr>
          <w:p>
            <w:r>
              <w:rPr>
                <w:sz w:val="18"/>
              </w:rPr>
              <w:t>AWS, Azure, GCP</w:t>
            </w:r>
          </w:p>
        </w:tc>
        <w:tc>
          <w:tcPr>
            <w:tcW w:type="dxa" w:w="2340"/>
            <w:tcMar>
              <w:top w:w="60" w:type="dxa"/>
              <w:bottom w:w="60" w:type="dxa"/>
              <w:left w:w="100" w:type="dxa"/>
              <w:right w:w="100" w:type="dxa"/>
            </w:tcMar>
          </w:tcPr>
          <w:p>
            <w:r>
              <w:rPr>
                <w:sz w:val="18"/>
              </w:rPr>
              <w:t>Vendor attribution and multi-cloud split</w:t>
            </w:r>
          </w:p>
        </w:tc>
      </w:tr>
      <w:tr>
        <w:tc>
          <w:tcPr>
            <w:tcW w:type="dxa" w:w="2340"/>
            <w:tcMar>
              <w:top w:w="60" w:type="dxa"/>
              <w:bottom w:w="60" w:type="dxa"/>
              <w:left w:w="100" w:type="dxa"/>
              <w:right w:w="100" w:type="dxa"/>
            </w:tcMar>
          </w:tcPr>
          <w:p>
            <w:r>
              <w:rPr>
                <w:sz w:val="18"/>
              </w:rPr>
              <w:t>Department</w:t>
            </w:r>
          </w:p>
        </w:tc>
        <w:tc>
          <w:tcPr>
            <w:tcW w:type="dxa" w:w="2340"/>
            <w:tcMar>
              <w:top w:w="60" w:type="dxa"/>
              <w:bottom w:w="60" w:type="dxa"/>
              <w:left w:w="100" w:type="dxa"/>
              <w:right w:w="100" w:type="dxa"/>
            </w:tcMar>
          </w:tcPr>
          <w:p>
            <w:r>
              <w:rPr>
                <w:sz w:val="18"/>
              </w:rPr>
              <w:t>categorical</w:t>
            </w:r>
          </w:p>
        </w:tc>
        <w:tc>
          <w:tcPr>
            <w:tcW w:type="dxa" w:w="2340"/>
            <w:tcMar>
              <w:top w:w="60" w:type="dxa"/>
              <w:bottom w:w="60" w:type="dxa"/>
              <w:left w:w="100" w:type="dxa"/>
              <w:right w:w="100" w:type="dxa"/>
            </w:tcMar>
          </w:tcPr>
          <w:p>
            <w:r>
              <w:rPr>
                <w:sz w:val="18"/>
              </w:rPr>
              <w:t>5 Cost Centers</w:t>
            </w:r>
          </w:p>
        </w:tc>
        <w:tc>
          <w:tcPr>
            <w:tcW w:type="dxa" w:w="2340"/>
            <w:tcMar>
              <w:top w:w="60" w:type="dxa"/>
              <w:bottom w:w="60" w:type="dxa"/>
              <w:left w:w="100" w:type="dxa"/>
              <w:right w:w="100" w:type="dxa"/>
            </w:tcMar>
          </w:tcPr>
          <w:p>
            <w:r>
              <w:rPr>
                <w:sz w:val="18"/>
              </w:rPr>
              <w:t>Unit economics and departmental accountability</w:t>
            </w:r>
          </w:p>
        </w:tc>
      </w:tr>
      <w:tr>
        <w:tc>
          <w:tcPr>
            <w:tcW w:type="dxa" w:w="2340"/>
            <w:tcMar>
              <w:top w:w="60" w:type="dxa"/>
              <w:bottom w:w="60" w:type="dxa"/>
              <w:left w:w="100" w:type="dxa"/>
              <w:right w:w="100" w:type="dxa"/>
            </w:tcMar>
          </w:tcPr>
          <w:p>
            <w:r>
              <w:rPr>
                <w:sz w:val="18"/>
              </w:rPr>
              <w:t>Service</w:t>
            </w:r>
          </w:p>
        </w:tc>
        <w:tc>
          <w:tcPr>
            <w:tcW w:type="dxa" w:w="2340"/>
            <w:tcMar>
              <w:top w:w="60" w:type="dxa"/>
              <w:bottom w:w="60" w:type="dxa"/>
              <w:left w:w="100" w:type="dxa"/>
              <w:right w:w="100" w:type="dxa"/>
            </w:tcMar>
          </w:tcPr>
          <w:p>
            <w:r>
              <w:rPr>
                <w:sz w:val="18"/>
              </w:rPr>
              <w:t>string</w:t>
            </w:r>
          </w:p>
        </w:tc>
        <w:tc>
          <w:tcPr>
            <w:tcW w:type="dxa" w:w="2340"/>
            <w:tcMar>
              <w:top w:w="60" w:type="dxa"/>
              <w:bottom w:w="60" w:type="dxa"/>
              <w:left w:w="100" w:type="dxa"/>
              <w:right w:w="100" w:type="dxa"/>
            </w:tcMar>
          </w:tcPr>
          <w:p>
            <w:r>
              <w:rPr>
                <w:sz w:val="18"/>
              </w:rPr>
              <w:t>Compute, Storage, DB, Egress, etc.</w:t>
            </w:r>
          </w:p>
        </w:tc>
        <w:tc>
          <w:tcPr>
            <w:tcW w:type="dxa" w:w="2340"/>
            <w:tcMar>
              <w:top w:w="60" w:type="dxa"/>
              <w:bottom w:w="60" w:type="dxa"/>
              <w:left w:w="100" w:type="dxa"/>
              <w:right w:w="100" w:type="dxa"/>
            </w:tcMar>
          </w:tcPr>
          <w:p>
            <w:r>
              <w:rPr>
                <w:sz w:val="18"/>
              </w:rPr>
              <w:t>Granular resource tracking</w:t>
            </w:r>
          </w:p>
        </w:tc>
      </w:tr>
      <w:tr>
        <w:tc>
          <w:tcPr>
            <w:tcW w:type="dxa" w:w="2340"/>
            <w:tcMar>
              <w:top w:w="60" w:type="dxa"/>
              <w:bottom w:w="60" w:type="dxa"/>
              <w:left w:w="100" w:type="dxa"/>
              <w:right w:w="100" w:type="dxa"/>
            </w:tcMar>
          </w:tcPr>
          <w:p>
            <w:r>
              <w:rPr>
                <w:sz w:val="18"/>
              </w:rPr>
              <w:t>DailyCost_USD</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Hourly rate * active hours</w:t>
            </w:r>
          </w:p>
        </w:tc>
        <w:tc>
          <w:tcPr>
            <w:tcW w:type="dxa" w:w="2340"/>
            <w:tcMar>
              <w:top w:w="60" w:type="dxa"/>
              <w:bottom w:w="60" w:type="dxa"/>
              <w:left w:w="100" w:type="dxa"/>
              <w:right w:w="100" w:type="dxa"/>
            </w:tcMar>
          </w:tcPr>
          <w:p>
            <w:r>
              <w:rPr>
                <w:sz w:val="18"/>
              </w:rPr>
              <w:t>Primary financial target variable</w:t>
            </w:r>
          </w:p>
        </w:tc>
      </w:tr>
      <w:tr>
        <w:tc>
          <w:tcPr>
            <w:tcW w:type="dxa" w:w="2340"/>
            <w:tcMar>
              <w:top w:w="60" w:type="dxa"/>
              <w:bottom w:w="60" w:type="dxa"/>
              <w:left w:w="100" w:type="dxa"/>
              <w:right w:w="100" w:type="dxa"/>
            </w:tcMar>
          </w:tcPr>
          <w:p>
            <w:r>
              <w:rPr>
                <w:sz w:val="18"/>
              </w:rPr>
              <w:t>vCPU_Hours</w:t>
            </w:r>
          </w:p>
        </w:tc>
        <w:tc>
          <w:tcPr>
            <w:tcW w:type="dxa" w:w="2340"/>
            <w:tcMar>
              <w:top w:w="60" w:type="dxa"/>
              <w:bottom w:w="60" w:type="dxa"/>
              <w:left w:w="100" w:type="dxa"/>
              <w:right w:w="100" w:type="dxa"/>
            </w:tcMar>
          </w:tcPr>
          <w:p>
            <w:r>
              <w:rPr>
                <w:sz w:val="18"/>
              </w:rPr>
              <w:t>integer</w:t>
            </w:r>
          </w:p>
        </w:tc>
        <w:tc>
          <w:tcPr>
            <w:tcW w:type="dxa" w:w="2340"/>
            <w:tcMar>
              <w:top w:w="60" w:type="dxa"/>
              <w:bottom w:w="60" w:type="dxa"/>
              <w:left w:w="100" w:type="dxa"/>
              <w:right w:w="100" w:type="dxa"/>
            </w:tcMar>
          </w:tcPr>
          <w:p>
            <w:r>
              <w:rPr>
                <w:sz w:val="18"/>
              </w:rPr>
              <w:t>Allocated cores * runtime</w:t>
            </w:r>
          </w:p>
        </w:tc>
        <w:tc>
          <w:tcPr>
            <w:tcW w:type="dxa" w:w="2340"/>
            <w:tcMar>
              <w:top w:w="60" w:type="dxa"/>
              <w:bottom w:w="60" w:type="dxa"/>
              <w:left w:w="100" w:type="dxa"/>
              <w:right w:w="100" w:type="dxa"/>
            </w:tcMar>
          </w:tcPr>
          <w:p>
            <w:r>
              <w:rPr>
                <w:sz w:val="18"/>
              </w:rPr>
              <w:t>Compute capacity telemetry feature</w:t>
            </w:r>
          </w:p>
        </w:tc>
      </w:tr>
      <w:tr>
        <w:tc>
          <w:tcPr>
            <w:tcW w:type="dxa" w:w="2340"/>
            <w:tcMar>
              <w:top w:w="60" w:type="dxa"/>
              <w:bottom w:w="60" w:type="dxa"/>
              <w:left w:w="100" w:type="dxa"/>
              <w:right w:w="100" w:type="dxa"/>
            </w:tcMar>
          </w:tcPr>
          <w:p>
            <w:r>
              <w:rPr>
                <w:sz w:val="18"/>
              </w:rPr>
              <w:t>Memory_GB_Hours</w:t>
            </w:r>
          </w:p>
        </w:tc>
        <w:tc>
          <w:tcPr>
            <w:tcW w:type="dxa" w:w="2340"/>
            <w:tcMar>
              <w:top w:w="60" w:type="dxa"/>
              <w:bottom w:w="60" w:type="dxa"/>
              <w:left w:w="100" w:type="dxa"/>
              <w:right w:w="100" w:type="dxa"/>
            </w:tcMar>
          </w:tcPr>
          <w:p>
            <w:r>
              <w:rPr>
                <w:sz w:val="18"/>
              </w:rPr>
              <w:t>integer</w:t>
            </w:r>
          </w:p>
        </w:tc>
        <w:tc>
          <w:tcPr>
            <w:tcW w:type="dxa" w:w="2340"/>
            <w:tcMar>
              <w:top w:w="60" w:type="dxa"/>
              <w:bottom w:w="60" w:type="dxa"/>
              <w:left w:w="100" w:type="dxa"/>
              <w:right w:w="100" w:type="dxa"/>
            </w:tcMar>
          </w:tcPr>
          <w:p>
            <w:r>
              <w:rPr>
                <w:sz w:val="18"/>
              </w:rPr>
              <w:t>RAM GB * runtime</w:t>
            </w:r>
          </w:p>
        </w:tc>
        <w:tc>
          <w:tcPr>
            <w:tcW w:type="dxa" w:w="2340"/>
            <w:tcMar>
              <w:top w:w="60" w:type="dxa"/>
              <w:bottom w:w="60" w:type="dxa"/>
              <w:left w:w="100" w:type="dxa"/>
              <w:right w:w="100" w:type="dxa"/>
            </w:tcMar>
          </w:tcPr>
          <w:p>
            <w:r>
              <w:rPr>
                <w:sz w:val="18"/>
              </w:rPr>
              <w:t>Memory footprint telemetry feature</w:t>
            </w:r>
          </w:p>
        </w:tc>
      </w:tr>
      <w:tr>
        <w:tc>
          <w:tcPr>
            <w:tcW w:type="dxa" w:w="2340"/>
            <w:tcMar>
              <w:top w:w="60" w:type="dxa"/>
              <w:bottom w:w="60" w:type="dxa"/>
              <w:left w:w="100" w:type="dxa"/>
              <w:right w:w="100" w:type="dxa"/>
            </w:tcMar>
          </w:tcPr>
          <w:p>
            <w:r>
              <w:rPr>
                <w:sz w:val="18"/>
              </w:rPr>
              <w:t>Avg_CPU_Utilization_Pct</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Telemetry average (0-100%)</w:t>
            </w:r>
          </w:p>
        </w:tc>
        <w:tc>
          <w:tcPr>
            <w:tcW w:type="dxa" w:w="2340"/>
            <w:tcMar>
              <w:top w:w="60" w:type="dxa"/>
              <w:bottom w:w="60" w:type="dxa"/>
              <w:left w:w="100" w:type="dxa"/>
              <w:right w:w="100" w:type="dxa"/>
            </w:tcMar>
          </w:tcPr>
          <w:p>
            <w:r>
              <w:rPr>
                <w:sz w:val="18"/>
              </w:rPr>
              <w:t>Key efficiency metric for zombie detection</w:t>
            </w:r>
          </w:p>
        </w:tc>
      </w:tr>
      <w:tr>
        <w:tc>
          <w:tcPr>
            <w:tcW w:type="dxa" w:w="2340"/>
            <w:tcMar>
              <w:top w:w="60" w:type="dxa"/>
              <w:bottom w:w="60" w:type="dxa"/>
              <w:left w:w="100" w:type="dxa"/>
              <w:right w:w="100" w:type="dxa"/>
            </w:tcMar>
          </w:tcPr>
          <w:p>
            <w:r>
              <w:rPr>
                <w:sz w:val="18"/>
              </w:rPr>
              <w:t>Storage_TB</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Disk + object capacity</w:t>
            </w:r>
          </w:p>
        </w:tc>
        <w:tc>
          <w:tcPr>
            <w:tcW w:type="dxa" w:w="2340"/>
            <w:tcMar>
              <w:top w:w="60" w:type="dxa"/>
              <w:bottom w:w="60" w:type="dxa"/>
              <w:left w:w="100" w:type="dxa"/>
              <w:right w:w="100" w:type="dxa"/>
            </w:tcMar>
          </w:tcPr>
          <w:p>
            <w:r>
              <w:rPr>
                <w:sz w:val="18"/>
              </w:rPr>
              <w:t>Volume footprint for storage tiering</w:t>
            </w:r>
          </w:p>
        </w:tc>
      </w:tr>
      <w:tr>
        <w:tc>
          <w:tcPr>
            <w:tcW w:type="dxa" w:w="2340"/>
            <w:tcMar>
              <w:top w:w="60" w:type="dxa"/>
              <w:bottom w:w="60" w:type="dxa"/>
              <w:left w:w="100" w:type="dxa"/>
              <w:right w:w="100" w:type="dxa"/>
            </w:tcMar>
          </w:tcPr>
          <w:p>
            <w:r>
              <w:rPr>
                <w:sz w:val="18"/>
              </w:rPr>
              <w:t>Data_Egress_GB</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Internet outbound bandwidth</w:t>
            </w:r>
          </w:p>
        </w:tc>
        <w:tc>
          <w:tcPr>
            <w:tcW w:type="dxa" w:w="2340"/>
            <w:tcMar>
              <w:top w:w="60" w:type="dxa"/>
              <w:bottom w:w="60" w:type="dxa"/>
              <w:left w:w="100" w:type="dxa"/>
              <w:right w:w="100" w:type="dxa"/>
            </w:tcMar>
          </w:tcPr>
          <w:p>
            <w:r>
              <w:rPr>
                <w:sz w:val="18"/>
              </w:rPr>
              <w:t>Bandwidth metric for egress surge detection</w:t>
            </w:r>
          </w:p>
        </w:tc>
      </w:tr>
      <w:tr>
        <w:tc>
          <w:tcPr>
            <w:tcW w:type="dxa" w:w="2340"/>
            <w:tcMar>
              <w:top w:w="60" w:type="dxa"/>
              <w:bottom w:w="60" w:type="dxa"/>
              <w:left w:w="100" w:type="dxa"/>
              <w:right w:w="100" w:type="dxa"/>
            </w:tcMar>
          </w:tcPr>
          <w:p>
            <w:r>
              <w:rPr>
                <w:sz w:val="18"/>
              </w:rPr>
              <w:t>Is_Anomaly</w:t>
            </w:r>
          </w:p>
        </w:tc>
        <w:tc>
          <w:tcPr>
            <w:tcW w:type="dxa" w:w="2340"/>
            <w:tcMar>
              <w:top w:w="60" w:type="dxa"/>
              <w:bottom w:w="60" w:type="dxa"/>
              <w:left w:w="100" w:type="dxa"/>
              <w:right w:w="100" w:type="dxa"/>
            </w:tcMar>
          </w:tcPr>
          <w:p>
            <w:r>
              <w:rPr>
                <w:sz w:val="18"/>
              </w:rPr>
              <w:t>binary (0/1)</w:t>
            </w:r>
          </w:p>
        </w:tc>
        <w:tc>
          <w:tcPr>
            <w:tcW w:type="dxa" w:w="2340"/>
            <w:tcMar>
              <w:top w:w="60" w:type="dxa"/>
              <w:bottom w:w="60" w:type="dxa"/>
              <w:left w:w="100" w:type="dxa"/>
              <w:right w:w="100" w:type="dxa"/>
            </w:tcMar>
          </w:tcPr>
          <w:p>
            <w:r>
              <w:rPr>
                <w:sz w:val="18"/>
              </w:rPr>
              <w:t>Ground truth indicator</w:t>
            </w:r>
          </w:p>
        </w:tc>
        <w:tc>
          <w:tcPr>
            <w:tcW w:type="dxa" w:w="2340"/>
            <w:tcMar>
              <w:top w:w="60" w:type="dxa"/>
              <w:bottom w:w="60" w:type="dxa"/>
              <w:left w:w="100" w:type="dxa"/>
              <w:right w:w="100" w:type="dxa"/>
            </w:tcMar>
          </w:tcPr>
          <w:p>
            <w:r>
              <w:rPr>
                <w:sz w:val="18"/>
              </w:rPr>
              <w:t>Validation benchmark for detection recall</w:t>
            </w:r>
          </w:p>
        </w:tc>
      </w:tr>
      <w:tr>
        <w:tc>
          <w:tcPr>
            <w:tcW w:type="dxa" w:w="2340"/>
            <w:tcMar>
              <w:top w:w="60" w:type="dxa"/>
              <w:bottom w:w="60" w:type="dxa"/>
              <w:left w:w="100" w:type="dxa"/>
              <w:right w:w="100" w:type="dxa"/>
            </w:tcMar>
          </w:tcPr>
          <w:p>
            <w:r>
              <w:rPr>
                <w:sz w:val="18"/>
              </w:rPr>
              <w:t>Anomaly_Type</w:t>
            </w:r>
          </w:p>
        </w:tc>
        <w:tc>
          <w:tcPr>
            <w:tcW w:type="dxa" w:w="2340"/>
            <w:tcMar>
              <w:top w:w="60" w:type="dxa"/>
              <w:bottom w:w="60" w:type="dxa"/>
              <w:left w:w="100" w:type="dxa"/>
              <w:right w:w="100" w:type="dxa"/>
            </w:tcMar>
          </w:tcPr>
          <w:p>
            <w:r>
              <w:rPr>
                <w:sz w:val="18"/>
              </w:rPr>
              <w:t>string</w:t>
            </w:r>
          </w:p>
        </w:tc>
        <w:tc>
          <w:tcPr>
            <w:tcW w:type="dxa" w:w="2340"/>
            <w:tcMar>
              <w:top w:w="60" w:type="dxa"/>
              <w:bottom w:w="60" w:type="dxa"/>
              <w:left w:w="100" w:type="dxa"/>
              <w:right w:w="100" w:type="dxa"/>
            </w:tcMar>
          </w:tcPr>
          <w:p>
            <w:r>
              <w:rPr>
                <w:sz w:val="18"/>
              </w:rPr>
              <w:t>Zombie, Egress, Storage</w:t>
            </w:r>
          </w:p>
        </w:tc>
        <w:tc>
          <w:tcPr>
            <w:tcW w:type="dxa" w:w="2340"/>
            <w:tcMar>
              <w:top w:w="60" w:type="dxa"/>
              <w:bottom w:w="60" w:type="dxa"/>
              <w:left w:w="100" w:type="dxa"/>
              <w:right w:w="100" w:type="dxa"/>
            </w:tcMar>
          </w:tcPr>
          <w:p>
            <w:r>
              <w:rPr>
                <w:sz w:val="18"/>
              </w:rPr>
              <w:t>Operational diagnostic category</w:t>
            </w:r>
          </w:p>
        </w:tc>
      </w:tr>
      <w:tr>
        <w:tc>
          <w:tcPr>
            <w:tcW w:type="dxa" w:w="2340"/>
            <w:tcMar>
              <w:top w:w="60" w:type="dxa"/>
              <w:bottom w:w="60" w:type="dxa"/>
              <w:left w:w="100" w:type="dxa"/>
              <w:right w:w="100" w:type="dxa"/>
            </w:tcMar>
          </w:tcPr>
          <w:p>
            <w:r>
              <w:rPr>
                <w:sz w:val="18"/>
              </w:rPr>
              <w:t>Est_Waste_Cost_USD</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Cost minus efficient baseline</w:t>
            </w:r>
          </w:p>
        </w:tc>
        <w:tc>
          <w:tcPr>
            <w:tcW w:type="dxa" w:w="2340"/>
            <w:tcMar>
              <w:top w:w="60" w:type="dxa"/>
              <w:bottom w:w="60" w:type="dxa"/>
              <w:left w:w="100" w:type="dxa"/>
              <w:right w:w="100" w:type="dxa"/>
            </w:tcMar>
          </w:tcPr>
          <w:p>
            <w:r>
              <w:rPr>
                <w:sz w:val="18"/>
              </w:rPr>
              <w:t>Quantified dollar waste amount</w:t>
            </w:r>
          </w:p>
        </w:tc>
      </w:tr>
      <w:tr>
        <w:tc>
          <w:tcPr>
            <w:tcW w:type="dxa" w:w="2340"/>
            <w:tcMar>
              <w:top w:w="60" w:type="dxa"/>
              <w:bottom w:w="60" w:type="dxa"/>
              <w:left w:w="100" w:type="dxa"/>
              <w:right w:w="100" w:type="dxa"/>
            </w:tcMar>
          </w:tcPr>
          <w:p>
            <w:r>
              <w:rPr>
                <w:sz w:val="18"/>
              </w:rPr>
              <w:t>Potential_Savings_USD</w:t>
            </w:r>
          </w:p>
        </w:tc>
        <w:tc>
          <w:tcPr>
            <w:tcW w:type="dxa" w:w="2340"/>
            <w:tcMar>
              <w:top w:w="60" w:type="dxa"/>
              <w:bottom w:w="60" w:type="dxa"/>
              <w:left w:w="100" w:type="dxa"/>
              <w:right w:w="100" w:type="dxa"/>
            </w:tcMar>
          </w:tcPr>
          <w:p>
            <w:r>
              <w:rPr>
                <w:sz w:val="18"/>
              </w:rPr>
              <w:t>float</w:t>
            </w:r>
          </w:p>
        </w:tc>
        <w:tc>
          <w:tcPr>
            <w:tcW w:type="dxa" w:w="2340"/>
            <w:tcMar>
              <w:top w:w="60" w:type="dxa"/>
              <w:bottom w:w="60" w:type="dxa"/>
              <w:left w:w="100" w:type="dxa"/>
              <w:right w:w="100" w:type="dxa"/>
            </w:tcMar>
          </w:tcPr>
          <w:p>
            <w:r>
              <w:rPr>
                <w:sz w:val="18"/>
              </w:rPr>
              <w:t>Rightsizing opportunity</w:t>
            </w:r>
          </w:p>
        </w:tc>
        <w:tc>
          <w:tcPr>
            <w:tcW w:type="dxa" w:w="2340"/>
            <w:tcMar>
              <w:top w:w="60" w:type="dxa"/>
              <w:bottom w:w="60" w:type="dxa"/>
              <w:left w:w="100" w:type="dxa"/>
              <w:right w:w="100" w:type="dxa"/>
            </w:tcMar>
          </w:tcPr>
          <w:p>
            <w:r>
              <w:rPr>
                <w:sz w:val="18"/>
              </w:rPr>
              <w:t>Immediate actionable savings potential</w:t>
            </w:r>
          </w:p>
        </w:tc>
      </w:tr>
      <w:tr>
        <w:tc>
          <w:tcPr>
            <w:tcW w:type="dxa" w:w="2340"/>
            <w:tcMar>
              <w:top w:w="60" w:type="dxa"/>
              <w:bottom w:w="60" w:type="dxa"/>
              <w:left w:w="100" w:type="dxa"/>
              <w:right w:w="100" w:type="dxa"/>
            </w:tcMar>
          </w:tcPr>
          <w:p>
            <w:r>
              <w:rPr>
                <w:sz w:val="18"/>
              </w:rPr>
              <w:t>FinOps_Recommendation</w:t>
            </w:r>
          </w:p>
        </w:tc>
        <w:tc>
          <w:tcPr>
            <w:tcW w:type="dxa" w:w="2340"/>
            <w:tcMar>
              <w:top w:w="60" w:type="dxa"/>
              <w:bottom w:w="60" w:type="dxa"/>
              <w:left w:w="100" w:type="dxa"/>
              <w:right w:w="100" w:type="dxa"/>
            </w:tcMar>
          </w:tcPr>
          <w:p>
            <w:r>
              <w:rPr>
                <w:sz w:val="18"/>
              </w:rPr>
              <w:t>string</w:t>
            </w:r>
          </w:p>
        </w:tc>
        <w:tc>
          <w:tcPr>
            <w:tcW w:type="dxa" w:w="2340"/>
            <w:tcMar>
              <w:top w:w="60" w:type="dxa"/>
              <w:bottom w:w="60" w:type="dxa"/>
              <w:left w:w="100" w:type="dxa"/>
              <w:right w:w="100" w:type="dxa"/>
            </w:tcMar>
          </w:tcPr>
          <w:p>
            <w:r>
              <w:rPr>
                <w:sz w:val="18"/>
              </w:rPr>
              <w:t>Prescriptive rule engine</w:t>
            </w:r>
          </w:p>
        </w:tc>
        <w:tc>
          <w:tcPr>
            <w:tcW w:type="dxa" w:w="2340"/>
            <w:tcMar>
              <w:top w:w="60" w:type="dxa"/>
              <w:bottom w:w="60" w:type="dxa"/>
              <w:left w:w="100" w:type="dxa"/>
              <w:right w:w="100" w:type="dxa"/>
            </w:tcMar>
          </w:tcPr>
          <w:p>
            <w:r>
              <w:rPr>
                <w:sz w:val="18"/>
              </w:rPr>
              <w:t>Engineering action instruction</w:t>
            </w:r>
          </w:p>
        </w:tc>
      </w:tr>
    </w:tbl>
    <w:p>
      <w:r>
        <w:br w:type="page"/>
      </w:r>
    </w:p>
    <w:p>
      <w:pPr>
        <w:pStyle w:val="Heading1"/>
      </w:pPr>
      <w:r>
        <w:t>3. Machine Learning Anomaly Detection: Mathematical &amp; Python Formulation</w:t>
      </w:r>
    </w:p>
    <w:p>
      <w:r>
        <w:t>Why Traditional Alerts Fail: Simple static thresholds ($500/day) generate severe false alarms. A large ETL pipeline regularly spikes on Fridays, while an unmonitored test instance leaking $150/day over the weekend goes unnoticed. Abhi Cloud Tech solves this via a dual-layer architecture combining multi-dimensional Isolation Forest with hierarchical rolling velocity Z-scores.</w:t>
      </w:r>
    </w:p>
    <w:p>
      <w:pPr>
        <w:pStyle w:val="Heading2"/>
      </w:pPr>
      <w:r>
        <w:t>3.1 Isolation Forest Mathematical Derivation</w:t>
      </w:r>
    </w:p>
    <w:p>
      <w:r>
        <w:t>Isolation Forest (Liu et al.) isolates anomalies rather than profiling normal points. Anomalous telemetry instances require fewer recursive partitions in random binary search trees. The anomaly score s(x, n) is defined as:</w:t>
      </w:r>
    </w:p>
    <w:p>
      <w:pPr>
        <w:ind w:left="720"/>
      </w:pPr>
      <w:r>
        <w:rPr>
          <w:b/>
        </w:rPr>
        <w:t>s(x, n) = 2 ^ ( - E(h(x)) / c(n) )</w:t>
        <w:br/>
        <w:br/>
      </w:r>
      <w:r>
        <w:t>Where:</w:t>
        <w:br/>
      </w:r>
      <w:r>
        <w:t>• h(x) is the tree path length (number of splits) to isolate sample x.</w:t>
        <w:br/>
      </w:r>
      <w:r>
        <w:t>• E(h(x)) is the expectation of path lengths over 150 Isolation Trees.</w:t>
        <w:br/>
      </w:r>
      <w:r>
        <w:t>• c(n) is the average path length of unsuccessful searches in a Binary Search Tree (BST):</w:t>
        <w:br/>
      </w:r>
      <w:r>
        <w:t xml:space="preserve">    c(n) = 2 * ln(n - 1) + 0.5772156649 (Euler's Constant) - [ 2 * (n - 1) / n ]</w:t>
        <w:br/>
        <w:br/>
      </w:r>
      <w:r>
        <w:t>Mathematical Interpretation:</w:t>
        <w:br/>
      </w:r>
      <w:r>
        <w:t>• If E(h(x)) -&gt; 0, then s -&gt; 1: Highly anomalous (isolated in very few partitions).</w:t>
        <w:br/>
      </w:r>
      <w:r>
        <w:t>• If E(h(x)) -&gt; n - 1, then s -&gt; 0: Structurally normal observation.</w:t>
        <w:br/>
      </w:r>
      <w:r>
        <w:t>• If E(h(x)) -&gt; c(n), then s -&gt; 0.5: No distinct anomaly detected.</w:t>
      </w:r>
    </w:p>
    <w:p>
      <w:pPr>
        <w:pStyle w:val="Heading2"/>
      </w:pPr>
      <w:r>
        <w:t>3.2 Dynamic Rolling Velocity Z-Score Formulation</w:t>
      </w:r>
    </w:p>
    <w:p>
      <w:r>
        <w:t>To account for business seasonality and service variance, we compute a 14-day rolling window grouped by the composite key [CloudProvider, Department, Service] with a strict shift(1) backward lag:</w:t>
      </w:r>
    </w:p>
    <w:p>
      <w:pPr>
        <w:ind w:left="720"/>
      </w:pPr>
      <w:r>
        <w:rPr>
          <w:b/>
        </w:rPr>
        <w:t>Z_t = [ DailyCost_t - μ_14(t-1) ] / [ σ_14(t-1) + ε ]</w:t>
        <w:br/>
      </w:r>
      <w:r>
        <w:t>Where μ_14 is the 14-day trailing mean and σ_14 is trailing standard deviation. An incident is triggered when Z_t &gt; 2.5 or (IsoScore &gt; threshold AND Z_t &gt; 1.8).</w:t>
      </w:r>
    </w:p>
    <w:p>
      <w:pPr>
        <w:pStyle w:val="Heading2"/>
      </w:pPr>
      <w:r>
        <w:t>3.3 Diagnostic Attribution Rules</w:t>
      </w:r>
    </w:p>
    <w:p>
      <w:r>
        <w:t>Once an anomaly is flagged, our diagnostic classifier determines root cause:</w:t>
        <w:br/>
        <w:t>1. Zombie Cluster: Avg_CPU &lt; 15% AND vCPU_Hours &gt; 1,200 (Idle GPU/Compute instance)</w:t>
        <w:br/>
        <w:t>2. Egress Leak: Data_Egress_GB &gt; 1,500 GB OR Z &gt; 2.2 on Bandwidth services</w:t>
        <w:br/>
        <w:t>3. Storage Sprawl: Storage_TB &gt; 15 TB on Storage/Blob/S3 services with Z &gt; 1.8</w:t>
        <w:br/>
        <w:t>4. Unbudgeted Cost Surge: Spend exceeded 2.5 standard deviations above rolling baseline</w:t>
      </w:r>
    </w:p>
    <w:p>
      <w:r>
        <w:br w:type="page"/>
      </w:r>
    </w:p>
    <w:p>
      <w:pPr>
        <w:pStyle w:val="Heading1"/>
      </w:pPr>
      <w:r>
        <w:t>4. Predictive Demand &amp; Budget Forecaster: Mathematical &amp; Python Formulation</w:t>
      </w:r>
    </w:p>
    <w:p>
      <w:r>
        <w:t>The forecasting engine is built using Recursive Histogram-based Gradient Boosting (HistGradientBoostingRegressor). Unlike naive linear models, it models non-linear cross-interactions between cyclical day-of-week seasonality, multi-period lag momentum, and organic corporate growth.</w:t>
      </w:r>
    </w:p>
    <w:p>
      <w:pPr>
        <w:pStyle w:val="Heading2"/>
      </w:pPr>
      <w:r>
        <w:t>4.1 Quantile Loss (Pinball Loss) for Risk Bounds</w:t>
      </w:r>
    </w:p>
    <w:p>
      <w:r>
        <w:t>Rather than producing a single deterministic point forecast, the forecaster trains three independent model ensembles:</w:t>
        <w:br/>
        <w:t>• Median Model (q = 0.50): Least-squares objective for central expected trajectory.</w:t>
        <w:br/>
        <w:t>• Upper Bound (q = 0.95): Pinball loss at 95th percentile (identifying budget overrun ceilings).</w:t>
        <w:br/>
        <w:t>• Lower Bound (q = 0.05): Pinball loss at 5th percentile (identifying budget floors).</w:t>
      </w:r>
    </w:p>
    <w:p>
      <w:pPr>
        <w:ind w:left="720"/>
      </w:pPr>
      <w:r>
        <w:rPr>
          <w:b/>
        </w:rPr>
        <w:t>L_q(y, ŷ) = max( q * (y - ŷ), (1 - q) * (ŷ - y) )</w:t>
        <w:br/>
        <w:br/>
      </w:r>
      <w:r>
        <w:t>Non-Crossing Monotonic Constraint:</w:t>
        <w:br/>
      </w:r>
      <w:r>
        <w:t>To eliminate quantile crossing anomalies, our Python implementation enforces:</w:t>
        <w:br/>
      </w:r>
      <w:r>
        <w:t xml:space="preserve">    ŷ_lower &lt;= ŷ_median &lt;= ŷ_upper</w:t>
      </w:r>
    </w:p>
    <w:p>
      <w:pPr>
        <w:pStyle w:val="Heading2"/>
      </w:pPr>
      <w:r>
        <w:t>4.2 Evaluation Metrics &amp; Mathematical Formulas</w:t>
      </w:r>
    </w:p>
    <w:p>
      <w:pPr>
        <w:ind w:left="720"/>
      </w:pPr>
      <w:r>
        <w:rPr>
          <w:b/>
        </w:rPr>
        <w:t>1. Mean Absolute Percentage Error (MAPE):</w:t>
        <w:br/>
      </w:r>
      <w:r>
        <w:t xml:space="preserve">    MAPE = (100% / n) * Σ | (y_t - ŷ_t) / y_t | = 4.87%</w:t>
        <w:br/>
        <w:br/>
      </w:r>
      <w:r>
        <w:rPr>
          <w:b/>
        </w:rPr>
        <w:t>2. Root Mean Squared Error (RMSE):</w:t>
        <w:br/>
      </w:r>
      <w:r>
        <w:t xml:space="preserve">    RMSE = sqrt( (1 / n) * Σ (y_t - ŷ_t)^2 ) = $1,573.43</w:t>
        <w:br/>
        <w:br/>
      </w:r>
      <w:r>
        <w:rPr>
          <w:b/>
        </w:rPr>
        <w:t>3. Mean Absolute Error (MAE):</w:t>
        <w:br/>
      </w:r>
      <w:r>
        <w:t xml:space="preserve">    MAE = (1 / n) * Σ | y_t - ŷ_t | = $1,199.36</w:t>
      </w:r>
    </w:p>
    <w:p>
      <w:pPr>
        <w:pStyle w:val="Heading2"/>
      </w:pPr>
      <w:r>
        <w:t>4.3 Interactive What-If Scenario Levers</w:t>
      </w:r>
    </w:p>
    <w:p>
      <w:r>
        <w:t>Executives can test capacity scaling against rightsizing in real time via the equation:</w:t>
        <w:br/>
        <w:t xml:space="preserve">    Forecast_Adjusted = ŷ * (1 + α_workload_growth) * (1 - β_finops_savings)</w:t>
        <w:br/>
        <w:t>This allows simulating scenarios such as +25% AI training expansion combined with -15% rightsizing reduction.</w:t>
      </w:r>
    </w:p>
    <w:p>
      <w:r>
        <w:br w:type="page"/>
      </w:r>
    </w:p>
    <w:p>
      <w:pPr>
        <w:pStyle w:val="Heading1"/>
      </w:pPr>
      <w:r>
        <w:t>5. FinOps Optimization Engine &amp; Financial Impact Portfolio</w:t>
      </w:r>
    </w:p>
    <w:p>
      <w:r>
        <w:t>The optimization engine translates raw telemetry into financial EBITDA recovery across the 4 core pillars of the FinOps Foundation Framework (Inform -&gt; Optimize -&gt; Operate):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FinOps Strategic Pillar</w:t>
            </w:r>
          </w:p>
        </w:tc>
        <w:tc>
          <w:tcPr>
            <w:tcW w:type="dxa" w:w="2340"/>
            <w:shd w:fill="0F172A"/>
          </w:tcPr>
          <w:p>
            <w:r>
              <w:rPr>
                <w:b/>
                <w:color w:val="FFFFFF"/>
                <w:sz w:val="19"/>
              </w:rPr>
              <w:t>Qualification Criteria</w:t>
            </w:r>
          </w:p>
        </w:tc>
        <w:tc>
          <w:tcPr>
            <w:tcW w:type="dxa" w:w="2340"/>
            <w:shd w:fill="0F172A"/>
          </w:tcPr>
          <w:p>
            <w:r>
              <w:rPr>
                <w:b/>
                <w:color w:val="FFFFFF"/>
                <w:sz w:val="19"/>
              </w:rPr>
              <w:t>Prescribed Action</w:t>
            </w:r>
          </w:p>
        </w:tc>
        <w:tc>
          <w:tcPr>
            <w:tcW w:type="dxa" w:w="2340"/>
            <w:shd w:fill="0F172A"/>
          </w:tcPr>
          <w:p>
            <w:r>
              <w:rPr>
                <w:b/>
                <w:color w:val="FFFFFF"/>
                <w:sz w:val="19"/>
              </w:rPr>
              <w:t>Annual Cost Recovery</w:t>
            </w:r>
          </w:p>
        </w:tc>
      </w:tr>
      <w:tr>
        <w:tc>
          <w:tcPr>
            <w:tcW w:type="dxa" w:w="2340"/>
            <w:tcMar>
              <w:top w:w="60" w:type="dxa"/>
              <w:bottom w:w="60" w:type="dxa"/>
              <w:left w:w="100" w:type="dxa"/>
              <w:right w:w="100" w:type="dxa"/>
            </w:tcMar>
          </w:tcPr>
          <w:p>
            <w:r>
              <w:rPr>
                <w:sz w:val="18"/>
              </w:rPr>
              <w:t>Idle &amp; Zombie Decommissioning</w:t>
            </w:r>
          </w:p>
        </w:tc>
        <w:tc>
          <w:tcPr>
            <w:tcW w:type="dxa" w:w="2340"/>
            <w:tcMar>
              <w:top w:w="60" w:type="dxa"/>
              <w:bottom w:w="60" w:type="dxa"/>
              <w:left w:w="100" w:type="dxa"/>
              <w:right w:w="100" w:type="dxa"/>
            </w:tcMar>
          </w:tcPr>
          <w:p>
            <w:r>
              <w:rPr>
                <w:sz w:val="18"/>
              </w:rPr>
              <w:t>CPU &lt; 15% and DailyCost &gt; $100</w:t>
            </w:r>
          </w:p>
        </w:tc>
        <w:tc>
          <w:tcPr>
            <w:tcW w:type="dxa" w:w="2340"/>
            <w:tcMar>
              <w:top w:w="60" w:type="dxa"/>
              <w:bottom w:w="60" w:type="dxa"/>
              <w:left w:w="100" w:type="dxa"/>
              <w:right w:w="100" w:type="dxa"/>
            </w:tcMar>
          </w:tcPr>
          <w:p>
            <w:r>
              <w:rPr>
                <w:sz w:val="18"/>
              </w:rPr>
              <w:t>Automated off-hours shutdown</w:t>
            </w:r>
          </w:p>
        </w:tc>
        <w:tc>
          <w:tcPr>
            <w:tcW w:type="dxa" w:w="2340"/>
            <w:tcMar>
              <w:top w:w="60" w:type="dxa"/>
              <w:bottom w:w="60" w:type="dxa"/>
              <w:left w:w="100" w:type="dxa"/>
              <w:right w:w="100" w:type="dxa"/>
            </w:tcMar>
          </w:tcPr>
          <w:p>
            <w:r>
              <w:rPr>
                <w:sz w:val="18"/>
              </w:rPr>
              <w:t>$143,705.60 / yr</w:t>
            </w:r>
          </w:p>
        </w:tc>
      </w:tr>
      <w:tr>
        <w:tc>
          <w:tcPr>
            <w:tcW w:type="dxa" w:w="2340"/>
            <w:tcMar>
              <w:top w:w="60" w:type="dxa"/>
              <w:bottom w:w="60" w:type="dxa"/>
              <w:left w:w="100" w:type="dxa"/>
              <w:right w:w="100" w:type="dxa"/>
            </w:tcMar>
          </w:tcPr>
          <w:p>
            <w:r>
              <w:rPr>
                <w:sz w:val="18"/>
              </w:rPr>
              <w:t>Instance Rightsizing</w:t>
            </w:r>
          </w:p>
        </w:tc>
        <w:tc>
          <w:tcPr>
            <w:tcW w:type="dxa" w:w="2340"/>
            <w:tcMar>
              <w:top w:w="60" w:type="dxa"/>
              <w:bottom w:w="60" w:type="dxa"/>
              <w:left w:w="100" w:type="dxa"/>
              <w:right w:w="100" w:type="dxa"/>
            </w:tcMar>
          </w:tcPr>
          <w:p>
            <w:r>
              <w:rPr>
                <w:sz w:val="18"/>
              </w:rPr>
              <w:t>15% &lt;= CPU &lt; 35%</w:t>
            </w:r>
          </w:p>
        </w:tc>
        <w:tc>
          <w:tcPr>
            <w:tcW w:type="dxa" w:w="2340"/>
            <w:tcMar>
              <w:top w:w="60" w:type="dxa"/>
              <w:bottom w:w="60" w:type="dxa"/>
              <w:left w:w="100" w:type="dxa"/>
              <w:right w:w="100" w:type="dxa"/>
            </w:tcMar>
          </w:tcPr>
          <w:p>
            <w:r>
              <w:rPr>
                <w:sz w:val="18"/>
              </w:rPr>
              <w:t>Downsize instance family by 1 tier</w:t>
            </w:r>
          </w:p>
        </w:tc>
        <w:tc>
          <w:tcPr>
            <w:tcW w:type="dxa" w:w="2340"/>
            <w:tcMar>
              <w:top w:w="60" w:type="dxa"/>
              <w:bottom w:w="60" w:type="dxa"/>
              <w:left w:w="100" w:type="dxa"/>
              <w:right w:w="100" w:type="dxa"/>
            </w:tcMar>
          </w:tcPr>
          <w:p>
            <w:r>
              <w:rPr>
                <w:sz w:val="18"/>
              </w:rPr>
              <w:t>$752,878.56 / yr</w:t>
            </w:r>
          </w:p>
        </w:tc>
      </w:tr>
      <w:tr>
        <w:tc>
          <w:tcPr>
            <w:tcW w:type="dxa" w:w="2340"/>
            <w:tcMar>
              <w:top w:w="60" w:type="dxa"/>
              <w:bottom w:w="60" w:type="dxa"/>
              <w:left w:w="100" w:type="dxa"/>
              <w:right w:w="100" w:type="dxa"/>
            </w:tcMar>
          </w:tcPr>
          <w:p>
            <w:r>
              <w:rPr>
                <w:sz w:val="18"/>
              </w:rPr>
              <w:t>Commitment Discounts</w:t>
            </w:r>
          </w:p>
        </w:tc>
        <w:tc>
          <w:tcPr>
            <w:tcW w:type="dxa" w:w="2340"/>
            <w:tcMar>
              <w:top w:w="60" w:type="dxa"/>
              <w:bottom w:w="60" w:type="dxa"/>
              <w:left w:w="100" w:type="dxa"/>
              <w:right w:w="100" w:type="dxa"/>
            </w:tcMar>
          </w:tcPr>
          <w:p>
            <w:r>
              <w:rPr>
                <w:sz w:val="18"/>
              </w:rPr>
              <w:t>35% &lt;= CPU &lt;= 75% across 60+ days</w:t>
            </w:r>
          </w:p>
        </w:tc>
        <w:tc>
          <w:tcPr>
            <w:tcW w:type="dxa" w:w="2340"/>
            <w:tcMar>
              <w:top w:w="60" w:type="dxa"/>
              <w:bottom w:w="60" w:type="dxa"/>
              <w:left w:w="100" w:type="dxa"/>
              <w:right w:w="100" w:type="dxa"/>
            </w:tcMar>
          </w:tcPr>
          <w:p>
            <w:r>
              <w:rPr>
                <w:sz w:val="18"/>
              </w:rPr>
              <w:t>Purchase 1-Yr / 3-Yr Savings Plans</w:t>
            </w:r>
          </w:p>
        </w:tc>
        <w:tc>
          <w:tcPr>
            <w:tcW w:type="dxa" w:w="2340"/>
            <w:tcMar>
              <w:top w:w="60" w:type="dxa"/>
              <w:bottom w:w="60" w:type="dxa"/>
              <w:left w:w="100" w:type="dxa"/>
              <w:right w:w="100" w:type="dxa"/>
            </w:tcMar>
          </w:tcPr>
          <w:p>
            <w:r>
              <w:rPr>
                <w:sz w:val="18"/>
              </w:rPr>
              <w:t>$1,552,833.07 / yr</w:t>
            </w:r>
          </w:p>
        </w:tc>
      </w:tr>
      <w:tr>
        <w:tc>
          <w:tcPr>
            <w:tcW w:type="dxa" w:w="2340"/>
            <w:tcMar>
              <w:top w:w="60" w:type="dxa"/>
              <w:bottom w:w="60" w:type="dxa"/>
              <w:left w:w="100" w:type="dxa"/>
              <w:right w:w="100" w:type="dxa"/>
            </w:tcMar>
          </w:tcPr>
          <w:p>
            <w:r>
              <w:rPr>
                <w:sz w:val="18"/>
              </w:rPr>
              <w:t>Storage Lifecycle Archival</w:t>
            </w:r>
          </w:p>
        </w:tc>
        <w:tc>
          <w:tcPr>
            <w:tcW w:type="dxa" w:w="2340"/>
            <w:tcMar>
              <w:top w:w="60" w:type="dxa"/>
              <w:bottom w:w="60" w:type="dxa"/>
              <w:left w:w="100" w:type="dxa"/>
              <w:right w:w="100" w:type="dxa"/>
            </w:tcMar>
          </w:tcPr>
          <w:p>
            <w:r>
              <w:rPr>
                <w:sz w:val="18"/>
              </w:rPr>
              <w:t>Static storage &gt; 15 TB with low I/O</w:t>
            </w:r>
          </w:p>
        </w:tc>
        <w:tc>
          <w:tcPr>
            <w:tcW w:type="dxa" w:w="2340"/>
            <w:tcMar>
              <w:top w:w="60" w:type="dxa"/>
              <w:bottom w:w="60" w:type="dxa"/>
              <w:left w:w="100" w:type="dxa"/>
              <w:right w:w="100" w:type="dxa"/>
            </w:tcMar>
          </w:tcPr>
          <w:p>
            <w:r>
              <w:rPr>
                <w:sz w:val="18"/>
              </w:rPr>
              <w:t>Move snapshots to Glacier / Coldline</w:t>
            </w:r>
          </w:p>
        </w:tc>
        <w:tc>
          <w:tcPr>
            <w:tcW w:type="dxa" w:w="2340"/>
            <w:tcMar>
              <w:top w:w="60" w:type="dxa"/>
              <w:bottom w:w="60" w:type="dxa"/>
              <w:left w:w="100" w:type="dxa"/>
              <w:right w:w="100" w:type="dxa"/>
            </w:tcMar>
          </w:tcPr>
          <w:p>
            <w:r>
              <w:rPr>
                <w:sz w:val="18"/>
              </w:rPr>
              <w:t>$293,298.27 / yr</w:t>
            </w:r>
          </w:p>
        </w:tc>
      </w:tr>
      <w:tr>
        <w:tc>
          <w:tcPr>
            <w:tcW w:type="dxa" w:w="2340"/>
            <w:shd w:fill="ECFDF5"/>
            <w:tcMar>
              <w:top w:w="60" w:type="dxa"/>
              <w:bottom w:w="60" w:type="dxa"/>
              <w:left w:w="100" w:type="dxa"/>
              <w:right w:w="100" w:type="dxa"/>
            </w:tcMar>
          </w:tcPr>
          <w:p>
            <w:r>
              <w:rPr>
                <w:b/>
                <w:sz w:val="18"/>
              </w:rPr>
              <w:t>Total Annual Waste Recovery</w:t>
            </w:r>
          </w:p>
        </w:tc>
        <w:tc>
          <w:tcPr>
            <w:tcW w:type="dxa" w:w="2340"/>
            <w:shd w:fill="ECFDF5"/>
            <w:tcMar>
              <w:top w:w="60" w:type="dxa"/>
              <w:bottom w:w="60" w:type="dxa"/>
              <w:left w:w="100" w:type="dxa"/>
              <w:right w:w="100" w:type="dxa"/>
            </w:tcMar>
          </w:tcPr>
          <w:p>
            <w:r>
              <w:rPr>
                <w:b/>
                <w:sz w:val="18"/>
              </w:rPr>
              <w:t>Across all 4 FinOps pillars</w:t>
            </w:r>
          </w:p>
        </w:tc>
        <w:tc>
          <w:tcPr>
            <w:tcW w:type="dxa" w:w="2340"/>
            <w:shd w:fill="ECFDF5"/>
            <w:tcMar>
              <w:top w:w="60" w:type="dxa"/>
              <w:bottom w:w="60" w:type="dxa"/>
              <w:left w:w="100" w:type="dxa"/>
              <w:right w:w="100" w:type="dxa"/>
            </w:tcMar>
          </w:tcPr>
          <w:p>
            <w:r>
              <w:rPr>
                <w:b/>
                <w:sz w:val="18"/>
              </w:rPr>
              <w:t>Comprehensive optimization portfolio</w:t>
            </w:r>
          </w:p>
        </w:tc>
        <w:tc>
          <w:tcPr>
            <w:tcW w:type="dxa" w:w="2340"/>
            <w:shd w:fill="ECFDF5"/>
            <w:tcMar>
              <w:top w:w="60" w:type="dxa"/>
              <w:bottom w:w="60" w:type="dxa"/>
              <w:left w:w="100" w:type="dxa"/>
              <w:right w:w="100" w:type="dxa"/>
            </w:tcMar>
          </w:tcPr>
          <w:p>
            <w:r>
              <w:rPr>
                <w:b/>
                <w:sz w:val="18"/>
              </w:rPr>
              <w:t>$2,742,715.50 (32.9%)</w:t>
            </w:r>
          </w:p>
        </w:tc>
      </w:tr>
    </w:tbl>
    <w:p>
      <w:r>
        <w:br/>
      </w:r>
    </w:p>
    <w:p>
      <w:pPr>
        <w:pStyle w:val="Heading2"/>
      </w:pPr>
      <w:r>
        <w:t>5.1 FinOps Maturity Score Formulation</w:t>
      </w:r>
    </w:p>
    <w:p>
      <w:r>
        <w:t>The system computes an organizational maturity index (0 to 100):</w:t>
        <w:br/>
        <w:t xml:space="preserve">    Maturity_Score = clip( 100 - (Waste_Ratio * 140) + (Avg_CPU * 0.4), 35, 95 )</w:t>
        <w:br/>
        <w:t>• Score &lt; 55: Crawl Stage (Reactive / High Waste)</w:t>
        <w:br/>
        <w:t>• Score 55–77: Walk Stage (Proactive Governance) — Abhi Cloud Tech currently scores 71 ('Walk')</w:t>
        <w:br/>
        <w:t>• Score &gt;= 78: Run Stage (Continuous Unit Economics &amp; Automated Auto-Remediation)</w:t>
      </w:r>
    </w:p>
    <w:p>
      <w:r>
        <w:br w:type="page"/>
      </w:r>
    </w:p>
    <w:p>
      <w:pPr>
        <w:pStyle w:val="Heading1"/>
      </w:pPr>
      <w:r>
        <w:t>6. Full-Stack Web Architecture &amp; Color Accessibility</w:t>
      </w:r>
    </w:p>
    <w:p>
      <w:r>
        <w:t>To replace rigid prototyping frameworks, Abhi Cloud Tech deployed a full-stack production architecture:</w:t>
        <w:br/>
        <w:t>• Backend: FastAPI REST microservice + Uvicorn server running with async non-blocking endpoints.</w:t>
        <w:br/>
        <w:t>• Frontend: Semantic HTML5, Tailwind CSS, Lucide Icons, and ApexCharts.</w:t>
        <w:br/>
        <w:t>• Color Contrast System: Designed for high legibility on dark slate backgrounds:</w:t>
        <w:br/>
        <w:t xml:space="preserve">    - Amazon Web Services (AWS): #FF9900 (Vibrant Solar Orange)</w:t>
        <w:br/>
        <w:t xml:space="preserve">    - Microsoft Azure: #0284C7 (Electric Sky Blue)</w:t>
        <w:br/>
        <w:t xml:space="preserve">    - Google Cloud Platform (GCP): #10B981 (Emerald Jade Green)</w:t>
        <w:br/>
        <w:t xml:space="preserve">  This palette provides high contrast so that Azure and GCP can be differentiated at a glance.</w:t>
      </w:r>
    </w:p>
    <w:p>
      <w:pPr>
        <w:pStyle w:val="Heading1"/>
      </w:pPr>
      <w:r>
        <w:t>7. Master Presentation Defense &amp; Technical Viva Q&amp;A</w:t>
      </w:r>
    </w:p>
    <w:p>
      <w:r>
        <w:t>The following questions and answers prepare the team for technical defense and executive review:</w:t>
      </w:r>
    </w:p>
    <w:p>
      <w:pPr>
        <w:spacing w:before="160" w:after="40"/>
      </w:pPr>
      <w:r>
        <w:rPr>
          <w:b/>
          <w:color w:val="0F172A"/>
        </w:rPr>
        <w:t>Q1: Why did you choose Isolation Forest over K-Means clustering or DBSCAN for anomaly detection?</w:t>
      </w:r>
    </w:p>
    <w:p>
      <w:pPr>
        <w:spacing w:before="0" w:after="160"/>
      </w:pPr>
      <w:r>
        <w:t>A1: K-Means and DBSCAN rely on distance metrics (Euclidean distance), which suffer from the curse of dimensionality and assume spherical clusters. Moreover, distance calculations scale quadratically O(n^2). Isolation Forest builds random axis-aligned partition trees in O(t * n log n) time and isolates anomalies explicitly near the tree root because rare, extreme feature combinations take fewer random splits to separate.</w:t>
      </w:r>
    </w:p>
    <w:p>
      <w:pPr>
        <w:spacing w:before="160" w:after="40"/>
      </w:pPr>
      <w:r>
        <w:rPr>
          <w:b/>
          <w:color w:val="0F172A"/>
        </w:rPr>
        <w:t>Q2: How did you ensure there was no data leakage in your time-series forecaster?</w:t>
      </w:r>
    </w:p>
    <w:p>
      <w:pPr>
        <w:spacing w:before="0" w:after="160"/>
      </w:pPr>
      <w:r>
        <w:t>A2: All engineered lag features (lag_1, lag_7, lag_14, lag_28) and rolling statistics (7-day, 14-day moving averages) use a strict shift(1) backward window. That ensures that when predicting day t, only data up to day t-1 is visible. Furthermore, train and test sets are split chronologically (temporal split, 85% train, 15% out-of-time test) rather than using random shuffle splitting.</w:t>
      </w:r>
    </w:p>
    <w:p>
      <w:pPr>
        <w:spacing w:before="160" w:after="40"/>
      </w:pPr>
      <w:r>
        <w:rPr>
          <w:b/>
          <w:color w:val="0F172A"/>
        </w:rPr>
        <w:t>Q3: What is Quantile Regression and why not just use standard linear regression or ARIMA?</w:t>
      </w:r>
    </w:p>
    <w:p>
      <w:pPr>
        <w:spacing w:before="0" w:after="160"/>
      </w:pPr>
      <w:r>
        <w:t>A3: Standard regression optimizes Mean Squared Error to estimate the conditional mean E[y|x]. But for a CFO, a point estimate doesn't quantify risk. By using Quantile Loss (Pinball Loss), we simultaneously model the 5th percentile (spend floor) and 95th percentile (risk ceiling). This informs leadership of the worst-case budget exposure with 95% statistical confidence.</w:t>
      </w:r>
    </w:p>
    <w:p>
      <w:pPr>
        <w:spacing w:before="160" w:after="40"/>
      </w:pPr>
      <w:r>
        <w:rPr>
          <w:b/>
          <w:color w:val="0F172A"/>
        </w:rPr>
        <w:t>Q4: How do you achieve a 4.87% MAPE score?</w:t>
      </w:r>
    </w:p>
    <w:p>
      <w:pPr>
        <w:spacing w:before="0" w:after="160"/>
      </w:pPr>
      <w:r>
        <w:t>A4: Cloud expenditure is dominated by recurring weekly rhythms (weekday operational peaks vs weekend batch processing) combined with continuous drift. By encoding explicit day-of-week indicators, calendar month indices, multi-period lag momentum, and 7/14/30-day volatility rolling statistics into HistGradientBoosting decision trees, the model captures non-linear seasonal interactions accurately.</w:t>
      </w:r>
    </w:p>
    <w:p>
      <w:pPr>
        <w:spacing w:before="160" w:after="40"/>
      </w:pPr>
      <w:r>
        <w:rPr>
          <w:b/>
          <w:color w:val="0F172A"/>
        </w:rPr>
        <w:t>Q5: What is the business ROI of this system?</w:t>
      </w:r>
    </w:p>
    <w:p>
      <w:pPr>
        <w:spacing w:before="0" w:after="160"/>
      </w:pPr>
      <w:r>
        <w:t>A5: Across an $8.37M annualized run-rate, the system identified $2.75M in annual waste (32.9% savings). The largest lever is transitioning predictable baseline workloads into 1-Year / 3-Year Commitment Plans ($1.55M savings), followed by downsizing underutilized compute instances ($752K savings) and auto-stopping idle off-hours clusters ($143K savings).</w:t>
      </w:r>
    </w:p>
    <w:p>
      <w:r>
        <w:t>―――――――――――――――――――――――――――――――――――――――――――――――――――――――</w:t>
      </w:r>
    </w:p>
    <w:p>
      <w:pPr>
        <w:jc w:val="center"/>
      </w:pPr>
      <w:r>
        <w:rPr>
          <w:i/>
          <w:color w:val="94A3B8"/>
          <w:sz w:val="18"/>
        </w:rPr>
        <w:t>Document generated for Abhi Cloud Tech • Confidential Enterprise 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