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F4E79"/>
          <w:sz w:val="44"/>
          <w:szCs w:val="44"/>
        </w:rPr>
        <w:t xml:space="preserve">Technical Architecture Document</w:t>
      </w:r>
    </w:p>
    <w:p>
      <w:pPr>
        <w:spacing w:after="40" w:before="0"/>
        <w:jc w:val="center"/>
      </w:pPr>
      <w:r>
        <w:rPr>
          <w:rFonts w:ascii="Arial" w:cs="Arial" w:eastAsia="Arial" w:hAnsi="Arial"/>
          <w:color w:val="666666"/>
          <w:sz w:val="20"/>
          <w:szCs w:val="20"/>
        </w:rPr>
        <w:t xml:space="preserve">AI-Powered Chatbot for Ticketmaster  |  v2.0  |  May 2025</w:t>
      </w:r>
    </w:p>
    <w:p>
      <w:pPr>
        <w:pBdr>
          <w:bottom w:val="single" w:color="2E75B6" w:sz="8" w:space="1"/>
        </w:pBdr>
        <w:spacing w:after="120" w:before="0"/>
      </w:pPr>
      <w:r>
        <w:t xml:space="preserve"/>
      </w:r>
    </w:p>
    <w:p>
      <w:pPr>
        <w:spacing w:after="80" w:before="280"/>
      </w:pPr>
      <w:r>
        <w:rPr>
          <w:rFonts w:ascii="Arial" w:cs="Arial" w:eastAsia="Arial" w:hAnsi="Arial"/>
          <w:b/>
          <w:bCs/>
          <w:color w:val="1F4E79"/>
          <w:sz w:val="26"/>
          <w:szCs w:val="26"/>
        </w:rPr>
        <w:t xml:space="preserve">1. Purpose of This Document</w:t>
      </w:r>
    </w:p>
    <w:p>
      <w:pPr>
        <w:spacing w:after="50" w:before="50"/>
      </w:pPr>
      <w:r>
        <w:rPr>
          <w:rFonts w:ascii="Arial" w:cs="Arial" w:eastAsia="Arial" w:hAnsi="Arial"/>
          <w:color w:val="222222"/>
          <w:sz w:val="20"/>
          <w:szCs w:val="20"/>
        </w:rPr>
        <w:t xml:space="preserve">This document describes the technical architecture for the Ticketmaster AI Chatbot — what each component does, where it can be hosted, and how everything connects. Multiple technology options are presented for each layer so teams can choose based on their existing infrastructure, budget, and compliance requirements.</w:t>
      </w:r>
    </w:p>
    <w:p>
      <w:pPr>
        <w:spacing w:after="80" w:before="280"/>
      </w:pPr>
      <w:r>
        <w:rPr>
          <w:rFonts w:ascii="Arial" w:cs="Arial" w:eastAsia="Arial" w:hAnsi="Arial"/>
          <w:b/>
          <w:bCs/>
          <w:color w:val="1F4E79"/>
          <w:sz w:val="26"/>
          <w:szCs w:val="26"/>
        </w:rPr>
        <w:t xml:space="preserve">2. Architecture Principles</w:t>
      </w:r>
    </w:p>
    <w:p>
      <w:pPr>
        <w:pStyle w:val="ListParagraph"/>
        <w:numPr>
          <w:ilvl w:val="0"/>
          <w:numId w:val="2"/>
        </w:numPr>
        <w:spacing w:after="40" w:before="40"/>
      </w:pPr>
      <w:r>
        <w:rPr>
          <w:rFonts w:ascii="Arial" w:cs="Arial" w:eastAsia="Arial" w:hAnsi="Arial"/>
          <w:b w:val="false"/>
          <w:bCs w:val="false"/>
          <w:sz w:val="20"/>
          <w:szCs w:val="20"/>
        </w:rPr>
        <w:t xml:space="preserve">Cloud-agnostic — the architecture works on Azure, AWS, Google Cloud, or any mix</w:t>
      </w:r>
    </w:p>
    <w:p>
      <w:pPr>
        <w:pStyle w:val="ListParagraph"/>
        <w:numPr>
          <w:ilvl w:val="0"/>
          <w:numId w:val="2"/>
        </w:numPr>
        <w:spacing w:after="40" w:before="40"/>
      </w:pPr>
      <w:r>
        <w:rPr>
          <w:rFonts w:ascii="Arial" w:cs="Arial" w:eastAsia="Arial" w:hAnsi="Arial"/>
          <w:b w:val="false"/>
          <w:bCs w:val="false"/>
          <w:sz w:val="20"/>
          <w:szCs w:val="20"/>
        </w:rPr>
        <w:t xml:space="preserve">API-first — every integration is done via standard REST APIs</w:t>
      </w:r>
    </w:p>
    <w:p>
      <w:pPr>
        <w:pStyle w:val="ListParagraph"/>
        <w:numPr>
          <w:ilvl w:val="0"/>
          <w:numId w:val="2"/>
        </w:numPr>
        <w:spacing w:after="40" w:before="40"/>
      </w:pPr>
      <w:r>
        <w:rPr>
          <w:rFonts w:ascii="Arial" w:cs="Arial" w:eastAsia="Arial" w:hAnsi="Arial"/>
          <w:b w:val="false"/>
          <w:bCs w:val="false"/>
          <w:sz w:val="20"/>
          <w:szCs w:val="20"/>
        </w:rPr>
        <w:t xml:space="preserve">AI as a service — the LLM model is consumed via API, never self-hosted</w:t>
      </w:r>
    </w:p>
    <w:p>
      <w:pPr>
        <w:pStyle w:val="ListParagraph"/>
        <w:numPr>
          <w:ilvl w:val="0"/>
          <w:numId w:val="2"/>
        </w:numPr>
        <w:spacing w:after="40" w:before="40"/>
      </w:pPr>
      <w:r>
        <w:rPr>
          <w:rFonts w:ascii="Arial" w:cs="Arial" w:eastAsia="Arial" w:hAnsi="Arial"/>
          <w:b w:val="false"/>
          <w:bCs w:val="false"/>
          <w:sz w:val="20"/>
          <w:szCs w:val="20"/>
        </w:rPr>
        <w:t xml:space="preserve">Your backend owns the logic — the AI only produces text; all decisions and API calls are orchestrated by your server</w:t>
      </w:r>
    </w:p>
    <w:p>
      <w:pPr>
        <w:pStyle w:val="ListParagraph"/>
        <w:numPr>
          <w:ilvl w:val="0"/>
          <w:numId w:val="2"/>
        </w:numPr>
        <w:spacing w:after="40" w:before="40"/>
      </w:pPr>
      <w:r>
        <w:rPr>
          <w:rFonts w:ascii="Arial" w:cs="Arial" w:eastAsia="Arial" w:hAnsi="Arial"/>
          <w:b w:val="false"/>
          <w:bCs w:val="false"/>
          <w:sz w:val="20"/>
          <w:szCs w:val="20"/>
        </w:rPr>
        <w:t xml:space="preserve">Single backend, multiple frontends — the same backend powers the website widget and mobile app</w:t>
      </w:r>
    </w:p>
    <w:p>
      <w:pPr>
        <w:pStyle w:val="ListParagraph"/>
        <w:numPr>
          <w:ilvl w:val="0"/>
          <w:numId w:val="2"/>
        </w:numPr>
        <w:spacing w:after="40" w:before="40"/>
      </w:pPr>
      <w:r>
        <w:rPr>
          <w:rFonts w:ascii="Arial" w:cs="Arial" w:eastAsia="Arial" w:hAnsi="Arial"/>
          <w:b w:val="false"/>
          <w:bCs w:val="false"/>
          <w:sz w:val="20"/>
          <w:szCs w:val="20"/>
        </w:rPr>
        <w:t xml:space="preserve">Swap-friendly — each layer can be replaced independently without rebuilding the whole system</w:t>
      </w:r>
    </w:p>
    <w:p>
      <w:pPr>
        <w:spacing w:after="80" w:before="280"/>
      </w:pPr>
      <w:r>
        <w:rPr>
          <w:rFonts w:ascii="Arial" w:cs="Arial" w:eastAsia="Arial" w:hAnsi="Arial"/>
          <w:b/>
          <w:bCs/>
          <w:color w:val="1F4E79"/>
          <w:sz w:val="26"/>
          <w:szCs w:val="26"/>
        </w:rPr>
        <w:t xml:space="preserve">3. System Components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Component</w:t>
            </w:r>
          </w:p>
        </w:tc>
        <w:tc>
          <w:tcPr>
            <w:tcW w:type="dxa" w:w="36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What It Does</w:t>
            </w:r>
          </w:p>
        </w:tc>
        <w:tc>
          <w:tcPr>
            <w:tcW w:type="dxa" w:w="36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Where It Lives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Chat UI — Web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Floating chat panel on the website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User's browser (your CDN / hosting)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Chat UI — Mobile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Chat screen in the Ticketmaster app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User's phone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Backend Server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Receives messages, orchestrates all API calls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Cloud server — see Section 4</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AI / LLM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Understands user intent, generates responses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AI API provider — see Section 5</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Vector Database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Stores FAQs &amp; policies for the AI to search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Cloud or managed — see Section 6</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Auth / Identity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Verifies who the user 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Identity provider / Ticketmaster OAuth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Ticketmaster API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Real event data, orders, tickets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Ticketmaster servers (external)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Payment Gateway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Processes ticket payments securely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Stripe / other (external)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Agent Platform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Routes escalations to human agents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Third-party SaaS — see Section 8</w:t>
            </w:r>
          </w:p>
        </w:tc>
      </w:tr>
    </w:tbl>
    <w:p>
      <w:pPr>
        <w:spacing w:after="80" w:before="280"/>
      </w:pPr>
      <w:r>
        <w:rPr>
          <w:rFonts w:ascii="Arial" w:cs="Arial" w:eastAsia="Arial" w:hAnsi="Arial"/>
          <w:b/>
          <w:bCs/>
          <w:color w:val="1F4E79"/>
          <w:sz w:val="26"/>
          <w:szCs w:val="26"/>
        </w:rPr>
        <w:t xml:space="preserve">4. Backend Hosting Options</w:t>
      </w:r>
    </w:p>
    <w:p>
      <w:pPr>
        <w:spacing w:after="50" w:before="50"/>
      </w:pPr>
      <w:r>
        <w:rPr>
          <w:rFonts w:ascii="Arial" w:cs="Arial" w:eastAsia="Arial" w:hAnsi="Arial"/>
          <w:color w:val="222222"/>
          <w:sz w:val="20"/>
          <w:szCs w:val="20"/>
        </w:rPr>
        <w:t xml:space="preserve">Your backend server is the brain of the operation. It receives messages from the user, decides what to do, calls the AI and external APIs, and returns responses. This can be hosted on any major cloud or on-premise. Below are the three most common choices.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
              <w:left w:val="single" w:color="0078D4" w:sz="1"/>
              <w:bottom w:val="single" w:color="0078D4" w:sz="1"/>
              <w:right w:val="single" w:color="0078D4" w:sz="1"/>
            </w:tcBorders>
            <w:shd w:fill="0078D4" w:val="clear"/>
            <w:tcMar>
              <w:top w:type="dxa" w:w="90"/>
              <w:left w:type="dxa" w:w="200"/>
              <w:bottom w:type="dxa" w:w="90"/>
              <w:right w:type="dxa" w:w="200"/>
            </w:tcMar>
          </w:tcPr>
          <w:p>
            <w:r>
              <w:rPr>
                <w:rFonts w:ascii="Arial" w:cs="Arial" w:eastAsia="Arial" w:hAnsi="Arial"/>
                <w:b/>
                <w:bCs/>
                <w:color w:val="FFFFFF"/>
                <w:sz w:val="20"/>
                <w:szCs w:val="20"/>
              </w:rPr>
              <w:t xml:space="preserve">Option A — Microsoft Azure  (Azure App Service / Azure Functions)</w:t>
            </w:r>
          </w:p>
        </w:tc>
      </w:tr>
      <w:tr>
        <w:tc>
          <w:tcPr>
            <w:tcW w:type="dxa" w:w="9360"/>
            <w:tcBorders>
              <w:top w:val="single" w:color="CCCCCC" w:sz="1"/>
              <w:left w:val="single" w:color="0078D4" w:sz="16"/>
              <w:bottom w:val="single" w:color="CCCCCC" w:sz="1"/>
              <w:right w:val="single" w:color="CCCCCC" w:sz="1"/>
            </w:tcBorders>
            <w:shd w:fill="F0F6FF" w:val="clear"/>
            <w:tcMar>
              <w:top w:type="dxa" w:w="60"/>
              <w:left w:type="dxa" w:w="280"/>
              <w:bottom w:type="dxa" w:w="60"/>
              <w:right w:type="dxa" w:w="200"/>
            </w:tcMar>
          </w:tcPr>
          <w:p>
            <w:r>
              <w:rPr>
                <w:rFonts w:ascii="Arial" w:cs="Arial" w:eastAsia="Arial" w:hAnsi="Arial"/>
                <w:color w:val="222222"/>
                <w:sz w:val="19"/>
                <w:szCs w:val="19"/>
              </w:rPr>
              <w:t xml:space="preserve">Best for: teams already in the Microsoft ecosystem, enterprises with compliance requirements</w:t>
            </w:r>
          </w:p>
        </w:tc>
      </w:tr>
      <w:tr>
        <w:tc>
          <w:tcPr>
            <w:tcW w:type="dxa" w:w="9360"/>
            <w:tcBorders>
              <w:top w:val="single" w:color="CCCCCC" w:sz="1"/>
              <w:left w:val="single" w:color="0078D4" w:sz="16"/>
              <w:bottom w:val="single" w:color="CCCCCC" w:sz="1"/>
              <w:right w:val="single" w:color="CCCCCC" w:sz="1"/>
            </w:tcBorders>
            <w:shd w:fill="F0F6FF" w:val="clear"/>
            <w:tcMar>
              <w:top w:type="dxa" w:w="60"/>
              <w:left w:type="dxa" w:w="280"/>
              <w:bottom w:type="dxa" w:w="60"/>
              <w:right w:type="dxa" w:w="200"/>
            </w:tcMar>
          </w:tcPr>
          <w:p>
            <w:r>
              <w:rPr>
                <w:rFonts w:ascii="Arial" w:cs="Arial" w:eastAsia="Arial" w:hAnsi="Arial"/>
                <w:color w:val="222222"/>
                <w:sz w:val="19"/>
                <w:szCs w:val="19"/>
              </w:rPr>
              <w:t xml:space="preserve">Compute: Azure App Service (always-on) or Azure Functions (serverless, pay-per-call)</w:t>
            </w:r>
          </w:p>
        </w:tc>
      </w:tr>
      <w:tr>
        <w:tc>
          <w:tcPr>
            <w:tcW w:type="dxa" w:w="9360"/>
            <w:tcBorders>
              <w:top w:val="single" w:color="CCCCCC" w:sz="1"/>
              <w:left w:val="single" w:color="0078D4" w:sz="16"/>
              <w:bottom w:val="single" w:color="CCCCCC" w:sz="1"/>
              <w:right w:val="single" w:color="CCCCCC" w:sz="1"/>
            </w:tcBorders>
            <w:shd w:fill="F0F6FF" w:val="clear"/>
            <w:tcMar>
              <w:top w:type="dxa" w:w="60"/>
              <w:left w:type="dxa" w:w="280"/>
              <w:bottom w:type="dxa" w:w="60"/>
              <w:right w:type="dxa" w:w="200"/>
            </w:tcMar>
          </w:tcPr>
          <w:p>
            <w:r>
              <w:rPr>
                <w:rFonts w:ascii="Arial" w:cs="Arial" w:eastAsia="Arial" w:hAnsi="Arial"/>
                <w:color w:val="222222"/>
                <w:sz w:val="19"/>
                <w:szCs w:val="19"/>
              </w:rPr>
              <w:t xml:space="preserve">Key advantage: Azure OpenAI Service sits in the same environment — lowest latency to the AI, data stays within Azure's compliance boundary</w:t>
            </w:r>
          </w:p>
        </w:tc>
      </w:tr>
      <w:tr>
        <w:tc>
          <w:tcPr>
            <w:tcW w:type="dxa" w:w="9360"/>
            <w:tcBorders>
              <w:top w:val="single" w:color="CCCCCC" w:sz="1"/>
              <w:left w:val="single" w:color="0078D4" w:sz="16"/>
              <w:bottom w:val="single" w:color="CCCCCC" w:sz="1"/>
              <w:right w:val="single" w:color="CCCCCC" w:sz="1"/>
            </w:tcBorders>
            <w:shd w:fill="F0F6FF" w:val="clear"/>
            <w:tcMar>
              <w:top w:type="dxa" w:w="60"/>
              <w:left w:type="dxa" w:w="280"/>
              <w:bottom w:type="dxa" w:w="60"/>
              <w:right w:type="dxa" w:w="200"/>
            </w:tcMar>
          </w:tcPr>
          <w:p>
            <w:r>
              <w:rPr>
                <w:rFonts w:ascii="Arial" w:cs="Arial" w:eastAsia="Arial" w:hAnsi="Arial"/>
                <w:color w:val="222222"/>
                <w:sz w:val="19"/>
                <w:szCs w:val="19"/>
              </w:rPr>
              <w:t xml:space="preserve">Auth: Azure Active Directory integrates cleanly with enterprise SSO</w:t>
            </w:r>
          </w:p>
        </w:tc>
      </w:tr>
      <w:tr>
        <w:tc>
          <w:tcPr>
            <w:tcW w:type="dxa" w:w="9360"/>
            <w:tcBorders>
              <w:top w:val="single" w:color="CCCCCC" w:sz="1"/>
              <w:left w:val="single" w:color="0078D4" w:sz="16"/>
              <w:bottom w:val="single" w:color="CCCCCC" w:sz="1"/>
              <w:right w:val="single" w:color="CCCCCC" w:sz="1"/>
            </w:tcBorders>
            <w:shd w:fill="F0F6FF" w:val="clear"/>
            <w:tcMar>
              <w:top w:type="dxa" w:w="60"/>
              <w:left w:type="dxa" w:w="280"/>
              <w:bottom w:type="dxa" w:w="60"/>
              <w:right w:type="dxa" w:w="200"/>
            </w:tcMar>
          </w:tcPr>
          <w:p>
            <w:r>
              <w:rPr>
                <w:rFonts w:ascii="Arial" w:cs="Arial" w:eastAsia="Arial" w:hAnsi="Arial"/>
                <w:color w:val="222222"/>
                <w:sz w:val="19"/>
                <w:szCs w:val="19"/>
              </w:rPr>
              <w:t xml:space="preserve">Extras: Azure Key Vault for API key storage, Azure Monitor for logging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
              <w:left w:val="single" w:color="FF9900" w:sz="1"/>
              <w:bottom w:val="single" w:color="FF9900" w:sz="1"/>
              <w:right w:val="single" w:color="FF9900" w:sz="1"/>
            </w:tcBorders>
            <w:shd w:fill="FF9900" w:val="clear"/>
            <w:tcMar>
              <w:top w:type="dxa" w:w="90"/>
              <w:left w:type="dxa" w:w="200"/>
              <w:bottom w:type="dxa" w:w="90"/>
              <w:right w:type="dxa" w:w="200"/>
            </w:tcMar>
          </w:tcPr>
          <w:p>
            <w:r>
              <w:rPr>
                <w:rFonts w:ascii="Arial" w:cs="Arial" w:eastAsia="Arial" w:hAnsi="Arial"/>
                <w:b/>
                <w:bCs/>
                <w:color w:val="FFFFFF"/>
                <w:sz w:val="20"/>
                <w:szCs w:val="20"/>
              </w:rPr>
              <w:t xml:space="preserve">Option B — Amazon Web Services  (AWS Lambda / EC2 / ECS)</w:t>
            </w:r>
          </w:p>
        </w:tc>
      </w:tr>
      <w:tr>
        <w:tc>
          <w:tcPr>
            <w:tcW w:type="dxa" w:w="9360"/>
            <w:tcBorders>
              <w:top w:val="single" w:color="CCCCCC" w:sz="1"/>
              <w:left w:val="single" w:color="FF9900" w:sz="16"/>
              <w:bottom w:val="single" w:color="CCCCCC" w:sz="1"/>
              <w:right w:val="single" w:color="CCCCCC" w:sz="1"/>
            </w:tcBorders>
            <w:shd w:fill="FFF8F0" w:val="clear"/>
            <w:tcMar>
              <w:top w:type="dxa" w:w="60"/>
              <w:left w:type="dxa" w:w="280"/>
              <w:bottom w:type="dxa" w:w="60"/>
              <w:right w:type="dxa" w:w="200"/>
            </w:tcMar>
          </w:tcPr>
          <w:p>
            <w:r>
              <w:rPr>
                <w:rFonts w:ascii="Arial" w:cs="Arial" w:eastAsia="Arial" w:hAnsi="Arial"/>
                <w:color w:val="222222"/>
                <w:sz w:val="19"/>
                <w:szCs w:val="19"/>
              </w:rPr>
              <w:t xml:space="preserve">Best for: teams already on AWS, startups comfortable with AWS tooling</w:t>
            </w:r>
          </w:p>
        </w:tc>
      </w:tr>
      <w:tr>
        <w:tc>
          <w:tcPr>
            <w:tcW w:type="dxa" w:w="9360"/>
            <w:tcBorders>
              <w:top w:val="single" w:color="CCCCCC" w:sz="1"/>
              <w:left w:val="single" w:color="FF9900" w:sz="16"/>
              <w:bottom w:val="single" w:color="CCCCCC" w:sz="1"/>
              <w:right w:val="single" w:color="CCCCCC" w:sz="1"/>
            </w:tcBorders>
            <w:shd w:fill="FFF8F0" w:val="clear"/>
            <w:tcMar>
              <w:top w:type="dxa" w:w="60"/>
              <w:left w:type="dxa" w:w="280"/>
              <w:bottom w:type="dxa" w:w="60"/>
              <w:right w:type="dxa" w:w="200"/>
            </w:tcMar>
          </w:tcPr>
          <w:p>
            <w:r>
              <w:rPr>
                <w:rFonts w:ascii="Arial" w:cs="Arial" w:eastAsia="Arial" w:hAnsi="Arial"/>
                <w:color w:val="222222"/>
                <w:sz w:val="19"/>
                <w:szCs w:val="19"/>
              </w:rPr>
              <w:t xml:space="preserve">Compute: Lambda (serverless) for event-driven flows, EC2 or ECS for persistent servers</w:t>
            </w:r>
          </w:p>
        </w:tc>
      </w:tr>
      <w:tr>
        <w:tc>
          <w:tcPr>
            <w:tcW w:type="dxa" w:w="9360"/>
            <w:tcBorders>
              <w:top w:val="single" w:color="CCCCCC" w:sz="1"/>
              <w:left w:val="single" w:color="FF9900" w:sz="16"/>
              <w:bottom w:val="single" w:color="CCCCCC" w:sz="1"/>
              <w:right w:val="single" w:color="CCCCCC" w:sz="1"/>
            </w:tcBorders>
            <w:shd w:fill="FFF8F0" w:val="clear"/>
            <w:tcMar>
              <w:top w:type="dxa" w:w="60"/>
              <w:left w:type="dxa" w:w="280"/>
              <w:bottom w:type="dxa" w:w="60"/>
              <w:right w:type="dxa" w:w="200"/>
            </w:tcMar>
          </w:tcPr>
          <w:p>
            <w:r>
              <w:rPr>
                <w:rFonts w:ascii="Arial" w:cs="Arial" w:eastAsia="Arial" w:hAnsi="Arial"/>
                <w:color w:val="222222"/>
                <w:sz w:val="19"/>
                <w:szCs w:val="19"/>
              </w:rPr>
              <w:t xml:space="preserve">Key advantage: AWS has the largest ecosystem of managed services and broadest global region coverage</w:t>
            </w:r>
          </w:p>
        </w:tc>
      </w:tr>
      <w:tr>
        <w:tc>
          <w:tcPr>
            <w:tcW w:type="dxa" w:w="9360"/>
            <w:tcBorders>
              <w:top w:val="single" w:color="CCCCCC" w:sz="1"/>
              <w:left w:val="single" w:color="FF9900" w:sz="16"/>
              <w:bottom w:val="single" w:color="CCCCCC" w:sz="1"/>
              <w:right w:val="single" w:color="CCCCCC" w:sz="1"/>
            </w:tcBorders>
            <w:shd w:fill="FFF8F0" w:val="clear"/>
            <w:tcMar>
              <w:top w:type="dxa" w:w="60"/>
              <w:left w:type="dxa" w:w="280"/>
              <w:bottom w:type="dxa" w:w="60"/>
              <w:right w:type="dxa" w:w="200"/>
            </w:tcMar>
          </w:tcPr>
          <w:p>
            <w:r>
              <w:rPr>
                <w:rFonts w:ascii="Arial" w:cs="Arial" w:eastAsia="Arial" w:hAnsi="Arial"/>
                <w:color w:val="222222"/>
                <w:sz w:val="19"/>
                <w:szCs w:val="19"/>
              </w:rPr>
              <w:t xml:space="preserve">AI: Calls OpenAI or Anthropic APIs over the internet, or use Amazon Bedrock (Claude, Llama, Titan hosted on AWS)</w:t>
            </w:r>
          </w:p>
        </w:tc>
      </w:tr>
      <w:tr>
        <w:tc>
          <w:tcPr>
            <w:tcW w:type="dxa" w:w="9360"/>
            <w:tcBorders>
              <w:top w:val="single" w:color="CCCCCC" w:sz="1"/>
              <w:left w:val="single" w:color="FF9900" w:sz="16"/>
              <w:bottom w:val="single" w:color="CCCCCC" w:sz="1"/>
              <w:right w:val="single" w:color="CCCCCC" w:sz="1"/>
            </w:tcBorders>
            <w:shd w:fill="FFF8F0" w:val="clear"/>
            <w:tcMar>
              <w:top w:type="dxa" w:w="60"/>
              <w:left w:type="dxa" w:w="280"/>
              <w:bottom w:type="dxa" w:w="60"/>
              <w:right w:type="dxa" w:w="200"/>
            </w:tcMar>
          </w:tcPr>
          <w:p>
            <w:r>
              <w:rPr>
                <w:rFonts w:ascii="Arial" w:cs="Arial" w:eastAsia="Arial" w:hAnsi="Arial"/>
                <w:color w:val="222222"/>
                <w:sz w:val="19"/>
                <w:szCs w:val="19"/>
              </w:rPr>
              <w:t xml:space="preserve">Extras: AWS Secrets Manager for API keys, CloudWatch for logging, API Gateway for routing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4A853" w:sz="1"/>
              <w:left w:val="single" w:color="34A853" w:sz="1"/>
              <w:bottom w:val="single" w:color="34A853" w:sz="1"/>
              <w:right w:val="single" w:color="34A853" w:sz="1"/>
            </w:tcBorders>
            <w:shd w:fill="34A853" w:val="clear"/>
            <w:tcMar>
              <w:top w:type="dxa" w:w="90"/>
              <w:left w:type="dxa" w:w="200"/>
              <w:bottom w:type="dxa" w:w="90"/>
              <w:right w:type="dxa" w:w="200"/>
            </w:tcMar>
          </w:tcPr>
          <w:p>
            <w:r>
              <w:rPr>
                <w:rFonts w:ascii="Arial" w:cs="Arial" w:eastAsia="Arial" w:hAnsi="Arial"/>
                <w:b/>
                <w:bCs/>
                <w:color w:val="FFFFFF"/>
                <w:sz w:val="20"/>
                <w:szCs w:val="20"/>
              </w:rPr>
              <w:t xml:space="preserve">Option C — Google Cloud Platform  (Cloud Run / App Engine)</w:t>
            </w:r>
          </w:p>
        </w:tc>
      </w:tr>
      <w:tr>
        <w:tc>
          <w:tcPr>
            <w:tcW w:type="dxa" w:w="9360"/>
            <w:tcBorders>
              <w:top w:val="single" w:color="CCCCCC" w:sz="1"/>
              <w:left w:val="single" w:color="34A853" w:sz="16"/>
              <w:bottom w:val="single" w:color="CCCCCC" w:sz="1"/>
              <w:right w:val="single" w:color="CCCCCC" w:sz="1"/>
            </w:tcBorders>
            <w:shd w:fill="F0FFF4" w:val="clear"/>
            <w:tcMar>
              <w:top w:type="dxa" w:w="60"/>
              <w:left w:type="dxa" w:w="280"/>
              <w:bottom w:type="dxa" w:w="60"/>
              <w:right w:type="dxa" w:w="200"/>
            </w:tcMar>
          </w:tcPr>
          <w:p>
            <w:r>
              <w:rPr>
                <w:rFonts w:ascii="Arial" w:cs="Arial" w:eastAsia="Arial" w:hAnsi="Arial"/>
                <w:color w:val="222222"/>
                <w:sz w:val="19"/>
                <w:szCs w:val="19"/>
              </w:rPr>
              <w:t xml:space="preserve">Best for: teams wanting tight AI integration, or already using Google Workspace</w:t>
            </w:r>
          </w:p>
        </w:tc>
      </w:tr>
      <w:tr>
        <w:tc>
          <w:tcPr>
            <w:tcW w:type="dxa" w:w="9360"/>
            <w:tcBorders>
              <w:top w:val="single" w:color="CCCCCC" w:sz="1"/>
              <w:left w:val="single" w:color="34A853" w:sz="16"/>
              <w:bottom w:val="single" w:color="CCCCCC" w:sz="1"/>
              <w:right w:val="single" w:color="CCCCCC" w:sz="1"/>
            </w:tcBorders>
            <w:shd w:fill="F0FFF4" w:val="clear"/>
            <w:tcMar>
              <w:top w:type="dxa" w:w="60"/>
              <w:left w:type="dxa" w:w="280"/>
              <w:bottom w:type="dxa" w:w="60"/>
              <w:right w:type="dxa" w:w="200"/>
            </w:tcMar>
          </w:tcPr>
          <w:p>
            <w:r>
              <w:rPr>
                <w:rFonts w:ascii="Arial" w:cs="Arial" w:eastAsia="Arial" w:hAnsi="Arial"/>
                <w:color w:val="222222"/>
                <w:sz w:val="19"/>
                <w:szCs w:val="19"/>
              </w:rPr>
              <w:t xml:space="preserve">Compute: Cloud Run (containerised, serverless) is the easiest modern option</w:t>
            </w:r>
          </w:p>
        </w:tc>
      </w:tr>
      <w:tr>
        <w:tc>
          <w:tcPr>
            <w:tcW w:type="dxa" w:w="9360"/>
            <w:tcBorders>
              <w:top w:val="single" w:color="CCCCCC" w:sz="1"/>
              <w:left w:val="single" w:color="34A853" w:sz="16"/>
              <w:bottom w:val="single" w:color="CCCCCC" w:sz="1"/>
              <w:right w:val="single" w:color="CCCCCC" w:sz="1"/>
            </w:tcBorders>
            <w:shd w:fill="F0FFF4" w:val="clear"/>
            <w:tcMar>
              <w:top w:type="dxa" w:w="60"/>
              <w:left w:type="dxa" w:w="280"/>
              <w:bottom w:type="dxa" w:w="60"/>
              <w:right w:type="dxa" w:w="200"/>
            </w:tcMar>
          </w:tcPr>
          <w:p>
            <w:r>
              <w:rPr>
                <w:rFonts w:ascii="Arial" w:cs="Arial" w:eastAsia="Arial" w:hAnsi="Arial"/>
                <w:color w:val="222222"/>
                <w:sz w:val="19"/>
                <w:szCs w:val="19"/>
              </w:rPr>
              <w:t xml:space="preserve">Key advantage: Google has Vertex AI — access to Gemini models natively within GCP, plus strong data tooling</w:t>
            </w:r>
          </w:p>
        </w:tc>
      </w:tr>
      <w:tr>
        <w:tc>
          <w:tcPr>
            <w:tcW w:type="dxa" w:w="9360"/>
            <w:tcBorders>
              <w:top w:val="single" w:color="CCCCCC" w:sz="1"/>
              <w:left w:val="single" w:color="34A853" w:sz="16"/>
              <w:bottom w:val="single" w:color="CCCCCC" w:sz="1"/>
              <w:right w:val="single" w:color="CCCCCC" w:sz="1"/>
            </w:tcBorders>
            <w:shd w:fill="F0FFF4" w:val="clear"/>
            <w:tcMar>
              <w:top w:type="dxa" w:w="60"/>
              <w:left w:type="dxa" w:w="280"/>
              <w:bottom w:type="dxa" w:w="60"/>
              <w:right w:type="dxa" w:w="200"/>
            </w:tcMar>
          </w:tcPr>
          <w:p>
            <w:r>
              <w:rPr>
                <w:rFonts w:ascii="Arial" w:cs="Arial" w:eastAsia="Arial" w:hAnsi="Arial"/>
                <w:color w:val="222222"/>
                <w:sz w:val="19"/>
                <w:szCs w:val="19"/>
              </w:rPr>
              <w:t xml:space="preserve">AI: Vertex AI (Gemini) or calls to OpenAI / Anthropic externally</w:t>
            </w:r>
          </w:p>
        </w:tc>
      </w:tr>
      <w:tr>
        <w:tc>
          <w:tcPr>
            <w:tcW w:type="dxa" w:w="9360"/>
            <w:tcBorders>
              <w:top w:val="single" w:color="CCCCCC" w:sz="1"/>
              <w:left w:val="single" w:color="34A853" w:sz="16"/>
              <w:bottom w:val="single" w:color="CCCCCC" w:sz="1"/>
              <w:right w:val="single" w:color="CCCCCC" w:sz="1"/>
            </w:tcBorders>
            <w:shd w:fill="F0FFF4" w:val="clear"/>
            <w:tcMar>
              <w:top w:type="dxa" w:w="60"/>
              <w:left w:type="dxa" w:w="280"/>
              <w:bottom w:type="dxa" w:w="60"/>
              <w:right w:type="dxa" w:w="200"/>
            </w:tcMar>
          </w:tcPr>
          <w:p>
            <w:r>
              <w:rPr>
                <w:rFonts w:ascii="Arial" w:cs="Arial" w:eastAsia="Arial" w:hAnsi="Arial"/>
                <w:color w:val="222222"/>
                <w:sz w:val="19"/>
                <w:szCs w:val="19"/>
              </w:rPr>
              <w:t xml:space="preserve">Extras: Google Secret Manager, Cloud Logging, Firebase Auth for identity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1"/>
              <w:left w:val="single" w:color="7B2D8B" w:sz="1"/>
              <w:bottom w:val="single" w:color="7B2D8B" w:sz="1"/>
              <w:right w:val="single" w:color="7B2D8B" w:sz="1"/>
            </w:tcBorders>
            <w:shd w:fill="7B2D8B" w:val="clear"/>
            <w:tcMar>
              <w:top w:type="dxa" w:w="90"/>
              <w:left w:type="dxa" w:w="200"/>
              <w:bottom w:type="dxa" w:w="90"/>
              <w:right w:type="dxa" w:w="200"/>
            </w:tcMar>
          </w:tcPr>
          <w:p>
            <w:r>
              <w:rPr>
                <w:rFonts w:ascii="Arial" w:cs="Arial" w:eastAsia="Arial" w:hAnsi="Arial"/>
                <w:b/>
                <w:bCs/>
                <w:color w:val="FFFFFF"/>
                <w:sz w:val="20"/>
                <w:szCs w:val="20"/>
              </w:rPr>
              <w:t xml:space="preserve">Option D — Platform-as-a-Service  (Railway / Render / Fly.io)</w:t>
            </w:r>
          </w:p>
        </w:tc>
      </w:tr>
      <w:tr>
        <w:tc>
          <w:tcPr>
            <w:tcW w:type="dxa" w:w="9360"/>
            <w:tcBorders>
              <w:top w:val="single" w:color="CCCCCC" w:sz="1"/>
              <w:left w:val="single" w:color="7B2D8B" w:sz="16"/>
              <w:bottom w:val="single" w:color="CCCCCC" w:sz="1"/>
              <w:right w:val="single" w:color="CCCCCC" w:sz="1"/>
            </w:tcBorders>
            <w:shd w:fill="FDF4FF" w:val="clear"/>
            <w:tcMar>
              <w:top w:type="dxa" w:w="60"/>
              <w:left w:type="dxa" w:w="280"/>
              <w:bottom w:type="dxa" w:w="60"/>
              <w:right w:type="dxa" w:w="200"/>
            </w:tcMar>
          </w:tcPr>
          <w:p>
            <w:r>
              <w:rPr>
                <w:rFonts w:ascii="Arial" w:cs="Arial" w:eastAsia="Arial" w:hAnsi="Arial"/>
                <w:color w:val="222222"/>
                <w:sz w:val="19"/>
                <w:szCs w:val="19"/>
              </w:rPr>
              <w:t xml:space="preserve">Best for: smaller teams, faster MVPs, less DevOps overhead</w:t>
            </w:r>
          </w:p>
        </w:tc>
      </w:tr>
      <w:tr>
        <w:tc>
          <w:tcPr>
            <w:tcW w:type="dxa" w:w="9360"/>
            <w:tcBorders>
              <w:top w:val="single" w:color="CCCCCC" w:sz="1"/>
              <w:left w:val="single" w:color="7B2D8B" w:sz="16"/>
              <w:bottom w:val="single" w:color="CCCCCC" w:sz="1"/>
              <w:right w:val="single" w:color="CCCCCC" w:sz="1"/>
            </w:tcBorders>
            <w:shd w:fill="FDF4FF" w:val="clear"/>
            <w:tcMar>
              <w:top w:type="dxa" w:w="60"/>
              <w:left w:type="dxa" w:w="280"/>
              <w:bottom w:type="dxa" w:w="60"/>
              <w:right w:type="dxa" w:w="200"/>
            </w:tcMar>
          </w:tcPr>
          <w:p>
            <w:r>
              <w:rPr>
                <w:rFonts w:ascii="Arial" w:cs="Arial" w:eastAsia="Arial" w:hAnsi="Arial"/>
                <w:color w:val="222222"/>
                <w:sz w:val="19"/>
                <w:szCs w:val="19"/>
              </w:rPr>
              <w:t xml:space="preserve">Compute: Deploy your Node.js or Python server with minimal configuration</w:t>
            </w:r>
          </w:p>
        </w:tc>
      </w:tr>
      <w:tr>
        <w:tc>
          <w:tcPr>
            <w:tcW w:type="dxa" w:w="9360"/>
            <w:tcBorders>
              <w:top w:val="single" w:color="CCCCCC" w:sz="1"/>
              <w:left w:val="single" w:color="7B2D8B" w:sz="16"/>
              <w:bottom w:val="single" w:color="CCCCCC" w:sz="1"/>
              <w:right w:val="single" w:color="CCCCCC" w:sz="1"/>
            </w:tcBorders>
            <w:shd w:fill="FDF4FF" w:val="clear"/>
            <w:tcMar>
              <w:top w:type="dxa" w:w="60"/>
              <w:left w:type="dxa" w:w="280"/>
              <w:bottom w:type="dxa" w:w="60"/>
              <w:right w:type="dxa" w:w="200"/>
            </w:tcMar>
          </w:tcPr>
          <w:p>
            <w:r>
              <w:rPr>
                <w:rFonts w:ascii="Arial" w:cs="Arial" w:eastAsia="Arial" w:hAnsi="Arial"/>
                <w:color w:val="222222"/>
                <w:sz w:val="19"/>
                <w:szCs w:val="19"/>
              </w:rPr>
              <w:t xml:space="preserve">Key advantage: Lowest setup friction — push code and it runs. No cloud expertise needed.</w:t>
            </w:r>
          </w:p>
        </w:tc>
      </w:tr>
      <w:tr>
        <w:tc>
          <w:tcPr>
            <w:tcW w:type="dxa" w:w="9360"/>
            <w:tcBorders>
              <w:top w:val="single" w:color="CCCCCC" w:sz="1"/>
              <w:left w:val="single" w:color="7B2D8B" w:sz="16"/>
              <w:bottom w:val="single" w:color="CCCCCC" w:sz="1"/>
              <w:right w:val="single" w:color="CCCCCC" w:sz="1"/>
            </w:tcBorders>
            <w:shd w:fill="FDF4FF" w:val="clear"/>
            <w:tcMar>
              <w:top w:type="dxa" w:w="60"/>
              <w:left w:type="dxa" w:w="280"/>
              <w:bottom w:type="dxa" w:w="60"/>
              <w:right w:type="dxa" w:w="200"/>
            </w:tcMar>
          </w:tcPr>
          <w:p>
            <w:r>
              <w:rPr>
                <w:rFonts w:ascii="Arial" w:cs="Arial" w:eastAsia="Arial" w:hAnsi="Arial"/>
                <w:color w:val="222222"/>
                <w:sz w:val="19"/>
                <w:szCs w:val="19"/>
              </w:rPr>
              <w:t xml:space="preserve">Limitation: Less enterprise-grade in terms of compliance, SLAs, and network isolation</w:t>
            </w:r>
          </w:p>
        </w:tc>
      </w:tr>
      <w:tr>
        <w:tc>
          <w:tcPr>
            <w:tcW w:type="dxa" w:w="9360"/>
            <w:tcBorders>
              <w:top w:val="single" w:color="CCCCCC" w:sz="1"/>
              <w:left w:val="single" w:color="7B2D8B" w:sz="16"/>
              <w:bottom w:val="single" w:color="CCCCCC" w:sz="1"/>
              <w:right w:val="single" w:color="CCCCCC" w:sz="1"/>
            </w:tcBorders>
            <w:shd w:fill="FDF4FF" w:val="clear"/>
            <w:tcMar>
              <w:top w:type="dxa" w:w="60"/>
              <w:left w:type="dxa" w:w="280"/>
              <w:bottom w:type="dxa" w:w="60"/>
              <w:right w:type="dxa" w:w="200"/>
            </w:tcMar>
          </w:tcPr>
          <w:p>
            <w:r>
              <w:rPr>
                <w:rFonts w:ascii="Arial" w:cs="Arial" w:eastAsia="Arial" w:hAnsi="Arial"/>
                <w:color w:val="222222"/>
                <w:sz w:val="19"/>
                <w:szCs w:val="19"/>
              </w:rPr>
              <w:t xml:space="preserve">Suitable for: early-stage builds, proof of concepts, or when cloud isn't a requirement</w:t>
            </w:r>
          </w:p>
        </w:tc>
      </w:tr>
    </w:tbl>
    <w:p>
      <w:pPr>
        <w:spacing w:after="0" w:before="140"/>
      </w:pPr>
      <w:r>
        <w:t xml:space="preserve"/>
      </w:r>
    </w:p>
    <w:p>
      <w:pPr>
        <w:pBdr>
          <w:top w:val="single" w:color="CCCCCC" w:sz="4" w:space="1"/>
          <w:bottom w:val="single" w:color="CCCCCC" w:sz="4" w:space="1"/>
          <w:left w:val="single" w:color="2E75B6" w:sz="16" w:space="4"/>
          <w:right w:val="none"/>
        </w:pBdr>
        <w:spacing w:after="100" w:before="160"/>
        <w:ind w:left="180"/>
      </w:pPr>
      <w:r>
        <w:rPr>
          <w:rFonts w:ascii="Arial" w:cs="Arial" w:eastAsia="Arial" w:hAnsi="Arial"/>
          <w:i/>
          <w:iCs/>
          <w:color w:val="444444"/>
          <w:sz w:val="18"/>
          <w:szCs w:val="18"/>
        </w:rPr>
        <w:t xml:space="preserve">Recommendation for Ticketmaster scale: Azure or AWS. Both offer the compliance controls, uptime SLAs, and enterprise security needed for a platform handling millions of users and payment data. Azure has a slight edge if you plan to use Azure OpenAI for keeping data in-boundary.</w:t>
      </w:r>
    </w:p>
    <w:p>
      <w:pPr>
        <w:spacing w:after="80" w:before="280"/>
      </w:pPr>
      <w:r>
        <w:rPr>
          <w:rFonts w:ascii="Arial" w:cs="Arial" w:eastAsia="Arial" w:hAnsi="Arial"/>
          <w:b/>
          <w:bCs/>
          <w:color w:val="1F4E79"/>
          <w:sz w:val="26"/>
          <w:szCs w:val="26"/>
        </w:rPr>
        <w:t xml:space="preserve">5. AI Model Options</w:t>
      </w:r>
    </w:p>
    <w:p>
      <w:pPr>
        <w:spacing w:after="50" w:before="50"/>
      </w:pPr>
      <w:r>
        <w:rPr>
          <w:rFonts w:ascii="Arial" w:cs="Arial" w:eastAsia="Arial" w:hAnsi="Arial"/>
          <w:color w:val="222222"/>
          <w:sz w:val="20"/>
          <w:szCs w:val="20"/>
        </w:rPr>
        <w:t xml:space="preserve">The AI model is the engine that reads user messages and generates responses. You do not host this yourself — you call it via API. All options below work with the same architecture; only the API endpoint and pricing differ.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Provider</w:t>
            </w:r>
          </w:p>
        </w:tc>
        <w:tc>
          <w:tcPr>
            <w:tcW w:type="dxa" w:w="22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Model</w:t>
            </w:r>
          </w:p>
        </w:tc>
        <w:tc>
          <w:tcPr>
            <w:tcW w:type="dxa" w:w="26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Hosted On</w:t>
            </w:r>
          </w:p>
        </w:tc>
        <w:tc>
          <w:tcPr>
            <w:tcW w:type="dxa" w:w="26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Best For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OpenAI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GPT-4o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OpenAI cloud (or Azure OpenAI)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Best overall quality, widest adoption, strong tool-calling support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Anthropic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Claude 3.5 / Claude 4</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Anthropic cloud (or AWS Bedrock)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Strong reasoning, large context window, good for policy/compliance use cases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Gemini 1.5 / 2.0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Google Cloud Vertex AI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If infrastructure is on GCP; strong multimodal capabilities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Meta (open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Llama 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Self-hosted or via AWS Bedrock / Groq</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Cost control, no data leaving your environment, customisable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AWS Bedrock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Multiple models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AWS environment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One API to access Claude, Llama, Titan — useful if on AWS</w:t>
            </w:r>
          </w:p>
        </w:tc>
      </w:tr>
    </w:tbl>
    <w:p>
      <w:pPr>
        <w:spacing w:after="0" w:before="100"/>
      </w:pPr>
      <w:r>
        <w:t xml:space="preserve"/>
      </w:r>
    </w:p>
    <w:p>
      <w:pPr>
        <w:pBdr>
          <w:top w:val="single" w:color="CCCCCC" w:sz="4" w:space="1"/>
          <w:bottom w:val="single" w:color="CCCCCC" w:sz="4" w:space="1"/>
          <w:left w:val="single" w:color="2E75B6" w:sz="16" w:space="4"/>
          <w:right w:val="none"/>
        </w:pBdr>
        <w:spacing w:after="100" w:before="160"/>
        <w:ind w:left="180"/>
      </w:pPr>
      <w:r>
        <w:rPr>
          <w:rFonts w:ascii="Arial" w:cs="Arial" w:eastAsia="Arial" w:hAnsi="Arial"/>
          <w:i/>
          <w:iCs/>
          <w:color w:val="444444"/>
          <w:sz w:val="18"/>
          <w:szCs w:val="18"/>
        </w:rPr>
        <w:t xml:space="preserve">Tool Calling / Function Calling: All major providers (OpenAI, Anthropic, Google) support this feature. It allows the AI to signal 'I need to call the Ticketmaster API' and your backend executes it. This is the foundation of the 'AI Agent' pattern — more powerful than the basic two-call flow.</w:t>
      </w:r>
    </w:p>
    <w:p>
      <w:pPr>
        <w:spacing w:after="80" w:before="280"/>
      </w:pPr>
      <w:r>
        <w:rPr>
          <w:rFonts w:ascii="Arial" w:cs="Arial" w:eastAsia="Arial" w:hAnsi="Arial"/>
          <w:b/>
          <w:bCs/>
          <w:color w:val="1F4E79"/>
          <w:sz w:val="26"/>
          <w:szCs w:val="26"/>
        </w:rPr>
        <w:t xml:space="preserve">6. Full System Architecture</w:t>
      </w:r>
    </w:p>
    <w:p>
      <w:pPr>
        <w:spacing w:after="50" w:before="50"/>
      </w:pPr>
      <w:r>
        <w:rPr>
          <w:rFonts w:ascii="Arial" w:cs="Arial" w:eastAsia="Arial" w:hAnsi="Arial"/>
          <w:color w:val="222222"/>
          <w:sz w:val="20"/>
          <w:szCs w:val="20"/>
        </w:rPr>
        <w:t xml:space="preserve">The diagram below shows how all layers connect. The backend is your central orchestrator — every message from the user passes through it, and every API call goes out from it. The AI and all third-party services sit around the backend as plug-in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USER LAYER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Website Chat Widget (React)       Mobile App (React Native)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Floating button → chat panel      Embedded chat screen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HTTPS — message + session/auth token</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YOUR BACKEND SERVER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(Azure App Service / AWS Lambda / GCP Cloud Run / Railway)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What it does: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Receives user messages from web and mobile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Maintains conversation history (session state)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Calls AI API → reads response → decides next action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Calls Ticketmaster API with extracted parameters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Applies business rules (auth checks, escalation triggers)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Returns final response to the user's chat window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AI / LLM   │  │  Vector DB      │  │  Auth / Identity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  (RAG — FAQs,   │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OpenAI     │  │   policies,     │  │  OAuth / JWT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Anthropic  │  │   venue guides) │  │  Ticketmaster login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Gemini     │  │                 │  │  Firebase / Auth0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Llama      │  │  Pinecone       │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  Weaviate       │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  Qdrant         │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Outbound API calls over internet</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Ticketmaster   │  │  Payment     │    │  Agent Platform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APIs           │  │  Gateway     │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              │    │  Zendesk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Discovery API  │  │  Stripe      │    │  Intercom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(event search) │  │  Braintree   │    │  Freshdesk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Commerce API   │  │  PayPal      │    │  Salesforce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(orders,       │  │  Razorpay    │    │  Genesys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tickets,      │  │              │    │  LiveChat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refunds)      │  │              │    │  Custom Webhook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    └──────────────────────┘</w:t>
            </w:r>
          </w:p>
        </w:tc>
      </w:tr>
    </w:tbl>
    <w:p>
      <w:pPr>
        <w:spacing w:after="80" w:before="280"/>
      </w:pPr>
      <w:r>
        <w:rPr>
          <w:rFonts w:ascii="Arial" w:cs="Arial" w:eastAsia="Arial" w:hAnsi="Arial"/>
          <w:b/>
          <w:bCs/>
          <w:color w:val="1F4E79"/>
          <w:sz w:val="26"/>
          <w:szCs w:val="26"/>
        </w:rPr>
        <w:t xml:space="preserve">7. How the AI Interacts with the Ticketmaster API</w:t>
      </w:r>
    </w:p>
    <w:p>
      <w:pPr>
        <w:spacing w:after="50" w:before="50"/>
      </w:pPr>
      <w:r>
        <w:rPr>
          <w:rFonts w:ascii="Arial" w:cs="Arial" w:eastAsia="Arial" w:hAnsi="Arial"/>
          <w:color w:val="222222"/>
          <w:sz w:val="20"/>
          <w:szCs w:val="20"/>
        </w:rPr>
        <w:t xml:space="preserve">The AI does not call the Ticketmaster API directly. The AI only produces text. Your backend reads that output and makes the actual API call. Here is the exact sequence for an event discovery request.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1  User sends: "Rock concerts in Chicago next month"</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2  Backend sends message to AI with instructions:</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System prompt: "Extract intent and parameters. Return JSON only."</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3  AI returns structured JSON:</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"intent": "event_discovery", "genre": "rock",</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"city": "Chicago", "dateRange": "2025-06-01 to 2025-06-30"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4  Backend reads JSON → calls Ticketmaster Discovery API:</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GET /discovery/v2/events</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?classificationName=rock</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&amp;city=Chicago</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&amp;startDateTime=2025-06-01T00:00:00Z</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&amp;apikey=YOUR_TM_API_KEY</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5  Ticketmaster returns real event data:</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Foo Fighters – June 12 – United Center – $85,</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Arctic Monkeys – June 19 – Wrigley Field – $110, ...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6  Backend passes real data BACK to AI:</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System: "Format these events conversationally for the user."</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7  AI returns: "Great news! 3 rock shows coming up in Chicago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8  Backend sends response to the user's chat window</w:t>
            </w:r>
          </w:p>
        </w:tc>
      </w:tr>
    </w:tbl>
    <w:p>
      <w:pPr>
        <w:spacing w:after="0" w:before="120"/>
      </w:pPr>
      <w:r>
        <w:t xml:space="preserve"/>
      </w:r>
    </w:p>
    <w:p>
      <w:pPr>
        <w:pBdr>
          <w:top w:val="single" w:color="CCCCCC" w:sz="4" w:space="1"/>
          <w:bottom w:val="single" w:color="CCCCCC" w:sz="4" w:space="1"/>
          <w:left w:val="single" w:color="2E75B6" w:sz="16" w:space="4"/>
          <w:right w:val="none"/>
        </w:pBdr>
        <w:spacing w:after="100" w:before="160"/>
        <w:ind w:left="180"/>
      </w:pPr>
      <w:r>
        <w:rPr>
          <w:rFonts w:ascii="Arial" w:cs="Arial" w:eastAsia="Arial" w:hAnsi="Arial"/>
          <w:i/>
          <w:iCs/>
          <w:color w:val="444444"/>
          <w:sz w:val="18"/>
          <w:szCs w:val="18"/>
        </w:rPr>
        <w:t xml:space="preserve">Advanced pattern — Tool Calling / AI Agents: Instead of a two-call flow, you can define the Ticketmaster API as a 'tool' that the AI can invoke directly within a single call. The AI decides when to call it and what parameters to use. Your backend executes the actual HTTP request. This is more elegant and scales better for complex multi-step flows like purchase journeys.</w:t>
      </w:r>
    </w:p>
    <w:p>
      <w:pPr>
        <w:spacing w:after="80" w:before="280"/>
      </w:pPr>
      <w:r>
        <w:rPr>
          <w:rFonts w:ascii="Arial" w:cs="Arial" w:eastAsia="Arial" w:hAnsi="Arial"/>
          <w:b/>
          <w:bCs/>
          <w:color w:val="1F4E79"/>
          <w:sz w:val="26"/>
          <w:szCs w:val="26"/>
        </w:rPr>
        <w:t xml:space="preserve">8. Live Agent Platform Options</w:t>
      </w:r>
    </w:p>
    <w:p>
      <w:pPr>
        <w:spacing w:after="50" w:before="50"/>
      </w:pPr>
      <w:r>
        <w:rPr>
          <w:rFonts w:ascii="Arial" w:cs="Arial" w:eastAsia="Arial" w:hAnsi="Arial"/>
          <w:color w:val="222222"/>
          <w:sz w:val="20"/>
          <w:szCs w:val="20"/>
        </w:rPr>
        <w:t xml:space="preserve">When the chatbot cannot resolve a query — or when the user explicitly asks for a human — the conversation is escalated to a live agent. The full chat transcript is passed to the agent platform so the user never has to repeat themselves. Below are the main platforms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Platform</w:t>
            </w:r>
          </w:p>
        </w:tc>
        <w:tc>
          <w:tcPr>
            <w:tcW w:type="dxa" w:w="20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Best For</w:t>
            </w:r>
          </w:p>
        </w:tc>
        <w:tc>
          <w:tcPr>
            <w:tcW w:type="dxa" w:w="376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Key Features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Zendesk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Enterprise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Large-scale support ops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Robust ticketing, AI assist for agents, strong reporting, SLA tracking, broad API</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Intercom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Mid-market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Product + support in 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Native chatbot builder, easy AI handoff, in-app messaging, good developer API</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Freshdesk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SMB to Mid-market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Cost-effective option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Omnichannel (email, chat, phone), Freddy AI built-in, simpler pricing than Zendesk</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Salesforce Service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Enterprise CRM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CRM-first companies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Deep CRM integration, Einstein AI, 360-degree customer view, best when Salesforce is already in use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Genesys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Contact Centre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High-volume call + chat ops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Voice + chat + email unified, strong workforce management, used by large enterprises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LiveChat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Lightweight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Fast setup, smaller teams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Simple UI, easy bot-to-human handoff, ChatBot.com integration, affordable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Tawk.to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Free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Budget / early-stage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Free forever plan, basic live chat, limited AI features — good for MVPs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22222"/>
                <w:sz w:val="18"/>
                <w:szCs w:val="18"/>
              </w:rPr>
              <w:t xml:space="preserve">Custom Webhook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DIY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Full control needed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Your backend posts transcript to any internal system (Slack, Teams, custom agent dashboard)</w:t>
            </w:r>
          </w:p>
        </w:tc>
      </w:tr>
    </w:tbl>
    <w:p>
      <w:pPr>
        <w:spacing w:after="0" w:before="100"/>
      </w:pPr>
      <w:r>
        <w:t xml:space="preserve"/>
      </w:r>
    </w:p>
    <w:p>
      <w:pPr>
        <w:pBdr>
          <w:top w:val="single" w:color="CCCCCC" w:sz="4" w:space="1"/>
          <w:bottom w:val="single" w:color="CCCCCC" w:sz="4" w:space="1"/>
          <w:left w:val="single" w:color="2E75B6" w:sz="16" w:space="4"/>
          <w:right w:val="none"/>
        </w:pBdr>
        <w:spacing w:after="100" w:before="160"/>
        <w:ind w:left="180"/>
      </w:pPr>
      <w:r>
        <w:rPr>
          <w:rFonts w:ascii="Arial" w:cs="Arial" w:eastAsia="Arial" w:hAnsi="Arial"/>
          <w:i/>
          <w:iCs/>
          <w:color w:val="444444"/>
          <w:sz w:val="18"/>
          <w:szCs w:val="18"/>
        </w:rPr>
        <w:t xml:space="preserve">Recommendation: Zendesk or Intercom for a platform at Ticketmaster's scale. Zendesk if the priority is ticketing and SLA management. Intercom if the priority is a smoother in-product experience. Both have well-documented APIs for bot-to-human handoff with transcript passing.</w:t>
      </w:r>
    </w:p>
    <w:p>
      <w:pPr>
        <w:spacing w:after="80" w:before="280"/>
      </w:pPr>
      <w:r>
        <w:rPr>
          <w:rFonts w:ascii="Arial" w:cs="Arial" w:eastAsia="Arial" w:hAnsi="Arial"/>
          <w:b/>
          <w:bCs/>
          <w:color w:val="1F4E79"/>
          <w:sz w:val="26"/>
          <w:szCs w:val="26"/>
        </w:rPr>
        <w:t xml:space="preserve">9. Data Flow by User Intent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30"/>
        <w:gridCol w:w="3930"/>
      </w:tblGrid>
      <w:tr>
        <w:tc>
          <w:tcPr>
            <w:tcW w:type="dxa" w:w="19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User Intent</w:t>
            </w:r>
          </w:p>
        </w:tc>
        <w:tc>
          <w:tcPr>
            <w:tcW w:type="dxa" w:w="353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APIs Called by Backend</w:t>
            </w:r>
          </w:p>
        </w:tc>
        <w:tc>
          <w:tcPr>
            <w:tcW w:type="dxa" w:w="393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AI Role in This Flow</w:t>
            </w:r>
          </w:p>
        </w:tc>
      </w:tr>
      <w:tr>
        <w:tc>
          <w:tcPr>
            <w:tcW w:type="dxa" w:w="1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Find events</w:t>
            </w:r>
          </w:p>
        </w:tc>
        <w:tc>
          <w:tcPr>
            <w:tcW w:type="dxa" w:w="3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Ticketmaster Discovery API</w:t>
            </w:r>
          </w:p>
        </w:tc>
        <w:tc>
          <w:tcPr>
            <w:tcW w:type="dxa" w:w="3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Extract filters from message → format results conversationally</w:t>
            </w:r>
          </w:p>
        </w:tc>
      </w:tr>
      <w:tr>
        <w:tc>
          <w:tcPr>
            <w:tcW w:type="dxa" w:w="1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Buy tickets</w:t>
            </w:r>
          </w:p>
        </w:tc>
        <w:tc>
          <w:tcPr>
            <w:tcW w:type="dxa" w:w="3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TM Discovery + Commerce API + Payment Gateway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Guide the purchase steps → confirm booking details with user</w:t>
            </w:r>
          </w:p>
        </w:tc>
      </w:tr>
      <w:tr>
        <w:tc>
          <w:tcPr>
            <w:tcW w:type="dxa" w:w="1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Track order</w:t>
            </w:r>
          </w:p>
        </w:tc>
        <w:tc>
          <w:tcPr>
            <w:tcW w:type="dxa" w:w="3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TM Commerce API — order lookup</w:t>
            </w:r>
          </w:p>
        </w:tc>
        <w:tc>
          <w:tcPr>
            <w:tcW w:type="dxa" w:w="3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Retrieve and present order details in natural language</w:t>
            </w:r>
          </w:p>
        </w:tc>
      </w:tr>
      <w:tr>
        <w:tc>
          <w:tcPr>
            <w:tcW w:type="dxa" w:w="1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Refund / exchange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TM Commerce API + business rules engine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Check policy eligibility → initiate refund or escalate</w:t>
            </w:r>
          </w:p>
        </w:tc>
      </w:tr>
      <w:tr>
        <w:tc>
          <w:tcPr>
            <w:tcW w:type="dxa" w:w="1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FAQ / policy</w:t>
            </w:r>
          </w:p>
        </w:tc>
        <w:tc>
          <w:tcPr>
            <w:tcW w:type="dxa" w:w="3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Vector DB (Azure AI Search / Pinecone / Weaviate)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Search knowledge base → generate grounded natural answer (RAG)</w:t>
            </w:r>
          </w:p>
        </w:tc>
      </w:tr>
      <w:tr>
        <w:tc>
          <w:tcPr>
            <w:tcW w:type="dxa" w:w="1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Human handoff</w:t>
            </w:r>
          </w:p>
        </w:tc>
        <w:tc>
          <w:tcPr>
            <w:tcW w:type="dxa" w:w="3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Agent platform API (Zendesk / Intercom / etc.)</w:t>
            </w:r>
          </w:p>
        </w:tc>
        <w:tc>
          <w:tcPr>
            <w:tcW w:type="dxa" w:w="3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Detect trigger → summarise conversation → pass transcript</w:t>
            </w:r>
          </w:p>
        </w:tc>
      </w:tr>
    </w:tbl>
    <w:p>
      <w:pPr>
        <w:spacing w:after="80" w:before="280"/>
      </w:pPr>
      <w:r>
        <w:rPr>
          <w:rFonts w:ascii="Arial" w:cs="Arial" w:eastAsia="Arial" w:hAnsi="Arial"/>
          <w:b/>
          <w:bCs/>
          <w:color w:val="1F4E79"/>
          <w:sz w:val="26"/>
          <w:szCs w:val="26"/>
        </w:rPr>
        <w:t xml:space="preserve">10. Security &amp; Compliance Considerations</w:t>
      </w:r>
    </w:p>
    <w:p>
      <w:pPr>
        <w:pStyle w:val="ListParagraph"/>
        <w:numPr>
          <w:ilvl w:val="0"/>
          <w:numId w:val="2"/>
        </w:numPr>
        <w:spacing w:after="40" w:before="40"/>
      </w:pPr>
      <w:r>
        <w:rPr>
          <w:rFonts w:ascii="Arial" w:cs="Arial" w:eastAsia="Arial" w:hAnsi="Arial"/>
          <w:b w:val="false"/>
          <w:bCs w:val="false"/>
          <w:sz w:val="20"/>
          <w:szCs w:val="20"/>
        </w:rPr>
        <w:t xml:space="preserve">All API keys (Ticketmaster, AI provider, payment) stored in a secrets manager — never hardcoded (AWS Secrets Manager, Azure Key Vault, HashiCorp Vault, GCP Secret Manager)</w:t>
      </w:r>
    </w:p>
    <w:p>
      <w:pPr>
        <w:pStyle w:val="ListParagraph"/>
        <w:numPr>
          <w:ilvl w:val="0"/>
          <w:numId w:val="2"/>
        </w:numPr>
        <w:spacing w:after="40" w:before="40"/>
      </w:pPr>
      <w:r>
        <w:rPr>
          <w:rFonts w:ascii="Arial" w:cs="Arial" w:eastAsia="Arial" w:hAnsi="Arial"/>
          <w:b w:val="false"/>
          <w:bCs w:val="false"/>
          <w:sz w:val="20"/>
          <w:szCs w:val="20"/>
        </w:rPr>
        <w:t xml:space="preserve">User authentication via OAuth tokens — the bot only acts on behalf of a verified, logged-in user</w:t>
      </w:r>
    </w:p>
    <w:p>
      <w:pPr>
        <w:pStyle w:val="ListParagraph"/>
        <w:numPr>
          <w:ilvl w:val="0"/>
          <w:numId w:val="2"/>
        </w:numPr>
        <w:spacing w:after="40" w:before="40"/>
      </w:pPr>
      <w:r>
        <w:rPr>
          <w:rFonts w:ascii="Arial" w:cs="Arial" w:eastAsia="Arial" w:hAnsi="Arial"/>
          <w:b w:val="false"/>
          <w:bCs w:val="false"/>
          <w:sz w:val="20"/>
          <w:szCs w:val="20"/>
        </w:rPr>
        <w:t xml:space="preserve">Payment card data never passes through your backend — the payment gateway (Stripe etc.) handles PCI-DSS compliance entirely</w:t>
      </w:r>
    </w:p>
    <w:p>
      <w:pPr>
        <w:pStyle w:val="ListParagraph"/>
        <w:numPr>
          <w:ilvl w:val="0"/>
          <w:numId w:val="2"/>
        </w:numPr>
        <w:spacing w:after="40" w:before="40"/>
      </w:pPr>
      <w:r>
        <w:rPr>
          <w:rFonts w:ascii="Arial" w:cs="Arial" w:eastAsia="Arial" w:hAnsi="Arial"/>
          <w:b w:val="false"/>
          <w:bCs w:val="false"/>
          <w:sz w:val="20"/>
          <w:szCs w:val="20"/>
        </w:rPr>
        <w:t xml:space="preserve">Conversation data stored with configurable retention policies; sensitive fields (card details, SSN) never logged</w:t>
      </w:r>
    </w:p>
    <w:p>
      <w:pPr>
        <w:pStyle w:val="ListParagraph"/>
        <w:numPr>
          <w:ilvl w:val="0"/>
          <w:numId w:val="2"/>
        </w:numPr>
        <w:spacing w:after="40" w:before="40"/>
      </w:pPr>
      <w:r>
        <w:rPr>
          <w:rFonts w:ascii="Arial" w:cs="Arial" w:eastAsia="Arial" w:hAnsi="Arial"/>
          <w:b w:val="false"/>
          <w:bCs w:val="false"/>
          <w:sz w:val="20"/>
          <w:szCs w:val="20"/>
        </w:rPr>
        <w:t xml:space="preserve">Rate limiting and abuse detection applied at backend layer — prevents bot flooding and prompt injection attacks</w:t>
      </w:r>
    </w:p>
    <w:p>
      <w:pPr>
        <w:pStyle w:val="ListParagraph"/>
        <w:numPr>
          <w:ilvl w:val="0"/>
          <w:numId w:val="2"/>
        </w:numPr>
        <w:spacing w:after="40" w:before="40"/>
      </w:pPr>
      <w:r>
        <w:rPr>
          <w:rFonts w:ascii="Arial" w:cs="Arial" w:eastAsia="Arial" w:hAnsi="Arial"/>
          <w:b w:val="false"/>
          <w:bCs w:val="false"/>
          <w:sz w:val="20"/>
          <w:szCs w:val="20"/>
        </w:rPr>
        <w:t xml:space="preserve">If using a hosted AI API (OpenAI, Anthropic), check their data processing agreements — enterprise tiers typically offer no-training guarantees on your data</w:t>
      </w:r>
    </w:p>
    <w:p>
      <w:pPr>
        <w:pStyle w:val="ListParagraph"/>
        <w:numPr>
          <w:ilvl w:val="0"/>
          <w:numId w:val="2"/>
        </w:numPr>
        <w:spacing w:after="40" w:before="40"/>
      </w:pPr>
      <w:r>
        <w:rPr>
          <w:rFonts w:ascii="Arial" w:cs="Arial" w:eastAsia="Arial" w:hAnsi="Arial"/>
          <w:b w:val="false"/>
          <w:bCs w:val="false"/>
          <w:sz w:val="20"/>
          <w:szCs w:val="20"/>
        </w:rPr>
        <w:t xml:space="preserve">For maximum data isolation, consider self-hosted open-source models (Llama 3 on your own infra) — no data ever leaves your environment</w:t>
      </w:r>
    </w:p>
    <w:p>
      <w:pPr>
        <w:spacing w:after="80" w:before="280"/>
      </w:pPr>
      <w:r>
        <w:rPr>
          <w:rFonts w:ascii="Arial" w:cs="Arial" w:eastAsia="Arial" w:hAnsi="Arial"/>
          <w:b/>
          <w:bCs/>
          <w:color w:val="1F4E79"/>
          <w:sz w:val="26"/>
          <w:szCs w:val="26"/>
        </w:rPr>
        <w:t xml:space="preserve">11. Build vs. Buy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160"/>
        <w:gridCol w:w="240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Approach</w:t>
            </w:r>
          </w:p>
        </w:tc>
        <w:tc>
          <w:tcPr>
            <w:tcW w:type="dxa" w:w="316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Options</w:t>
            </w:r>
          </w:p>
        </w:tc>
        <w:tc>
          <w:tcPr>
            <w:tcW w:type="dxa" w:w="24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Effort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Chat UI — Web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React 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Medium (2–3 weeks)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Chat UI —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React Native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Medium (2–3 weeks)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Backend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Node.js / Python FastAPI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High (4–6 weeks)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AI Brain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Buy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OpenAI, Anthropic, Gemini, Llama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Low — integration only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Vector DB / RAG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Buy (managed)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Pinecone, Weaviate, Qdrant, cloud-native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Low-Medium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Event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Buy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Ticketmaster Discovery + Commerce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Low — API key + integration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Buy (SDK)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Stripe, Braintree, PayPal, Razorpay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Low-Medium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Live Agent Handoff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Buy (SaaS)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Zendesk, Intercom, Freshdesk, Genesys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Low — config + webhook</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222222"/>
                <w:sz w:val="18"/>
                <w:szCs w:val="18"/>
              </w:rPr>
              <w:t xml:space="preserve">Auth / Identity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Buy (managed)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Auth0, Firebase Auth, AWS Cognito, 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Low</w:t>
            </w:r>
          </w:p>
        </w:tc>
      </w:tr>
    </w:tbl>
    <w:p>
      <w:pPr>
        <w:spacing w:after="0" w:before="160"/>
      </w:pPr>
      <w:r>
        <w:t xml:space="preserve"/>
      </w:r>
    </w:p>
    <w:p>
      <w:pPr>
        <w:pBdr>
          <w:top w:val="single" w:color="CCCCCC" w:sz="4" w:space="1"/>
          <w:bottom w:val="single" w:color="CCCCCC" w:sz="4" w:space="1"/>
          <w:left w:val="single" w:color="2E75B6" w:sz="16" w:space="4"/>
          <w:right w:val="none"/>
        </w:pBdr>
        <w:spacing w:after="100" w:before="160"/>
        <w:ind w:left="180"/>
      </w:pPr>
      <w:r>
        <w:rPr>
          <w:rFonts w:ascii="Arial" w:cs="Arial" w:eastAsia="Arial" w:hAnsi="Arial"/>
          <w:i/>
          <w:iCs/>
          <w:color w:val="444444"/>
          <w:sz w:val="18"/>
          <w:szCs w:val="18"/>
        </w:rPr>
        <w:t xml:space="preserve">Bottom line: You write code for roughly 30% of this system — the backend logic and the chat UI. Everything else is a service you plug into via API. The real engineering effort is in the backend: understanding user intent, routing to the right API, handling errors gracefully, and making the conversation feel natural end to 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AAAAAA"/>
        <w:sz w:val="16"/>
        <w:szCs w:val="16"/>
      </w:rPr>
      <w:t xml:space="preserve">Confidential — Concept Draft  |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888888"/>
        <w:sz w:val="18"/>
        <w:szCs w:val="18"/>
      </w:rPr>
      <w:t xml:space="preserve">Ticketmaster AI Chatbot — Technical Architecture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2026-05-04T11:52:54.021Z</dcterms:created>
  <dcterms:modified xsi:type="dcterms:W3CDTF">2026-05-04T11:52:54.040Z</dcterms:modified>
</cp:coreProperties>
</file>

<file path=docProps/custom.xml><?xml version="1.0" encoding="utf-8"?>
<Properties xmlns="http://schemas.openxmlformats.org/officeDocument/2006/custom-properties" xmlns:vt="http://schemas.openxmlformats.org/officeDocument/2006/docPropsVTypes"/>
</file>