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31AEF6"/>
        </w:rPr>
        <w:t xml:space="preserve">ENTERPRISE PRODUCTION ARCHITECTURE</w:t>
      </w:r>
      <w:r>
        <w:rPr>
          <w:rFonts w:ascii=".SF NS" w:hAnsi=".SF NS" w:cs=".SF NS"/>
          <w:sz w:val="92"/>
          <w:sz-cs w:val="92"/>
          <w:b/>
          <w:spacing w:val="0"/>
          <w:color w:val="FFFFFF"/>
        </w:rPr>
        <w:t xml:space="preserve"/>
      </w:r>
    </w:p>
    <w:p>
      <w:pPr>
        <w:jc w:val="center"/>
        <w:spacing w:after="280"/>
      </w:pPr>
      <w:r>
        <w:rPr>
          <w:rFonts w:ascii=".SF NS" w:hAnsi=".SF NS" w:cs=".SF NS"/>
          <w:sz w:val="92"/>
          <w:sz-cs w:val="92"/>
          <w:b/>
          <w:spacing w:val="0"/>
          <w:color w:val="FFFFFF"/>
        </w:rPr>
        <w:t xml:space="preserve">DataNexus Platform</w:t>
      </w:r>
    </w:p>
    <w:p>
      <w:pPr>
        <w:jc w:val="center"/>
        <w:spacing w:after="720"/>
      </w:pPr>
      <w:r>
        <w:rPr>
          <w:rFonts w:ascii="Helvetica Neue" w:hAnsi="Helvetica Neue" w:cs="Helvetica Neue"/>
          <w:sz w:val="40"/>
          <w:sz-cs w:val="40"/>
          <w:spacing w:val="0"/>
          <w:color w:val="C0CBDA"/>
        </w:rPr>
        <w:t xml:space="preserve">Real-Time E-Commerce Intelligence, Streaming Analytics &amp; Medallion Data Lake Engineering Documentation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>ARCHITECTURE</w:t>
      </w:r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6F9FB"/>
        </w:rPr>
        <w:t xml:space="preserve">Lambda &amp; Medallion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6F9FB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>BATCH &amp; STREAMING</w:t>
      </w:r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6F9FB"/>
        </w:rPr>
        <w:t xml:space="preserve">Apache Spark 3.5 &amp; Kafka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6F9FB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>CLOUD PLATFORMS</w:t>
      </w:r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6F9FB"/>
        </w:rPr>
        <w:t xml:space="preserve">AWS (S3/Athena) &amp; GCP (BQ)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6F9FB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>ORCHESTRATION &amp; ELT</w:t>
      </w:r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6F9FB"/>
        </w:rPr>
        <w:t xml:space="preserve">Airflow &amp; dbt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6F9FB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>SERVING LAYER</w:t>
      </w:r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6F9FB"/>
        </w:rPr>
        <w:t xml:space="preserve">FastAPI REST Microservice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6F9FB"/>
        </w:rPr>
        <w:t xml:space="preserve"/>
      </w:r>
    </w:p>
    <w:p>
      <w:pPr/>
      <w:r>
        <w:rPr>
          <w:rFonts w:ascii=".SF NS" w:hAnsi=".SF NS" w:cs=".SF NS"/>
          <w:sz w:val="48"/>
          <w:sz-cs w:val="48"/>
          <w:b/>
          <w:spacing w:val="0"/>
          <w:color w:val="0D121F"/>
        </w:rPr>
        <w:t xml:space="preserve">1. Executive Summary &amp; System Architecture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Modern e-commerce enterprises rely on decentralized microservices where each functional domain manages its own transactional database (e.g. Orders in MySQL, Customer Profiles and Catalog in PostgreSQL). However, this creates severe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operational data silos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: analysts cannot correlate real-time clickstream behaviors with inventory counts or external market factors such as weather patterns and currency fluctuations.</w:t>
      </w:r>
    </w:p>
    <w:p>
      <w:pPr>
        <w:spacing w:after="320"/>
      </w:pP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DataNexus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 solves this by establishing a unified, multi-modal data platform combining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Change Data Capture (CDC)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distributed streaming ingestion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,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Medallion Data Lake (Bronze/Silver/Gold)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,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cloud data warehouse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,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automated data quality gates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.</w:t>
      </w:r>
    </w:p>
    <w:p>
      <w:pPr>
        <w:jc w:val="center"/>
      </w:pPr>
      <w:r>
        <w:rPr>
          <w:rFonts w:ascii="Helvetica" w:hAnsi="Helvetica" w:cs="Helvetica"/>
          <w:sz w:val="44"/>
          <w:sz-cs w:val="44"/>
          <w:b/>
          <w:spacing w:val="0"/>
          <w:color w:val="0D121F"/>
        </w:rPr>
        <w:t xml:space="preserve">DATANEXUS END-TO-END ARCHITECTURE</w:t>
      </w:r>
      <w:r>
        <w:rPr>
          <w:rFonts w:ascii="Helvetica" w:hAnsi="Helvetica" w:cs="Helvetica"/>
          <w:sz w:val="44"/>
          <w:sz-cs w:val="4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1. OPERATIONAL &amp; EXTERNAL SOURCES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🐬 MySQL 8.0 (Orders &amp; Pay)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🐘 Postgres 15 (Users &amp; Inv)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⚡ Clickstream Events (Kafka)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🌐 Open-Meteo &amp; FX APIs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2. STREAMING INGESTION &amp; CDC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Debezium CDC Connectors (Tails binlog &amp; WAL)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Apache Kafka 7.5 Cluster: cdc.mysql.* | cdc.postgres.* | clickstream_events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3. DISTRIBUTED PROCESSING (APACHE SPARK 3.5)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Spark Structured Streaming (10s Micro-Batches)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PySpark Batch ETL: Bronze ➔ Silver ➔ Gold Joins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4. MEDALLION DATA LAKE ARCHITECTURE (Amazon S3 / GCS / Local Delta)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BRONZE ZONE (Raw / Immutable)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0"/>
          <w:sz-cs w:val="20"/>
          <w:spacing w:val="0"/>
          <w:color w:val="0D121F"/>
        </w:rPr>
        <w:t xml:space="preserve">Raw JSON partitioned by year/month/day</w:t>
      </w:r>
      <w:r>
        <w:rPr>
          <w:rFonts w:ascii="Helvetica" w:hAnsi="Helvetica" w:cs="Helvetica"/>
          <w:sz w:val="20"/>
          <w:sz-cs w:val="20"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SILVER ZONE (Cleansed Parquet)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0"/>
          <w:sz-cs w:val="20"/>
          <w:spacing w:val="0"/>
          <w:color w:val="0D121F"/>
        </w:rPr>
        <w:t xml:space="preserve">Deduplicated, typed orders, users, inventory</w:t>
      </w:r>
      <w:r>
        <w:rPr>
          <w:rFonts w:ascii="Helvetica" w:hAnsi="Helvetica" w:cs="Helvetica"/>
          <w:sz w:val="20"/>
          <w:sz-cs w:val="20"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GOLD ZONE (Business Ready)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0"/>
          <w:sz-cs w:val="20"/>
          <w:spacing w:val="0"/>
          <w:color w:val="0D121F"/>
        </w:rPr>
        <w:t xml:space="preserve">Aggregated daily_revenue &amp; user_behavior</w:t>
      </w:r>
      <w:r>
        <w:rPr>
          <w:rFonts w:ascii="Helvetica" w:hAnsi="Helvetica" w:cs="Helvetica"/>
          <w:sz w:val="20"/>
          <w:sz-cs w:val="20"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5. DATA WAREHOUSE &amp; ELT (dbt + ATHENA / BIGQUERY)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3"/>
          <w:sz-cs w:val="23"/>
          <w:b/>
          <w:spacing w:val="0"/>
          <w:color w:val="0D121F"/>
        </w:rPr>
        <w:t xml:space="preserve">dbt Models: stg_* ➔ fact_orders, dim_users</w:t>
      </w:r>
      <w:r>
        <w:rPr>
          <w:rFonts w:ascii="Helvetica" w:hAnsi="Helvetica" w:cs="Helvetica"/>
          <w:sz w:val="23"/>
          <w:sz-cs w:val="23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3"/>
          <w:sz-cs w:val="23"/>
          <w:b/>
          <w:spacing w:val="0"/>
          <w:color w:val="0D121F"/>
        </w:rPr>
        <w:t xml:space="preserve">AWS Glue Catalog &amp; Athena Workgroup / BigQuery</w:t>
      </w:r>
      <w:r>
        <w:rPr>
          <w:rFonts w:ascii="Helvetica" w:hAnsi="Helvetica" w:cs="Helvetica"/>
          <w:sz w:val="23"/>
          <w:sz-cs w:val="23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3"/>
          <w:sz-cs w:val="23"/>
          <w:b/>
          <w:spacing w:val="0"/>
          <w:color w:val="0D121F"/>
        </w:rPr>
        <w:t xml:space="preserve">Great Expectations Quality Gates</w:t>
      </w:r>
      <w:r>
        <w:rPr>
          <w:rFonts w:ascii="Helvetica" w:hAnsi="Helvetica" w:cs="Helvetica"/>
          <w:sz w:val="23"/>
          <w:sz-cs w:val="23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>6. SERVING, ORCHESTRATION &amp; OBSERVABILITY</w:t>
      </w:r>
      <w:r>
        <w:rPr>
          <w:rFonts w:ascii="Helvetica" w:hAnsi="Helvetica" w:cs="Helvetica"/>
          <w:sz w:val="24"/>
          <w:sz-cs w:val="2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D121F"/>
        </w:rPr>
        <w:t xml:space="preserve">FastAPI REST Microservice (Port 8000)</w:t>
      </w:r>
      <w:r>
        <w:rPr>
          <w:rFonts w:ascii="Helvetica" w:hAnsi="Helvetica" w:cs="Helvetica"/>
          <w:sz w:val="22"/>
          <w:sz-cs w:val="22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D121F"/>
        </w:rPr>
        <w:t xml:space="preserve">Apache Airflow DAGs (Daily ETL, API Ingest)</w:t>
      </w:r>
      <w:r>
        <w:rPr>
          <w:rFonts w:ascii="Helvetica" w:hAnsi="Helvetica" w:cs="Helvetica"/>
          <w:sz w:val="22"/>
          <w:sz-cs w:val="22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2"/>
          <w:sz-cs w:val="22"/>
          <w:b/>
          <w:spacing w:val="0"/>
          <w:color w:val="0D121F"/>
        </w:rPr>
        <w:t xml:space="preserve">Grafana Dashboards &amp; Looker Studio</w:t>
      </w:r>
      <w:r>
        <w:rPr>
          <w:rFonts w:ascii="Helvetica" w:hAnsi="Helvetica" w:cs="Helvetica"/>
          <w:sz w:val="22"/>
          <w:sz-cs w:val="22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.SF NS" w:hAnsi=".SF NS" w:cs=".SF NS"/>
          <w:sz w:val="25"/>
          <w:sz-cs w:val="25"/>
          <w:spacing w:val="0"/>
          <w:color w:val="8291A9"/>
        </w:rPr>
        <w:t xml:space="preserve">Figure 1.0: End-to-End Enterprise Data Architecture for DataNexus</w:t>
      </w:r>
      <w:r>
        <w:rPr>
          <w:rFonts w:ascii=".SF NS" w:hAnsi=".SF NS" w:cs=".SF NS"/>
          <w:sz w:val="25"/>
          <w:sz-cs w:val="25"/>
          <w:spacing w:val="0"/>
          <w:color w:val="8291A9"/>
        </w:rPr>
        <w:t xml:space="preserve"/>
      </w:r>
    </w:p>
    <w:p>
      <w:pPr/>
      <w:r>
        <w:rPr>
          <w:rFonts w:ascii=".SF NS" w:hAnsi=".SF NS" w:cs=".SF NS"/>
          <w:sz w:val="48"/>
          <w:sz-cs w:val="48"/>
          <w:b/>
          <w:spacing w:val="0"/>
          <w:color w:val="0D121F"/>
        </w:rPr>
        <w:t xml:space="preserve">2. Complete Technology Stack Matrix</w:t>
      </w:r>
      <w:r>
        <w:rPr>
          <w:rFonts w:ascii="Helvetica Neue" w:hAnsi="Helvetica Neue" w:cs="Helvetica Neue"/>
          <w:sz w:val="27"/>
          <w:sz-cs w:val="27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7"/>
          <w:sz-cs w:val="27"/>
          <w:b/>
          <w:spacing w:val="0"/>
          <w:color w:val="FFFFFF"/>
        </w:rPr>
        <w:t xml:space="preserve">Domain</w:t>
      </w:r>
    </w:p>
    <w:p>
      <w:pPr/>
      <w:r>
        <w:rPr>
          <w:rFonts w:ascii=".SF NS" w:hAnsi=".SF NS" w:cs=".SF NS"/>
          <w:sz w:val="27"/>
          <w:sz-cs w:val="27"/>
          <w:b/>
          <w:spacing w:val="0"/>
          <w:color w:val="FFFFFF"/>
        </w:rPr>
        <w:t xml:space="preserve">Technology</w:t>
      </w:r>
    </w:p>
    <w:p>
      <w:pPr/>
      <w:r>
        <w:rPr>
          <w:rFonts w:ascii=".SF NS" w:hAnsi=".SF NS" w:cs=".SF NS"/>
          <w:sz w:val="27"/>
          <w:sz-cs w:val="27"/>
          <w:b/>
          <w:spacing w:val="0"/>
          <w:color w:val="FFFFFF"/>
        </w:rPr>
        <w:t xml:space="preserve">Version</w:t>
      </w:r>
    </w:p>
    <w:p>
      <w:pPr/>
      <w:r>
        <w:rPr>
          <w:rFonts w:ascii=".SF NS" w:hAnsi=".SF NS" w:cs=".SF NS"/>
          <w:sz w:val="27"/>
          <w:sz-cs w:val="27"/>
          <w:b/>
          <w:spacing w:val="0"/>
          <w:color w:val="FFFFFF"/>
        </w:rPr>
        <w:t xml:space="preserve">Primary Function in DataNexus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273143"/>
        </w:rPr>
        <w:t xml:space="preserve">OLTP Storage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MySQL &amp; PostgreSQL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8.0 / 15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Transactional backend with binary logging (`binlog`) and WAL logical replication.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273143"/>
        </w:rPr>
        <w:t xml:space="preserve">Change Data Capture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Debezium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2.4.0.Final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Log-based zero-overhead streaming of DB mutations into Kafka topics.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273143"/>
        </w:rPr>
        <w:t xml:space="preserve">Message Streaming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Apache Kafka &amp; Zookeeper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7.5.0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Distributed event backbone for clickstream and transactional topics.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273143"/>
        </w:rPr>
        <w:t xml:space="preserve">Distributed Compute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Apache Spark (PySpark)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3.5.0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Unified batch and structured streaming engine for Medallion transformations.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273143"/>
        </w:rPr>
        <w:t xml:space="preserve">Cloud Storage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Amazon S3 &amp; GCS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Latest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Medallion Lake storage with lifecycle policies, versioning, and cold storage tiers.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273143"/>
        </w:rPr>
        <w:t xml:space="preserve">Cloud Data Warehouse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AWS Athena &amp; Google BigQuery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Serverless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Distributed columnar SQL querying across star-schema analytics datasets.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273143"/>
        </w:rPr>
        <w:t xml:space="preserve">Data Transformation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dbt (data build tool)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1.7+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Modular SQL models, surrogate key generation, and automated data tests.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273143"/>
        </w:rPr>
        <w:t xml:space="preserve">Orchestration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Apache Airflow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2.8+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DAG-based scheduling, dependency management, and retry handling.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273143"/>
        </w:rPr>
        <w:t xml:space="preserve">Data Quality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Great Expectations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0.18+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Automated expectation suites blocking invalid records at zone boundaries.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273143"/>
        </w:rPr>
        <w:t xml:space="preserve">Serving API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FastAPI &amp; Uvicorn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0.110+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High-speed async REST endpoints for dashboards and downstream applications.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273143"/>
        </w:rPr>
        <w:t xml:space="preserve">IaC &amp; Containers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Terraform &amp; Docker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1.5+ / 24+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Declarative multi-cloud provisioning and reproducible local dev environment.</w:t>
      </w:r>
    </w:p>
    <w:p>
      <w:pPr/>
      <w:r>
        <w:rPr>
          <w:rFonts w:ascii=".SF NS" w:hAnsi=".SF NS" w:cs=".SF NS"/>
          <w:sz w:val="48"/>
          <w:sz-cs w:val="48"/>
          <w:b/>
          <w:spacing w:val="0"/>
          <w:color w:val="0D121F"/>
        </w:rPr>
        <w:t xml:space="preserve">3. Medallion Data Lake Design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The Medallion pattern guarantees data quality through progressive refinement: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D121F"/>
        </w:rPr>
        <w:t xml:space="preserve">Bronze Zone (Raw Ingestion)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273143"/>
        </w:rPr>
        <w:t xml:space="preserve">Path: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datalake/bronze/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  <w:br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Contains untransformed, immutable copies of source data. Partitioned hierarchically by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year=YYYY/month=MM/day=DD/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. Preserves original schemas and timestamps for disaster recovery and full historical replays.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D121F"/>
        </w:rPr>
        <w:t xml:space="preserve">Silver Zone (Cleaned &amp; Conformed)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273143"/>
        </w:rPr>
        <w:t xml:space="preserve">Path: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datalake/silver/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  <w:br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Contains validated Parquet files with enforced schemas, null imputation, timestamp parsing, and deduplication using window functions. Partitioned by operational attributes (e.g.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city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 or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category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).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D121F"/>
        </w:rPr>
        <w:t xml:space="preserve">Gold Zone (Business Analytics &amp; Star Schema)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273143"/>
        </w:rPr>
        <w:t xml:space="preserve">Path: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datalake/gold/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  <w:br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Contains multi-domain joined, pre-aggregated datasets optimized for analytical queries (e.g.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daily_revenue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,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user_behavior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). These tables map directly into BigQuery and AWS Athena / Glue Catalog tables.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.SF NS" w:hAnsi=".SF NS" w:cs=".SF NS"/>
          <w:sz w:val="48"/>
          <w:sz-cs w:val="48"/>
          <w:b/>
          <w:spacing w:val="0"/>
          <w:color w:val="0D121F"/>
        </w:rPr>
        <w:t xml:space="preserve">4. Multi-Source Ingestion Architecture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DataNexus processes 3 concurrent ingestion channels: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9"/>
          <w:sz-cs w:val="29"/>
          <w:b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Change Data Capture (CDC):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 Debezium reads row-level mutations from MySQL (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orders_db.orders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,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payments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) and PostgreSQL (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users_db.users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,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inventory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) using native transaction logs. No table locking, zero impact on OLTP performance.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9"/>
          <w:sz-cs w:val="29"/>
          <w:b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High-Velocity Clickstream: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 Python Kafka producers publish simulated user sessions (page views, searches, cart additions) to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clickstream_events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9"/>
          <w:sz-cs w:val="29"/>
          <w:b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External REST Ingestors: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 Automated Python workers poll Open-Meteo weather APIs and FX exchange rate feeds, writing date-partitioned JSON to Bronze.</w:t>
      </w:r>
    </w:p>
    <w:p>
      <w:pPr/>
      <w:r>
        <w:rPr>
          <w:rFonts w:ascii=".SF NS" w:hAnsi=".SF NS" w:cs=".SF NS"/>
          <w:sz w:val="48"/>
          <w:sz-cs w:val="48"/>
          <w:b/>
          <w:spacing w:val="0"/>
          <w:color w:val="0D121F"/>
        </w:rPr>
        <w:t xml:space="preserve">5. Serving Microservice &amp; Monitoring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The production serving layer is implemented as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FastAPI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 microservice providing sub-second analytical queries:</w:t>
      </w:r>
    </w:p>
    <w:p>
      <w:pPr/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F6F9FB"/>
        </w:rPr>
        <w:t xml:space="preserve"># Start the Analytics API</w:t>
      </w:r>
    </w:p>
    <w:p>
      <w:pPr/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F6F9FB"/>
        </w:rPr>
        <w:t xml:space="preserve">cd serving/api</w:t>
      </w:r>
    </w:p>
    <w:p>
      <w:pPr/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F6F9FB"/>
        </w:rPr>
        <w:t xml:space="preserve">uvicorn main:app --host 0.0.0.0 --port 8000 --reload</w:t>
      </w:r>
    </w:p>
    <w:p>
      <w:pPr/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F6F9FB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F6F9FB"/>
        </w:rPr>
        <w:t xml:space="preserve"># Available Endpoints:</w:t>
      </w:r>
    </w:p>
    <w:p>
      <w:pPr/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F6F9FB"/>
        </w:rPr>
        <w:t xml:space="preserve"># GET /api/v1/revenue/daily    - Daily revenue broken down by city</w:t>
      </w:r>
    </w:p>
    <w:p>
      <w:pPr/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F6F9FB"/>
        </w:rPr>
        <w:t xml:space="preserve"># GET /api/v1/revenue/by-city  - Aggregated city market shares</w:t>
      </w:r>
    </w:p>
    <w:p>
      <w:pPr/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F6F9FB"/>
        </w:rPr>
        <w:t xml:space="preserve"># GET /api/v1/revenue/summary  - Executive KPI overview</w:t>
      </w:r>
    </w:p>
    <w:p>
      <w:pPr/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F6F9FB"/>
        </w:rPr>
        <w:t xml:space="preserve"># GET /api/v1/products/trending - Top products by cart conversion rate</w:t>
      </w:r>
    </w:p>
    <w:p>
      <w:pPr/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F6F9FB"/>
        </w:rPr>
        <w:t xml:space="preserve"># GET /api/v1/products/inventory - Real-time stock availability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F6F9FB"/>
        </w:rPr>
        <w:t xml:space="preserve"/>
      </w:r>
    </w:p>
    <w:p>
      <w:pPr/>
      <w:r>
        <w:rPr>
          <w:rFonts w:ascii=".SF NS" w:hAnsi=".SF NS" w:cs=".SF NS"/>
          <w:sz w:val="48"/>
          <w:sz-cs w:val="48"/>
          <w:b/>
          <w:spacing w:val="0"/>
          <w:color w:val="0D121F"/>
        </w:rPr>
        <w:t xml:space="preserve">6. Production Deployment &amp; Execution Runbook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9"/>
          <w:sz-cs w:val="29"/>
          <w:b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Spin up Docker Services: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cd docker &amp;&amp; docker-compose up -d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9"/>
          <w:sz-cs w:val="29"/>
          <w:b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Deploy Cloud Infrastructure: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cd infrastructure/aws &amp;&amp; terraform apply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 (or GCP via root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terraform apply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9"/>
          <w:sz-cs w:val="29"/>
          <w:b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Register Debezium Connectors: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 Post configuration JSON files to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http://localhost:8083/connectors/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9"/>
          <w:sz-cs w:val="29"/>
          <w:b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Execute PySpark Transformations: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 Run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orders_etl.py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,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users_etl.py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,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daily_revenue.py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9"/>
          <w:sz-cs w:val="29"/>
          <w:b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Run dbt Models: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0D121F"/>
        </w:rPr>
        <w:t xml:space="preserve">dbt run --project-dir warehouse/dbt_datanexus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9"/>
          <w:sz-cs w:val="29"/>
          <w:b/>
          <w:color w:val="27314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73143"/>
        </w:rPr>
        <w:t xml:space="preserve">Validate Quality Gates:</w:t>
      </w:r>
      <w:r>
        <w:rPr>
          <w:rFonts w:ascii="Helvetica Neue" w:hAnsi="Helvetica Neue" w:cs="Helvetica Neue"/>
          <w:sz w:val="29"/>
          <w:sz-cs w:val="29"/>
          <w:spacing w:val="0"/>
          <w:color w:val="273143"/>
        </w:rPr>
        <w:t xml:space="preserve"> Run Great Expectations checkpoint suites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D4E36"/>
        </w:rPr>
        <w:t xml:space="preserve">Enterprise Ready:</w:t>
      </w:r>
      <w:r>
        <w:rPr>
          <w:rFonts w:ascii="Helvetica Neue" w:hAnsi="Helvetica Neue" w:cs="Helvetica Neue"/>
          <w:sz w:val="29"/>
          <w:sz-cs w:val="29"/>
          <w:spacing w:val="0"/>
          <w:color w:val="0D4E36"/>
        </w:rPr>
        <w:t xml:space="preserve"> DataNexus meets all modern data engineering criteria: idempotent batch pipelines, sub-minute streaming latency, Star-schema data warehouse modeling, and complete Infrastructure-as-Code automation.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