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34B3" w14:textId="3C0CA304" w:rsidR="00E34335" w:rsidRDefault="00A038AD">
      <w:r w:rsidRPr="00E34335">
        <w:rPr>
          <w:b/>
          <w:bCs/>
          <w:sz w:val="36"/>
          <w:szCs w:val="36"/>
        </w:rPr>
        <w:t>Summary</w:t>
      </w:r>
      <w:r w:rsidR="00E34335">
        <w:rPr>
          <w:b/>
          <w:bCs/>
          <w:sz w:val="36"/>
          <w:szCs w:val="36"/>
        </w:rPr>
        <w:t xml:space="preserve"> </w:t>
      </w:r>
    </w:p>
    <w:p w14:paraId="72F9DA60" w14:textId="34343690" w:rsidR="00E34335" w:rsidRDefault="00E34335">
      <w:pPr>
        <w:rPr>
          <w:sz w:val="28"/>
          <w:szCs w:val="28"/>
        </w:rPr>
      </w:pPr>
      <w:r w:rsidRPr="00E34335">
        <w:rPr>
          <w:b/>
          <w:bCs/>
          <w:sz w:val="32"/>
          <w:szCs w:val="32"/>
        </w:rPr>
        <w:t>Group 15</w:t>
      </w:r>
      <w:r w:rsidRPr="00E34335">
        <w:rPr>
          <w:b/>
          <w:bCs/>
          <w:sz w:val="32"/>
          <w:szCs w:val="32"/>
        </w:rPr>
        <w:br/>
        <w:t>experiment: Effect of viscosity on heat transfer</w:t>
      </w:r>
      <w:r w:rsidRPr="00E34335">
        <w:rPr>
          <w:sz w:val="32"/>
          <w:szCs w:val="32"/>
        </w:rPr>
        <w:t xml:space="preserve"> </w:t>
      </w:r>
      <w:r w:rsidR="00A038AD">
        <w:br/>
      </w:r>
      <w:r w:rsidR="00A038AD">
        <w:br/>
      </w:r>
      <w:r w:rsidR="00A038AD" w:rsidRPr="00E34335">
        <w:rPr>
          <w:sz w:val="28"/>
          <w:szCs w:val="28"/>
        </w:rPr>
        <w:t xml:space="preserve">In this experiment, we aimed to characterize </w:t>
      </w:r>
      <w:r w:rsidR="00A038AD" w:rsidRPr="00E34335">
        <w:rPr>
          <w:b/>
          <w:bCs/>
          <w:sz w:val="28"/>
          <w:szCs w:val="28"/>
        </w:rPr>
        <w:t>convective heat transfer in a helical coil</w:t>
      </w:r>
      <w:r w:rsidR="00A038AD" w:rsidRPr="00E34335">
        <w:rPr>
          <w:sz w:val="28"/>
          <w:szCs w:val="28"/>
        </w:rPr>
        <w:t xml:space="preserve"> operating under purely laminar flow conditions. The working fluids were water–glycerol mixtures at four concentrations: 10%, 15%, 20%, and 30% (v/v). The system was run at bath temperatures of 50°C and 60°C, and all thermophysical properties were evaluated at the corresponding bulk temperatures of 38.5°C and 43.0°C, respectively.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br/>
        <w:t>Using the measured inlet and outlet temperatures, we first calculated the total heat transfer rate from the energy balance:</w:t>
      </w:r>
      <w:r w:rsidR="00A038AD" w:rsidRPr="00E34335">
        <w:rPr>
          <w:sz w:val="28"/>
          <w:szCs w:val="28"/>
        </w:rPr>
        <w:br/>
      </w:r>
      <w:r w:rsidR="00A038AD" w:rsidRPr="00E34335">
        <w:rPr>
          <w:b/>
          <w:bCs/>
          <w:sz w:val="28"/>
          <w:szCs w:val="28"/>
        </w:rPr>
        <w:t>Q = m·Cp·(T_out − T_in).</w:t>
      </w:r>
      <w:r w:rsidR="00A038AD" w:rsidRPr="00E34335">
        <w:rPr>
          <w:b/>
          <w:bCs/>
          <w:sz w:val="28"/>
          <w:szCs w:val="28"/>
        </w:rPr>
        <w:br/>
      </w:r>
      <w:r w:rsidR="00A038AD" w:rsidRPr="00E34335">
        <w:rPr>
          <w:sz w:val="28"/>
          <w:szCs w:val="28"/>
        </w:rPr>
        <w:t xml:space="preserve">From this, we determined the experimental convective heat transfer coefficient </w:t>
      </w:r>
      <w:r w:rsidR="00A038AD" w:rsidRPr="00E34335">
        <w:rPr>
          <w:b/>
          <w:bCs/>
          <w:sz w:val="28"/>
          <w:szCs w:val="28"/>
        </w:rPr>
        <w:t>h_exp using the LMTD (Log Mean Temperature Difference)</w:t>
      </w:r>
      <w:r w:rsidR="00A038AD" w:rsidRPr="00E34335">
        <w:rPr>
          <w:sz w:val="28"/>
          <w:szCs w:val="28"/>
        </w:rPr>
        <w:t xml:space="preserve"> method.</w:t>
      </w:r>
      <w:r w:rsidR="00A038AD" w:rsidRPr="00E34335">
        <w:rPr>
          <w:sz w:val="28"/>
          <w:szCs w:val="28"/>
        </w:rPr>
        <w:br/>
      </w:r>
    </w:p>
    <w:p w14:paraId="46D05729" w14:textId="77777777" w:rsidR="00E34335" w:rsidRDefault="00E34335">
      <w:pPr>
        <w:rPr>
          <w:sz w:val="28"/>
          <w:szCs w:val="28"/>
        </w:rPr>
      </w:pPr>
      <w:r w:rsidRPr="00E34335">
        <w:rPr>
          <w:b/>
          <w:bCs/>
          <w:sz w:val="36"/>
          <w:szCs w:val="36"/>
        </w:rPr>
        <w:t>Key assumption</w:t>
      </w:r>
      <w:r w:rsidR="00A038AD" w:rsidRPr="00E34335">
        <w:rPr>
          <w:sz w:val="28"/>
          <w:szCs w:val="28"/>
        </w:rPr>
        <w:br/>
        <w:t xml:space="preserve">A key simplification in our analysis was treating the overall heat transfer coefficient U as approximately equal to h_exp. This assumption is justified because the copper tube wall contributes negligible conductive resistance, and the </w:t>
      </w:r>
      <w:r w:rsidR="00A038AD" w:rsidRPr="00E34335">
        <w:rPr>
          <w:b/>
          <w:bCs/>
          <w:sz w:val="28"/>
          <w:szCs w:val="28"/>
        </w:rPr>
        <w:t>external heat transfer coefficient h_o</w:t>
      </w:r>
      <w:r w:rsidRPr="00E34335">
        <w:rPr>
          <w:b/>
          <w:bCs/>
          <w:sz w:val="28"/>
          <w:szCs w:val="28"/>
        </w:rPr>
        <w:t>ut</w:t>
      </w:r>
      <w:r w:rsidR="00A038AD" w:rsidRPr="00E34335">
        <w:rPr>
          <w:b/>
          <w:bCs/>
          <w:sz w:val="28"/>
          <w:szCs w:val="28"/>
        </w:rPr>
        <w:t xml:space="preserve"> is effectively very large due to continuous mechanical stirring</w:t>
      </w:r>
      <w:r w:rsidR="00A038AD" w:rsidRPr="00E34335">
        <w:rPr>
          <w:sz w:val="28"/>
          <w:szCs w:val="28"/>
        </w:rPr>
        <w:t xml:space="preserve"> in the water bath. As a result, external resistance can be considered negligible.</w:t>
      </w:r>
      <w:r w:rsidR="00A038AD" w:rsidRPr="00E34335">
        <w:rPr>
          <w:sz w:val="28"/>
          <w:szCs w:val="28"/>
        </w:rPr>
        <w:br/>
      </w:r>
    </w:p>
    <w:p w14:paraId="2BAA24AB" w14:textId="77777777" w:rsidR="00E34335" w:rsidRDefault="00E34335">
      <w:pPr>
        <w:rPr>
          <w:sz w:val="28"/>
          <w:szCs w:val="28"/>
        </w:rPr>
      </w:pPr>
      <w:r w:rsidRPr="00E34335">
        <w:rPr>
          <w:b/>
          <w:bCs/>
          <w:sz w:val="36"/>
          <w:szCs w:val="36"/>
        </w:rPr>
        <w:t>Validation</w:t>
      </w:r>
      <w:r w:rsidR="00A038AD" w:rsidRPr="00E34335">
        <w:rPr>
          <w:sz w:val="28"/>
          <w:szCs w:val="28"/>
        </w:rPr>
        <w:br/>
        <w:t xml:space="preserve">To validate our experimental results, we compared them with the correlation proposed by Dravid et al. (1971), which is specifically </w:t>
      </w:r>
      <w:r w:rsidR="00A038AD" w:rsidRPr="00E34335">
        <w:rPr>
          <w:sz w:val="28"/>
          <w:szCs w:val="28"/>
        </w:rPr>
        <w:lastRenderedPageBreak/>
        <w:t>developed for thermally developing secondary flows in helical coils. The agreement between our data and the correlation was satisfactory.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br/>
        <w:t xml:space="preserve">We also confirmed mathematically that the </w:t>
      </w:r>
      <w:r w:rsidR="00A038AD" w:rsidRPr="00E34335">
        <w:rPr>
          <w:b/>
          <w:bCs/>
          <w:sz w:val="28"/>
          <w:szCs w:val="28"/>
        </w:rPr>
        <w:t>flow remained in the thermally developing regime</w:t>
      </w:r>
      <w:r w:rsidR="00A038AD" w:rsidRPr="00E34335">
        <w:rPr>
          <w:sz w:val="28"/>
          <w:szCs w:val="28"/>
        </w:rPr>
        <w:t>. This was done by calculating the thermal entrance length using:</w:t>
      </w:r>
      <w:r w:rsidR="00A038AD" w:rsidRPr="00E34335">
        <w:rPr>
          <w:sz w:val="28"/>
          <w:szCs w:val="28"/>
        </w:rPr>
        <w:br/>
      </w:r>
      <w:r w:rsidR="00A038AD" w:rsidRPr="00E34335">
        <w:rPr>
          <w:b/>
          <w:bCs/>
          <w:sz w:val="28"/>
          <w:szCs w:val="28"/>
        </w:rPr>
        <w:t>L_</w:t>
      </w:r>
      <w:proofErr w:type="gramStart"/>
      <w:r w:rsidR="00A038AD" w:rsidRPr="00E34335">
        <w:rPr>
          <w:b/>
          <w:bCs/>
          <w:sz w:val="28"/>
          <w:szCs w:val="28"/>
        </w:rPr>
        <w:t>e,T</w:t>
      </w:r>
      <w:proofErr w:type="gramEnd"/>
      <w:r w:rsidR="00A038AD" w:rsidRPr="00E34335">
        <w:rPr>
          <w:b/>
          <w:bCs/>
          <w:sz w:val="28"/>
          <w:szCs w:val="28"/>
        </w:rPr>
        <w:t xml:space="preserve"> = 0.05 · D · Re_D · Pr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t>which showed that the thermal boundary layer did not fully develop within the 3-meter coil length.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br/>
        <w:t>As an additional benchmark, we compared our experimentally obtained h_exp for the helical coil with predictions for a straight pipe under developing flow conditions. The comparison revealed a significant enhancement: the helical coil exhibited approximately 200% higher heat transfer on average. This clearly demonstrates the effect of Dean vortices, which enhance mixing and improve thermal transport.</w:t>
      </w:r>
      <w:r w:rsidR="00A038AD" w:rsidRPr="00E34335">
        <w:rPr>
          <w:sz w:val="28"/>
          <w:szCs w:val="28"/>
        </w:rPr>
        <w:br/>
      </w:r>
    </w:p>
    <w:p w14:paraId="6AC68FB7" w14:textId="77777777" w:rsidR="00E34335" w:rsidRDefault="00E34335">
      <w:pPr>
        <w:rPr>
          <w:sz w:val="28"/>
          <w:szCs w:val="28"/>
        </w:rPr>
      </w:pPr>
      <w:r w:rsidRPr="00E34335">
        <w:rPr>
          <w:b/>
          <w:bCs/>
          <w:sz w:val="32"/>
          <w:szCs w:val="32"/>
        </w:rPr>
        <w:t>Revised validation</w:t>
      </w:r>
      <w:r w:rsidR="00A038AD" w:rsidRPr="00E34335">
        <w:rPr>
          <w:sz w:val="28"/>
          <w:szCs w:val="28"/>
        </w:rPr>
        <w:br/>
        <w:t xml:space="preserve">To further illustrate this, we plotted axial temperature profiles T(x) versus x for both straight and helical configurations. We also constructed a plot of the straight-pipe </w:t>
      </w:r>
      <w:r w:rsidR="00A038AD" w:rsidRPr="00E34335">
        <w:rPr>
          <w:b/>
          <w:bCs/>
          <w:sz w:val="28"/>
          <w:szCs w:val="28"/>
        </w:rPr>
        <w:t>heat transfer coefficient against the inverse Graetz number Gz⁻¹.</w:t>
      </w:r>
      <w:r w:rsidR="00A038AD" w:rsidRPr="00E34335">
        <w:rPr>
          <w:sz w:val="28"/>
          <w:szCs w:val="28"/>
        </w:rPr>
        <w:t xml:space="preserve"> The methodology for this plot is important to clarify: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br/>
        <w:t xml:space="preserve">For Gz⁻¹ ≤ 0.05, the flow is thermally developing, so we </w:t>
      </w:r>
      <w:r w:rsidR="00A038AD" w:rsidRPr="00E34335">
        <w:rPr>
          <w:b/>
          <w:bCs/>
          <w:sz w:val="28"/>
          <w:szCs w:val="28"/>
        </w:rPr>
        <w:t>used the full Hausen correlation to calculate h</w:t>
      </w:r>
      <w:r w:rsidR="00A038AD" w:rsidRPr="00E34335">
        <w:rPr>
          <w:sz w:val="28"/>
          <w:szCs w:val="28"/>
        </w:rPr>
        <w:t>.</w:t>
      </w:r>
      <w:r w:rsidR="00A038AD" w:rsidRPr="00E34335">
        <w:rPr>
          <w:sz w:val="28"/>
          <w:szCs w:val="28"/>
        </w:rPr>
        <w:br/>
        <w:t>Beyond this point, the flow is effectively fully developed, and we used the limiting Nusselt number Nu = 3.66 to compute h.</w:t>
      </w:r>
      <w:r w:rsidR="00A038AD" w:rsidRPr="00E34335">
        <w:rPr>
          <w:sz w:val="28"/>
          <w:szCs w:val="28"/>
        </w:rPr>
        <w:br/>
      </w:r>
    </w:p>
    <w:p w14:paraId="2FFF5634" w14:textId="00A9F934" w:rsidR="00C021F2" w:rsidRPr="00E34335" w:rsidRDefault="00E34335">
      <w:pPr>
        <w:rPr>
          <w:sz w:val="28"/>
          <w:szCs w:val="28"/>
        </w:rPr>
      </w:pPr>
      <w:r w:rsidRPr="00E34335">
        <w:rPr>
          <w:b/>
          <w:bCs/>
          <w:sz w:val="32"/>
          <w:szCs w:val="32"/>
        </w:rPr>
        <w:t>Limitations</w:t>
      </w:r>
      <w:r w:rsidR="00A038AD" w:rsidRPr="00E34335">
        <w:rPr>
          <w:sz w:val="28"/>
          <w:szCs w:val="28"/>
        </w:rPr>
        <w:br/>
        <w:t xml:space="preserve">Despite these successful analyses, there are </w:t>
      </w:r>
      <w:r w:rsidR="00A038AD" w:rsidRPr="00E34335">
        <w:rPr>
          <w:b/>
          <w:bCs/>
          <w:sz w:val="28"/>
          <w:szCs w:val="28"/>
        </w:rPr>
        <w:t>two important limitations</w:t>
      </w:r>
      <w:r w:rsidR="00A038AD" w:rsidRPr="00E34335">
        <w:rPr>
          <w:sz w:val="28"/>
          <w:szCs w:val="28"/>
        </w:rPr>
        <w:t xml:space="preserve"> in our methodology that should be acknowledged.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lastRenderedPageBreak/>
        <w:t xml:space="preserve">The first limitation arises from the LMTD method itself, which provides only a </w:t>
      </w:r>
      <w:r w:rsidR="00A038AD" w:rsidRPr="00E34335">
        <w:rPr>
          <w:b/>
          <w:bCs/>
          <w:sz w:val="28"/>
          <w:szCs w:val="28"/>
        </w:rPr>
        <w:t>single average heat transfer coefficient over the entire coil length</w:t>
      </w:r>
      <w:r w:rsidR="00A038AD" w:rsidRPr="00E34335">
        <w:rPr>
          <w:sz w:val="28"/>
          <w:szCs w:val="28"/>
        </w:rPr>
        <w:t>. Consequently, we were unable to obtain a spatially varying heat transfer coefficient h_exp(x), and therefore could not directly plot it as a function of the Graetz number along the pipe.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br/>
        <w:t xml:space="preserve">The second limitation is more subtle. </w:t>
      </w:r>
      <w:r w:rsidR="00A038AD" w:rsidRPr="00E34335">
        <w:rPr>
          <w:b/>
          <w:bCs/>
          <w:sz w:val="28"/>
          <w:szCs w:val="28"/>
        </w:rPr>
        <w:t>We could not determine the exact axial position within the coil</w:t>
      </w:r>
      <w:r w:rsidR="00A038AD" w:rsidRPr="00E34335">
        <w:rPr>
          <w:sz w:val="28"/>
          <w:szCs w:val="28"/>
        </w:rPr>
        <w:t xml:space="preserve"> where the fluid reaches the outlet temperature T_out and effectively stops absorbing heat. Since h_exp is calculated under the assumption that the fluid reaches T_out exactly at the 3.0-meter exit, substituting these values back into the local temperature profile simply returns x = 3.0 m. This creates a circular result that does not provide additional physical insight.</w:t>
      </w:r>
      <w:r w:rsidR="00A038AD" w:rsidRPr="00E34335">
        <w:rPr>
          <w:sz w:val="28"/>
          <w:szCs w:val="28"/>
        </w:rPr>
        <w:br/>
      </w:r>
      <w:r w:rsidR="00A038AD" w:rsidRPr="00E34335">
        <w:rPr>
          <w:sz w:val="28"/>
          <w:szCs w:val="28"/>
        </w:rPr>
        <w:br/>
        <w:t xml:space="preserve">Importantly, these are not shortcomings of the experimental procedure, but rather inherent limitations of the LMTD framework in resolving </w:t>
      </w:r>
      <w:r w:rsidR="00A038AD" w:rsidRPr="00E34335">
        <w:rPr>
          <w:sz w:val="28"/>
          <w:szCs w:val="28"/>
        </w:rPr>
        <w:t>spatial variations.</w:t>
      </w:r>
      <w:r w:rsidR="00A038AD" w:rsidRPr="00E34335">
        <w:rPr>
          <w:sz w:val="28"/>
          <w:szCs w:val="28"/>
        </w:rPr>
        <w:br/>
      </w:r>
    </w:p>
    <w:sectPr w:rsidR="00C021F2" w:rsidRPr="00E34335" w:rsidSect="00E34335">
      <w:pgSz w:w="12240" w:h="15840"/>
      <w:pgMar w:top="1440" w:right="1800" w:bottom="1440" w:left="180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836158">
    <w:abstractNumId w:val="8"/>
  </w:num>
  <w:num w:numId="2" w16cid:durableId="730425393">
    <w:abstractNumId w:val="6"/>
  </w:num>
  <w:num w:numId="3" w16cid:durableId="622269785">
    <w:abstractNumId w:val="5"/>
  </w:num>
  <w:num w:numId="4" w16cid:durableId="1119182265">
    <w:abstractNumId w:val="4"/>
  </w:num>
  <w:num w:numId="5" w16cid:durableId="1073894704">
    <w:abstractNumId w:val="7"/>
  </w:num>
  <w:num w:numId="6" w16cid:durableId="438525381">
    <w:abstractNumId w:val="3"/>
  </w:num>
  <w:num w:numId="7" w16cid:durableId="1471828127">
    <w:abstractNumId w:val="2"/>
  </w:num>
  <w:num w:numId="8" w16cid:durableId="1589078514">
    <w:abstractNumId w:val="1"/>
  </w:num>
  <w:num w:numId="9" w16cid:durableId="171241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3FA2"/>
    <w:rsid w:val="00A038AD"/>
    <w:rsid w:val="00AA1D8D"/>
    <w:rsid w:val="00B47730"/>
    <w:rsid w:val="00C021F2"/>
    <w:rsid w:val="00CB0664"/>
    <w:rsid w:val="00E34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79462"/>
  <w14:defaultImageDpi w14:val="300"/>
  <w15:docId w15:val="{625B3940-6750-44DC-9849-12422741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Sharma</cp:lastModifiedBy>
  <cp:revision>2</cp:revision>
  <dcterms:created xsi:type="dcterms:W3CDTF">2026-04-25T05:37:00Z</dcterms:created>
  <dcterms:modified xsi:type="dcterms:W3CDTF">2026-04-25T05:37:00Z</dcterms:modified>
  <cp:category/>
</cp:coreProperties>
</file>