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Assumptions</w:t>
      </w:r>
    </w:p>
    <w:p>
      <w:pPr>
        <w:pStyle w:val="Heading1"/>
      </w:pPr>
      <w:r>
        <w:t>Assumptions</w:t>
      </w:r>
    </w:p>
    <w:p>
      <w:r>
        <w:t>Assumption: The customer invoice form for Canadian customers will have a set up Customs Management Module integrated into the Adobe form in BTP, in order to accurately reflect Canadian customs regulations and tariffs.</w:t>
      </w:r>
    </w:p>
    <w:p>
      <w:pPr>
        <w:pStyle w:val="Heading1"/>
      </w:pPr>
      <w:r>
        <w:t>Assumptions</w:t>
      </w:r>
    </w:p>
    <w:p>
      <w:r>
        <w:t>The system should also allow generation of recurring invoices. Assumptions for functional specification document: The invoice document should be generated automatically in VF01/VF02/VF03 in SAP, and re-prints in VF31. It should provide options for the invoice to be issued through Print, Email, or Fax. Lastly, the system should support the ability to generate recurring invoices.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