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Assumptions</w:t>
      </w:r>
    </w:p>
    <w:p>
      <w:pPr>
        <w:pStyle w:val="Heading1"/>
      </w:pPr>
      <w:r>
        <w:t>Introduction</w:t>
      </w:r>
    </w:p>
    <w:p>
      <w:r>
        <w:t>Assumption: The functional specification document will specify the details for generating a customer invoice form for Canada bound by the profit centers and profit center groups which must be already created and activated prior to execution of the upload.</w:t>
      </w:r>
    </w:p>
    <w:p>
      <w:pPr>
        <w:pStyle w:val="Heading1"/>
      </w:pPr>
      <w:r>
        <w:t>Assumptions</w:t>
      </w:r>
    </w:p>
    <w:p>
      <w:r>
        <w:t>Assuming from the given requirements, the functional specification document will include the details of entering profit center information in hierarchical format, data cleansing and signing off by business, and details of error management process for rectifying the errors in uploaded data using an error log file and SM35 transaction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