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540"/>
          <w:sz w:val="40"/>
        </w:rPr>
        <w:t>SHARDA UNIVERSITY AGRA</w:t>
        <w:br/>
      </w:r>
      <w:r>
        <w:rPr>
          <w:b/>
          <w:color w:val="006699"/>
          <w:sz w:val="26"/>
        </w:rPr>
        <w:t>Anand School of Engineering and Technology</w:t>
        <w:br/>
        <w:t>Department of Computer Science and Engineering</w:t>
        <w:br/>
        <w:br/>
      </w:r>
      <w:r>
        <w:rPr>
          <w:b/>
          <w:color w:val="D97706"/>
          <w:sz w:val="28"/>
        </w:rPr>
        <w:t>PROJECT BASED LEARNING (PBL) PROJECT REPORT</w:t>
        <w:br/>
      </w:r>
      <w:r>
        <w:rPr>
          <w:b/>
          <w:color w:val="0A2540"/>
          <w:sz w:val="32"/>
        </w:rPr>
        <w:t>PARKEASE: IOT-ENABLED REAL-TIME SMART PARKING OPERATIONS SYSTEM WITH COMPUTER VISION ANPR AND 3D DIGITAL TWIN</w:t>
        <w:br/>
        <w:br/>
      </w:r>
    </w:p>
    <w:p>
      <w:pPr>
        <w:jc w:val="center"/>
      </w:pPr>
      <w:r>
        <w:rPr>
          <w:b/>
        </w:rPr>
        <w:t>Bachelor of Technology in Artificial Intelligence and Machine Learning</w:t>
        <w:br/>
      </w:r>
      <w:r>
        <w:t>Semester: III  |  Course Code: BECS305P</w:t>
        <w:br/>
        <w:t>Academic Session: 2026 – 2027</w:t>
        <w:br/>
        <w:br/>
      </w:r>
    </w:p>
    <w:p>
      <w:pPr>
        <w:jc w:val="center"/>
      </w:pPr>
      <w:r>
        <w:rPr>
          <w:b/>
        </w:rPr>
        <w:t>SUBMITTED BY:</w:t>
        <w:br/>
      </w:r>
      <w:r>
        <w:t>Student Name: Abhishek (Team Lead) &amp; Project Group Members</w:t>
        <w:br/>
      </w:r>
      <w:r>
        <w:t>Group Number: Group-04  |  Section: AI-ML-A</w:t>
        <w:br/>
        <w:br/>
      </w:r>
    </w:p>
    <w:p>
      <w:pPr>
        <w:jc w:val="center"/>
      </w:pPr>
      <w:r>
        <w:rPr>
          <w:b/>
        </w:rPr>
        <w:t>PROJECT SUPERVISOR &amp; COURSE IN-CHARGE:</w:t>
        <w:br/>
      </w:r>
      <w:r>
        <w:t>Project Guide: Faculty Guide, Dept. of Computer Science &amp; Engineering</w:t>
        <w:br/>
      </w:r>
      <w:r>
        <w:t>PBL In-Charge: Dr. Soumya Ranjan Jena</w:t>
        <w:br/>
        <w:t>Submission Date: October 2026</w:t>
        <w:br/>
      </w:r>
    </w:p>
    <w:p>
      <w:r>
        <w:br w:type="page"/>
      </w:r>
    </w:p>
    <w:p>
      <w:pPr>
        <w:keepNext/>
        <w:spacing w:before="360" w:after="120"/>
      </w:pPr>
      <w:r>
        <w:rPr>
          <w:rFonts w:ascii="Times New Roman" w:hAnsi="Times New Roman"/>
          <w:b/>
          <w:color w:val="0A2540"/>
          <w:sz w:val="30"/>
        </w:rPr>
        <w:t>0 PRELIMINARY PAGES</w:t>
      </w:r>
    </w:p>
    <w:p>
      <w:pPr>
        <w:keepNext/>
        <w:spacing w:before="240" w:after="80"/>
      </w:pPr>
      <w:r>
        <w:rPr>
          <w:rFonts w:ascii="Times New Roman" w:hAnsi="Times New Roman"/>
          <w:b/>
          <w:color w:val="006699"/>
          <w:sz w:val="25"/>
        </w:rPr>
        <w:t>0.1 Project Approval and Guide Certificate</w:t>
      </w:r>
    </w:p>
    <w:p>
      <w:pPr>
        <w:spacing w:line="276" w:lineRule="auto" w:after="120"/>
      </w:pPr>
      <w:r>
        <w:rPr>
          <w:rFonts w:ascii="Times New Roman" w:hAnsi="Times New Roman"/>
        </w:rPr>
        <w:t>This is to certify that the Project Based Learning (PBL) report entitled 'PARKEASE: IoT-Enabled Real-Time Smart Parking Operations System with Computer Vision ANPR and 3D Digital Twin', submitted by Abhishek (Team Lead) and Project Group Members in partial fulfillment of the requirements for the award of the degree of Bachelor of Technology in Artificial Intelligence and Machine Learning (Semester III, Course Code BECS305P) from Anand School of Engineering and Technology, Sharda University Agra, is a bonafide record of authentic project work carried out under my supervision.</w:t>
      </w:r>
    </w:p>
    <w:p>
      <w:pPr>
        <w:spacing w:line="276" w:lineRule="auto" w:after="120"/>
      </w:pPr>
      <w:r>
        <w:rPr>
          <w:rFonts w:ascii="Times New Roman" w:hAnsi="Times New Roman"/>
        </w:rPr>
        <w:t>The results and implementations documented in this report have been verified, executed, and tested on a live running software system. The technical deliverables fulfill the prescribed learning outcomes of the course curriculum.</w:t>
      </w:r>
    </w:p>
    <w:p>
      <w:r>
        <w:br/>
        <w:br/>
        <w:t>____________________________</w:t>
        <w:tab/>
        <w:tab/>
        <w:tab/>
        <w:t>____________________________</w:t>
        <w:br/>
        <w:t>Project Guide (Signature)</w:t>
        <w:tab/>
        <w:tab/>
        <w:tab/>
        <w:t>PBL In-Charge: Dr. Soumya Ranjan Jena</w:t>
        <w:br/>
        <w:t>Department of CSE</w:t>
        <w:tab/>
        <w:tab/>
        <w:tab/>
        <w:t>Anand School of Engineering &amp; Technology</w:t>
        <w:br/>
        <w:t>Date:</w:t>
        <w:tab/>
        <w:tab/>
        <w:tab/>
        <w:tab/>
        <w:tab/>
        <w:tab/>
        <w:t>Date:</w:t>
      </w:r>
    </w:p>
    <w:p>
      <w:pPr>
        <w:keepNext/>
        <w:spacing w:before="240" w:after="80"/>
      </w:pPr>
      <w:r>
        <w:rPr>
          <w:rFonts w:ascii="Times New Roman" w:hAnsi="Times New Roman"/>
          <w:b/>
          <w:color w:val="006699"/>
          <w:sz w:val="25"/>
        </w:rPr>
        <w:t>0.2 Student Declaration of Originality</w:t>
      </w:r>
    </w:p>
    <w:p>
      <w:pPr>
        <w:spacing w:line="276" w:lineRule="auto" w:after="120"/>
      </w:pPr>
      <w:r>
        <w:rPr>
          <w:rFonts w:ascii="Times New Roman" w:hAnsi="Times New Roman"/>
        </w:rPr>
        <w:t>We hereby declare that this Project Based Learning report entitled 'PARKEASE: IoT-Enabled Real-Time Smart Parking Operations System with Computer Vision ANPR and 3D Digital Twin' represents our original engineering work carried out during the academic semester. Any theoretical models, open-source libraries (OpenCV, EasyOCR, Three.js, Flask), and research citations utilized have been acknowledged in the references section.</w:t>
      </w:r>
    </w:p>
    <w:p>
      <w:pPr>
        <w:spacing w:line="276" w:lineRule="auto" w:after="120"/>
      </w:pPr>
      <w:r>
        <w:rPr>
          <w:rFonts w:ascii="Times New Roman" w:hAnsi="Times New Roman"/>
        </w:rPr>
        <w:t>We confirm that this report has not been submitted in whole or in part to any other university or academic institution for any degree, diploma, or certification.</w:t>
      </w:r>
    </w:p>
    <w:p>
      <w:r>
        <w:br/>
        <w:br/>
        <w:t>____________________________</w:t>
        <w:br/>
        <w:t>Abhishek (Team Leader)</w:t>
        <w:br/>
        <w:t>On behalf of Project Team Members</w:t>
        <w:br/>
        <w:t>Date: October 27, 2026</w:t>
      </w:r>
    </w:p>
    <w:p>
      <w:pPr>
        <w:keepNext/>
        <w:spacing w:before="240" w:after="80"/>
      </w:pPr>
      <w:r>
        <w:rPr>
          <w:rFonts w:ascii="Times New Roman" w:hAnsi="Times New Roman"/>
          <w:b/>
          <w:color w:val="006699"/>
          <w:sz w:val="25"/>
        </w:rPr>
        <w:t>0.3 Acknowledgements</w:t>
      </w:r>
    </w:p>
    <w:p>
      <w:pPr>
        <w:spacing w:line="276" w:lineRule="auto" w:after="120"/>
      </w:pPr>
      <w:r>
        <w:rPr>
          <w:rFonts w:ascii="Times New Roman" w:hAnsi="Times New Roman"/>
        </w:rPr>
        <w:t>We express our sincere gratitude to Dr. Soumya Ranjan Jena, PBL In-Charge, for his invaluable guidance, continuous academic encouragement, and constructive critique throughout the conception and implementation of ParkEase.</w:t>
      </w:r>
    </w:p>
    <w:p>
      <w:pPr>
        <w:spacing w:line="276" w:lineRule="auto" w:after="120"/>
      </w:pPr>
      <w:r>
        <w:rPr>
          <w:rFonts w:ascii="Times New Roman" w:hAnsi="Times New Roman"/>
        </w:rPr>
        <w:t>We also extend our heartfelt thanks to our Faculty Project Guide and the Department of Computer Science &amp; Engineering, Anand School of Engineering and Technology, Sharda University Agra, for providing the necessary computational lab infrastructure, environment resources, and encouragement to complete this project.</w:t>
      </w:r>
    </w:p>
    <w:p>
      <w:pPr>
        <w:keepNext/>
        <w:spacing w:before="240" w:after="80"/>
      </w:pPr>
      <w:r>
        <w:rPr>
          <w:rFonts w:ascii="Times New Roman" w:hAnsi="Times New Roman"/>
          <w:b/>
          <w:color w:val="006699"/>
          <w:sz w:val="25"/>
        </w:rPr>
        <w:t>0.4 Abstract</w:t>
      </w:r>
    </w:p>
    <w:p>
      <w:pPr>
        <w:spacing w:line="276" w:lineRule="auto" w:after="120"/>
      </w:pPr>
      <w:r>
        <w:rPr>
          <w:rFonts w:ascii="Times New Roman" w:hAnsi="Times New Roman"/>
        </w:rPr>
        <w:t>Urban vehicular growth has severely congested metropolitan parking infrastructure, causing prolonged queue times, high fuel burn during parking spot search, and human accounting leakages at toll booths. This project presents ParkEase, an enterprise-grade smart parking operations platform integrating automated Computer Vision Automated Number Plate Recognition (ANPR), an interactive Three.js WebGL 3D digital twin, and a deterministic transaction state machine.</w:t>
      </w:r>
    </w:p>
    <w:p>
      <w:pPr>
        <w:spacing w:line="276" w:lineRule="auto" w:after="120"/>
      </w:pPr>
      <w:r>
        <w:rPr>
          <w:rFonts w:ascii="Times New Roman" w:hAnsi="Times New Roman"/>
        </w:rPr>
        <w:t>ParkEase utilizes OpenCV and EasyOCR augmented with character position-aware heuristics tailored for Indian license plate formats, including High-Security Registration Plates (HSRP) and the Bharat Series (22BH), achieving a 96.8% plate recognition accuracy. The system features a real-time 3D spatial occupancy digital twin across multi-zone facilities (Zone A Ground, Zone B Outdoor, and Basement EV Hub), advance slot pre-booking, dynamic pricing with free grace periods, and cashier shift handover variance tracking. Automated 2D dynamic QR code ticketing and 1-click WhatsApp paperless receipts eliminate physical paper waste. Tested against 19 contract test suites with 100% pass rates, ParkEase demonstrates a gate dwell time of under 2 seconds, offering a scalable, open-source architecture for smart city deployments.</w:t>
      </w:r>
    </w:p>
    <w:p>
      <w:pPr>
        <w:keepNext/>
        <w:spacing w:before="240" w:after="80"/>
      </w:pPr>
      <w:r>
        <w:rPr>
          <w:rFonts w:ascii="Times New Roman" w:hAnsi="Times New Roman"/>
          <w:b/>
          <w:color w:val="006699"/>
          <w:sz w:val="25"/>
        </w:rPr>
        <w:t>0.5 Keywords</w:t>
      </w:r>
    </w:p>
    <w:p>
      <w:pPr>
        <w:spacing w:line="276" w:lineRule="auto" w:after="120"/>
      </w:pPr>
      <w:r>
        <w:rPr>
          <w:rFonts w:ascii="Times New Roman" w:hAnsi="Times New Roman"/>
        </w:rPr>
        <w:t>Automated Number Plate Recognition (ANPR); EasyOCR; OpenCV; Three.js WebGL Digital Twin; Smart Parking; Flask; MySQL 8.0; Internet of Things (IoT); Dynamic Pricing Engine; Project Based Learning (PBL).</w:t>
      </w:r>
    </w:p>
    <w:p>
      <w:pPr>
        <w:keepNext/>
        <w:spacing w:before="240" w:after="80"/>
      </w:pPr>
      <w:r>
        <w:rPr>
          <w:rFonts w:ascii="Times New Roman" w:hAnsi="Times New Roman"/>
          <w:b/>
          <w:color w:val="006699"/>
          <w:sz w:val="25"/>
        </w:rPr>
        <w:t>0.6 Table of Contents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E0F2FE"/>
          </w:tcPr>
          <w:p>
            <w:r>
              <w:rPr>
                <w:b/>
              </w:rPr>
              <w:t>Chapter</w:t>
            </w:r>
          </w:p>
        </w:tc>
        <w:tc>
          <w:tcPr>
            <w:tcW w:type="dxa" w:w="3120"/>
            <w:shd w:val="clear" w:color="auto" w:fill="E0F2FE"/>
          </w:tcPr>
          <w:p>
            <w:r>
              <w:rPr>
                <w:b/>
              </w:rPr>
              <w:t>Subsections</w:t>
            </w:r>
          </w:p>
        </w:tc>
        <w:tc>
          <w:tcPr>
            <w:tcW w:type="dxa" w:w="3120"/>
            <w:shd w:val="clear" w:color="auto" w:fill="E0F2FE"/>
          </w:tcPr>
          <w:p>
            <w:r>
              <w:rPr>
                <w:b/>
              </w:rPr>
              <w:t>Page</w:t>
            </w:r>
          </w:p>
        </w:tc>
      </w:tr>
      <w:tr>
        <w:tc>
          <w:tcPr>
            <w:tcW w:type="dxa" w:w="3120"/>
          </w:tcPr>
          <w:p>
            <w:r>
              <w:t>0 Preliminary Pages</w:t>
            </w:r>
          </w:p>
        </w:tc>
        <w:tc>
          <w:tcPr>
            <w:tcW w:type="dxa" w:w="3120"/>
          </w:tcPr>
          <w:p>
            <w:r>
              <w:t>0.1 to 0.9</w:t>
            </w:r>
          </w:p>
        </w:tc>
        <w:tc>
          <w:tcPr>
            <w:tcW w:type="dxa" w:w="3120"/>
          </w:tcPr>
          <w:p>
            <w:r>
              <w:t>ii</w:t>
            </w:r>
          </w:p>
        </w:tc>
      </w:tr>
      <w:tr>
        <w:tc>
          <w:tcPr>
            <w:tcW w:type="dxa" w:w="3120"/>
          </w:tcPr>
          <w:p>
            <w:r>
              <w:t>1 Introduction</w:t>
            </w:r>
          </w:p>
        </w:tc>
        <w:tc>
          <w:tcPr>
            <w:tcW w:type="dxa" w:w="3120"/>
          </w:tcPr>
          <w:p>
            <w:r>
              <w:t>1.1 to 1.6</w:t>
            </w:r>
          </w:p>
        </w:tc>
        <w:tc>
          <w:tcPr>
            <w:tcW w:type="dxa" w:w="3120"/>
          </w:tcPr>
          <w:p>
            <w:r>
              <w:t>1</w:t>
            </w:r>
          </w:p>
        </w:tc>
      </w:tr>
      <w:tr>
        <w:tc>
          <w:tcPr>
            <w:tcW w:type="dxa" w:w="3120"/>
          </w:tcPr>
          <w:p>
            <w:r>
              <w:t>2 Literature Review and Research Gap</w:t>
            </w:r>
          </w:p>
        </w:tc>
        <w:tc>
          <w:tcPr>
            <w:tcW w:type="dxa" w:w="3120"/>
          </w:tcPr>
          <w:p>
            <w:r>
              <w:t>2.1 to 2.6</w:t>
            </w:r>
          </w:p>
        </w:tc>
        <w:tc>
          <w:tcPr>
            <w:tcW w:type="dxa" w:w="3120"/>
          </w:tcPr>
          <w:p>
            <w:r>
              <w:t>4</w:t>
            </w:r>
          </w:p>
        </w:tc>
      </w:tr>
      <w:tr>
        <w:tc>
          <w:tcPr>
            <w:tcW w:type="dxa" w:w="3120"/>
          </w:tcPr>
          <w:p>
            <w:r>
              <w:t>3 Requirements and Project Planning</w:t>
            </w:r>
          </w:p>
        </w:tc>
        <w:tc>
          <w:tcPr>
            <w:tcW w:type="dxa" w:w="3120"/>
          </w:tcPr>
          <w:p>
            <w:r>
              <w:t>3.1 to 3.5</w:t>
            </w:r>
          </w:p>
        </w:tc>
        <w:tc>
          <w:tcPr>
            <w:tcW w:type="dxa" w:w="3120"/>
          </w:tcPr>
          <w:p>
            <w:r>
              <w:t>7</w:t>
            </w:r>
          </w:p>
        </w:tc>
      </w:tr>
      <w:tr>
        <w:tc>
          <w:tcPr>
            <w:tcW w:type="dxa" w:w="3120"/>
          </w:tcPr>
          <w:p>
            <w:r>
              <w:t>4 Dataset and Data Preparation</w:t>
            </w:r>
          </w:p>
        </w:tc>
        <w:tc>
          <w:tcPr>
            <w:tcW w:type="dxa" w:w="3120"/>
          </w:tcPr>
          <w:p>
            <w:r>
              <w:t>4.1 to 4.7</w:t>
            </w:r>
          </w:p>
        </w:tc>
        <w:tc>
          <w:tcPr>
            <w:tcW w:type="dxa" w:w="3120"/>
          </w:tcPr>
          <w:p>
            <w:r>
              <w:t>10</w:t>
            </w:r>
          </w:p>
        </w:tc>
      </w:tr>
      <w:tr>
        <w:tc>
          <w:tcPr>
            <w:tcW w:type="dxa" w:w="3120"/>
          </w:tcPr>
          <w:p>
            <w:r>
              <w:t>5 Proposed Methodology and System Design</w:t>
            </w:r>
          </w:p>
        </w:tc>
        <w:tc>
          <w:tcPr>
            <w:tcW w:type="dxa" w:w="3120"/>
          </w:tcPr>
          <w:p>
            <w:r>
              <w:t>5.1 to 5.7</w:t>
            </w:r>
          </w:p>
        </w:tc>
        <w:tc>
          <w:tcPr>
            <w:tcW w:type="dxa" w:w="3120"/>
          </w:tcPr>
          <w:p>
            <w:r>
              <w:t>13</w:t>
            </w:r>
          </w:p>
        </w:tc>
      </w:tr>
      <w:tr>
        <w:tc>
          <w:tcPr>
            <w:tcW w:type="dxa" w:w="3120"/>
          </w:tcPr>
          <w:p>
            <w:r>
              <w:t>6 Implementation</w:t>
            </w:r>
          </w:p>
        </w:tc>
        <w:tc>
          <w:tcPr>
            <w:tcW w:type="dxa" w:w="3120"/>
          </w:tcPr>
          <w:p>
            <w:r>
              <w:t>6.1 to 6.5</w:t>
            </w:r>
          </w:p>
        </w:tc>
        <w:tc>
          <w:tcPr>
            <w:tcW w:type="dxa" w:w="3120"/>
          </w:tcPr>
          <w:p>
            <w:r>
              <w:t>17</w:t>
            </w:r>
          </w:p>
        </w:tc>
      </w:tr>
      <w:tr>
        <w:tc>
          <w:tcPr>
            <w:tcW w:type="dxa" w:w="3120"/>
          </w:tcPr>
          <w:p>
            <w:r>
              <w:t>7 Experimental Design and Testing</w:t>
            </w:r>
          </w:p>
        </w:tc>
        <w:tc>
          <w:tcPr>
            <w:tcW w:type="dxa" w:w="3120"/>
          </w:tcPr>
          <w:p>
            <w:r>
              <w:t>7.1 to 7.6</w:t>
            </w:r>
          </w:p>
        </w:tc>
        <w:tc>
          <w:tcPr>
            <w:tcW w:type="dxa" w:w="3120"/>
          </w:tcPr>
          <w:p>
            <w:r>
              <w:t>21</w:t>
            </w:r>
          </w:p>
        </w:tc>
      </w:tr>
      <w:tr>
        <w:tc>
          <w:tcPr>
            <w:tcW w:type="dxa" w:w="3120"/>
          </w:tcPr>
          <w:p>
            <w:r>
              <w:t>8 Results and Discussion</w:t>
            </w:r>
          </w:p>
        </w:tc>
        <w:tc>
          <w:tcPr>
            <w:tcW w:type="dxa" w:w="3120"/>
          </w:tcPr>
          <w:p>
            <w:r>
              <w:t>8.1 to 8.6</w:t>
            </w:r>
          </w:p>
        </w:tc>
        <w:tc>
          <w:tcPr>
            <w:tcW w:type="dxa" w:w="3120"/>
          </w:tcPr>
          <w:p>
            <w:r>
              <w:t>24</w:t>
            </w:r>
          </w:p>
        </w:tc>
      </w:tr>
      <w:tr>
        <w:tc>
          <w:tcPr>
            <w:tcW w:type="dxa" w:w="3120"/>
          </w:tcPr>
          <w:p>
            <w:r>
              <w:t>9 Responsible Development and Reproducibility</w:t>
            </w:r>
          </w:p>
        </w:tc>
        <w:tc>
          <w:tcPr>
            <w:tcW w:type="dxa" w:w="3120"/>
          </w:tcPr>
          <w:p>
            <w:r>
              <w:t>9.1 to 9.5</w:t>
            </w:r>
          </w:p>
        </w:tc>
        <w:tc>
          <w:tcPr>
            <w:tcW w:type="dxa" w:w="3120"/>
          </w:tcPr>
          <w:p>
            <w:r>
              <w:t>27</w:t>
            </w:r>
          </w:p>
        </w:tc>
      </w:tr>
      <w:tr>
        <w:tc>
          <w:tcPr>
            <w:tcW w:type="dxa" w:w="3120"/>
          </w:tcPr>
          <w:p>
            <w:r>
              <w:t>10 PBL Learning Outcomes and Project Delivery</w:t>
            </w:r>
          </w:p>
        </w:tc>
        <w:tc>
          <w:tcPr>
            <w:tcW w:type="dxa" w:w="3120"/>
          </w:tcPr>
          <w:p>
            <w:r>
              <w:t>10.1 to 10.5</w:t>
            </w:r>
          </w:p>
        </w:tc>
        <w:tc>
          <w:tcPr>
            <w:tcW w:type="dxa" w:w="3120"/>
          </w:tcPr>
          <w:p>
            <w:r>
              <w:t>29</w:t>
            </w:r>
          </w:p>
        </w:tc>
      </w:tr>
      <w:tr>
        <w:tc>
          <w:tcPr>
            <w:tcW w:type="dxa" w:w="3120"/>
          </w:tcPr>
          <w:p>
            <w:r>
              <w:t>11 Conclusion and Future Work</w:t>
            </w:r>
          </w:p>
        </w:tc>
        <w:tc>
          <w:tcPr>
            <w:tcW w:type="dxa" w:w="3120"/>
          </w:tcPr>
          <w:p>
            <w:r>
              <w:t>11.1 to 11.3</w:t>
            </w:r>
          </w:p>
        </w:tc>
        <w:tc>
          <w:tcPr>
            <w:tcW w:type="dxa" w:w="3120"/>
          </w:tcPr>
          <w:p>
            <w:r>
              <w:t>32</w:t>
            </w:r>
          </w:p>
        </w:tc>
      </w:tr>
      <w:tr>
        <w:tc>
          <w:tcPr>
            <w:tcW w:type="dxa" w:w="3120"/>
          </w:tcPr>
          <w:p>
            <w:r>
              <w:t>12 References</w:t>
            </w:r>
          </w:p>
        </w:tc>
        <w:tc>
          <w:tcPr>
            <w:tcW w:type="dxa" w:w="3120"/>
          </w:tcPr>
          <w:p>
            <w:r>
              <w:t>Academic Papers &amp; Documentation</w:t>
            </w:r>
          </w:p>
        </w:tc>
        <w:tc>
          <w:tcPr>
            <w:tcW w:type="dxa" w:w="3120"/>
          </w:tcPr>
          <w:p>
            <w:r>
              <w:t>34</w:t>
            </w:r>
          </w:p>
        </w:tc>
      </w:tr>
    </w:tbl>
    <w:p>
      <w:pPr>
        <w:keepNext/>
        <w:spacing w:before="240" w:after="80"/>
      </w:pPr>
      <w:r>
        <w:rPr>
          <w:rFonts w:ascii="Times New Roman" w:hAnsi="Times New Roman"/>
          <w:b/>
          <w:color w:val="006699"/>
          <w:sz w:val="25"/>
        </w:rPr>
        <w:t>0.7 List of Figures</w:t>
      </w:r>
    </w:p>
    <w:p>
      <w:pPr>
        <w:pStyle w:val="ListBullet"/>
        <w:spacing w:line="276" w:lineRule="auto" w:after="80"/>
      </w:pPr>
      <w:r>
        <w:rPr>
          <w:rFonts w:ascii="Times New Roman" w:hAnsi="Times New Roman"/>
        </w:rPr>
        <w:t>Figure 1.1: Global Urban Congestion and Search Dwell Time Statistics.</w:t>
      </w:r>
    </w:p>
    <w:p>
      <w:pPr>
        <w:pStyle w:val="ListBullet"/>
        <w:spacing w:line="276" w:lineRule="auto" w:after="80"/>
      </w:pPr>
      <w:r>
        <w:rPr>
          <w:rFonts w:ascii="Times New Roman" w:hAnsi="Times New Roman"/>
        </w:rPr>
        <w:t>Figure 5.1: Multi-Tier Architectural Block Diagram of ParkEase System.</w:t>
      </w:r>
    </w:p>
    <w:p>
      <w:pPr>
        <w:pStyle w:val="ListBullet"/>
        <w:spacing w:line="276" w:lineRule="auto" w:after="80"/>
      </w:pPr>
      <w:r>
        <w:rPr>
          <w:rFonts w:ascii="Times New Roman" w:hAnsi="Times New Roman"/>
        </w:rPr>
        <w:t>Figure 5.2: State Machine Transition Lifecycle for Parking Sessions.</w:t>
      </w:r>
    </w:p>
    <w:p>
      <w:pPr>
        <w:pStyle w:val="ListBullet"/>
        <w:spacing w:line="276" w:lineRule="auto" w:after="80"/>
      </w:pPr>
      <w:r>
        <w:rPr>
          <w:rFonts w:ascii="Times New Roman" w:hAnsi="Times New Roman"/>
        </w:rPr>
        <w:t>Figure 5.3: Computer Vision ANPR and Bounding Box Processing Flow.</w:t>
      </w:r>
    </w:p>
    <w:p>
      <w:pPr>
        <w:pStyle w:val="ListBullet"/>
        <w:spacing w:line="276" w:lineRule="auto" w:after="80"/>
      </w:pPr>
      <w:r>
        <w:rPr>
          <w:rFonts w:ascii="Times New Roman" w:hAnsi="Times New Roman"/>
        </w:rPr>
        <w:t>Figure 6.1: Real-Time 3D WebGL Digital Twin Dashboard Interface.</w:t>
      </w:r>
    </w:p>
    <w:p>
      <w:pPr>
        <w:pStyle w:val="ListBullet"/>
        <w:spacing w:line="276" w:lineRule="auto" w:after="80"/>
      </w:pPr>
      <w:r>
        <w:rPr>
          <w:rFonts w:ascii="Times New Roman" w:hAnsi="Times New Roman"/>
        </w:rPr>
        <w:t>Figure 7.1: Character Position-Aware OCR Correction Pipeline.</w:t>
      </w:r>
    </w:p>
    <w:p>
      <w:pPr>
        <w:pStyle w:val="ListBullet"/>
        <w:spacing w:line="276" w:lineRule="auto" w:after="80"/>
      </w:pPr>
      <w:r>
        <w:rPr>
          <w:rFonts w:ascii="Times New Roman" w:hAnsi="Times New Roman"/>
        </w:rPr>
        <w:t>Figure 8.1: 24-Hour Peak Demand Curve &amp; 7-Day Revenue Trend Visualisation.</w:t>
      </w:r>
    </w:p>
    <w:p>
      <w:pPr>
        <w:keepNext/>
        <w:spacing w:before="240" w:after="80"/>
      </w:pPr>
      <w:r>
        <w:rPr>
          <w:rFonts w:ascii="Times New Roman" w:hAnsi="Times New Roman"/>
          <w:b/>
          <w:color w:val="006699"/>
          <w:sz w:val="25"/>
        </w:rPr>
        <w:t>0.8 List of Tables</w:t>
      </w:r>
    </w:p>
    <w:p>
      <w:pPr>
        <w:pStyle w:val="ListBullet"/>
        <w:spacing w:line="276" w:lineRule="auto" w:after="80"/>
      </w:pPr>
      <w:r>
        <w:rPr>
          <w:rFonts w:ascii="Times New Roman" w:hAnsi="Times New Roman"/>
        </w:rPr>
        <w:t>Table 2.1: Comparative Feature Analysis of Existing Parking Solutions.</w:t>
      </w:r>
    </w:p>
    <w:p>
      <w:pPr>
        <w:pStyle w:val="ListBullet"/>
        <w:spacing w:line="276" w:lineRule="auto" w:after="80"/>
      </w:pPr>
      <w:r>
        <w:rPr>
          <w:rFonts w:ascii="Times New Roman" w:hAnsi="Times New Roman"/>
        </w:rPr>
        <w:t>Table 3.1: Hardware and Software Specification Environment.</w:t>
      </w:r>
    </w:p>
    <w:p>
      <w:pPr>
        <w:pStyle w:val="ListBullet"/>
        <w:spacing w:line="276" w:lineRule="auto" w:after="80"/>
      </w:pPr>
      <w:r>
        <w:rPr>
          <w:rFonts w:ascii="Times New Roman" w:hAnsi="Times New Roman"/>
        </w:rPr>
        <w:t>Table 4.1: Dataset Composition of Indian Vehicle License Plates.</w:t>
      </w:r>
    </w:p>
    <w:p>
      <w:pPr>
        <w:pStyle w:val="ListBullet"/>
        <w:spacing w:line="276" w:lineRule="auto" w:after="80"/>
      </w:pPr>
      <w:r>
        <w:rPr>
          <w:rFonts w:ascii="Times New Roman" w:hAnsi="Times New Roman"/>
        </w:rPr>
        <w:t>Table 7.1: Model Performance and Accuracy Comparison Across OCR Baselines.</w:t>
      </w:r>
    </w:p>
    <w:p>
      <w:pPr>
        <w:pStyle w:val="ListBullet"/>
        <w:spacing w:line="276" w:lineRule="auto" w:after="80"/>
      </w:pPr>
      <w:r>
        <w:rPr>
          <w:rFonts w:ascii="Times New Roman" w:hAnsi="Times New Roman"/>
        </w:rPr>
        <w:t>Table 8.1: Ablation Study of Preprocessing and Heuristic Correction Modules.</w:t>
      </w:r>
    </w:p>
    <w:p>
      <w:pPr>
        <w:pStyle w:val="ListBullet"/>
        <w:spacing w:line="276" w:lineRule="auto" w:after="80"/>
      </w:pPr>
      <w:r>
        <w:rPr>
          <w:rFonts w:ascii="Times New Roman" w:hAnsi="Times New Roman"/>
        </w:rPr>
        <w:t>Table 10.1: Mapping of Project Deliverables to Course Learning Outcomes (CLOs).</w:t>
      </w:r>
    </w:p>
    <w:p>
      <w:pPr>
        <w:keepNext/>
        <w:spacing w:before="240" w:after="80"/>
      </w:pPr>
      <w:r>
        <w:rPr>
          <w:rFonts w:ascii="Times New Roman" w:hAnsi="Times New Roman"/>
          <w:b/>
          <w:color w:val="006699"/>
          <w:sz w:val="25"/>
        </w:rPr>
        <w:t>0.9 List of Abbreviations and Symbols</w:t>
      </w:r>
    </w:p>
    <w:p>
      <w:pPr>
        <w:pStyle w:val="ListBullet"/>
        <w:spacing w:line="276" w:lineRule="auto" w:after="80"/>
      </w:pPr>
      <w:r>
        <w:rPr>
          <w:rFonts w:ascii="Times New Roman" w:hAnsi="Times New Roman"/>
        </w:rPr>
        <w:t>ANPR: Automated Number Plate Recognition</w:t>
      </w:r>
    </w:p>
    <w:p>
      <w:pPr>
        <w:pStyle w:val="ListBullet"/>
        <w:spacing w:line="276" w:lineRule="auto" w:after="80"/>
      </w:pPr>
      <w:r>
        <w:rPr>
          <w:rFonts w:ascii="Times New Roman" w:hAnsi="Times New Roman"/>
        </w:rPr>
        <w:t>HSRP: High-Security Registration Plate</w:t>
      </w:r>
    </w:p>
    <w:p>
      <w:pPr>
        <w:pStyle w:val="ListBullet"/>
        <w:spacing w:line="276" w:lineRule="auto" w:after="80"/>
      </w:pPr>
      <w:r>
        <w:rPr>
          <w:rFonts w:ascii="Times New Roman" w:hAnsi="Times New Roman"/>
        </w:rPr>
        <w:t>RTO: Regional Transport Office (Ministry of Road Transport and Highways)</w:t>
      </w:r>
    </w:p>
    <w:p>
      <w:pPr>
        <w:pStyle w:val="ListBullet"/>
        <w:spacing w:line="276" w:lineRule="auto" w:after="80"/>
      </w:pPr>
      <w:r>
        <w:rPr>
          <w:rFonts w:ascii="Times New Roman" w:hAnsi="Times New Roman"/>
        </w:rPr>
        <w:t>CRAFT: Character Region Awareness for Text Detection</w:t>
      </w:r>
    </w:p>
    <w:p>
      <w:pPr>
        <w:pStyle w:val="ListBullet"/>
        <w:spacing w:line="276" w:lineRule="auto" w:after="80"/>
      </w:pPr>
      <w:r>
        <w:rPr>
          <w:rFonts w:ascii="Times New Roman" w:hAnsi="Times New Roman"/>
        </w:rPr>
        <w:t>CER: Character Error Rate</w:t>
      </w:r>
    </w:p>
    <w:p>
      <w:pPr>
        <w:pStyle w:val="ListBullet"/>
        <w:spacing w:line="276" w:lineRule="auto" w:after="80"/>
      </w:pPr>
      <w:r>
        <w:rPr>
          <w:rFonts w:ascii="Times New Roman" w:hAnsi="Times New Roman"/>
        </w:rPr>
        <w:t>PRA: Plate Recognition Accuracy</w:t>
      </w:r>
    </w:p>
    <w:p>
      <w:pPr>
        <w:pStyle w:val="ListBullet"/>
        <w:spacing w:line="276" w:lineRule="auto" w:after="80"/>
      </w:pPr>
      <w:r>
        <w:rPr>
          <w:rFonts w:ascii="Times New Roman" w:hAnsi="Times New Roman"/>
        </w:rPr>
        <w:t>PBL: Project Based Learning</w:t>
      </w:r>
    </w:p>
    <w:p>
      <w:pPr>
        <w:pStyle w:val="ListBullet"/>
        <w:spacing w:line="276" w:lineRule="auto" w:after="80"/>
      </w:pPr>
      <w:r>
        <w:rPr>
          <w:rFonts w:ascii="Times New Roman" w:hAnsi="Times New Roman"/>
        </w:rPr>
        <w:t>WDR: Wide Dynamic Range</w:t>
      </w:r>
    </w:p>
    <w:p>
      <w:pPr>
        <w:pStyle w:val="ListBullet"/>
        <w:spacing w:line="276" w:lineRule="auto" w:after="80"/>
      </w:pPr>
      <w:r>
        <w:rPr>
          <w:rFonts w:ascii="Times New Roman" w:hAnsi="Times New Roman"/>
        </w:rPr>
        <w:t>API: Application Programming Interface</w:t>
      </w:r>
    </w:p>
    <w:p>
      <w:pPr>
        <w:pStyle w:val="ListBullet"/>
        <w:spacing w:line="276" w:lineRule="auto" w:after="80"/>
      </w:pPr>
      <w:r>
        <w:rPr>
          <w:rFonts w:ascii="Times New Roman" w:hAnsi="Times New Roman"/>
        </w:rPr>
        <w:t>MQTT: Message Queuing Telemetry Transport</w:t>
      </w:r>
    </w:p>
    <w:p>
      <w:r>
        <w:br w:type="page"/>
      </w:r>
    </w:p>
    <w:p>
      <w:pPr>
        <w:keepNext/>
        <w:spacing w:before="360" w:after="120"/>
      </w:pPr>
      <w:r>
        <w:rPr>
          <w:rFonts w:ascii="Times New Roman" w:hAnsi="Times New Roman"/>
          <w:b/>
          <w:color w:val="0A2540"/>
          <w:sz w:val="30"/>
        </w:rPr>
        <w:t>1 INTRODUCTION</w:t>
      </w:r>
    </w:p>
    <w:p>
      <w:pPr>
        <w:keepNext/>
        <w:spacing w:before="240" w:after="80"/>
      </w:pPr>
      <w:r>
        <w:rPr>
          <w:rFonts w:ascii="Times New Roman" w:hAnsi="Times New Roman"/>
          <w:b/>
          <w:color w:val="006699"/>
          <w:sz w:val="25"/>
        </w:rPr>
        <w:t>1.1 Project Background and Context</w:t>
      </w:r>
    </w:p>
    <w:p>
      <w:pPr>
        <w:spacing w:line="276" w:lineRule="auto" w:after="120"/>
      </w:pPr>
      <w:r>
        <w:rPr>
          <w:rFonts w:ascii="Times New Roman" w:hAnsi="Times New Roman"/>
        </w:rPr>
        <w:t>The rapid escalation of global automotive density has outpaced traditional civil urban infrastructure. Metropolitan areas frequently report that cruising for vacant parking spaces contributes up to 30% of aggregate downtown traffic congestion. The conventional parking paradigm heavily relies on physical toll booths, paper-based entry slips, manual barrier raising, and decentralized cash collection. These legacy workflows suffer from severe operational friction, high vehicle gate dwell times, and human financial leakage.</w:t>
      </w:r>
    </w:p>
    <w:p>
      <w:pPr>
        <w:keepNext/>
        <w:spacing w:before="240" w:after="80"/>
      </w:pPr>
      <w:r>
        <w:rPr>
          <w:rFonts w:ascii="Times New Roman" w:hAnsi="Times New Roman"/>
          <w:b/>
          <w:color w:val="006699"/>
          <w:sz w:val="25"/>
        </w:rPr>
        <w:t>1.2 Problem Statement</w:t>
      </w:r>
    </w:p>
    <w:p>
      <w:pPr>
        <w:spacing w:line="276" w:lineRule="auto" w:after="120"/>
      </w:pPr>
      <w:r>
        <w:rPr>
          <w:rFonts w:ascii="Times New Roman" w:hAnsi="Times New Roman"/>
        </w:rPr>
        <w:t>Traditional parking lots lack automated, synchronized intelligence between gate optical sensors, bay spatial occupancy, and payment processing. Specifically, facility operators lack a single-pane-of-glass digital twin to oversee multi-zone operations (standard, VIP, accessible, and EV charging hubs). Drivers face long check-in queues, misplace paper tickets, and encounter non-transparent billing. Concurrently, generic computer vision OCR algorithms severely degrade in accuracy when applied to Indian High-Security Registration Plates (HSRP) due to customized dealer fonts, character lookalike ambiguities, and extreme lighting variations.</w:t>
      </w:r>
    </w:p>
    <w:p>
      <w:pPr>
        <w:keepNext/>
        <w:spacing w:before="240" w:after="80"/>
      </w:pPr>
      <w:r>
        <w:rPr>
          <w:rFonts w:ascii="Times New Roman" w:hAnsi="Times New Roman"/>
          <w:b/>
          <w:color w:val="006699"/>
          <w:sz w:val="25"/>
        </w:rPr>
        <w:t>1.3 Motivation and Stakeholder Needs</w:t>
      </w:r>
    </w:p>
    <w:p>
      <w:pPr>
        <w:spacing w:line="276" w:lineRule="auto" w:after="120"/>
      </w:pPr>
      <w:r>
        <w:rPr>
          <w:rFonts w:ascii="Times New Roman" w:hAnsi="Times New Roman"/>
        </w:rPr>
        <w:t>The primary motivation of ParkEase is to leverage edge-friendly deep learning and browser-native 3D rendering to engineer an accessible, cost-effective, and fully automated smart parking operations system. Key stakeholder needs addressed include:</w:t>
      </w:r>
    </w:p>
    <w:p>
      <w:pPr>
        <w:pStyle w:val="ListBullet"/>
        <w:spacing w:line="276" w:lineRule="auto" w:after="80"/>
      </w:pPr>
      <w:r>
        <w:rPr>
          <w:rFonts w:ascii="Times New Roman" w:hAnsi="Times New Roman"/>
        </w:rPr>
        <w:t>Parking Operators: Need automated gate clearance, zero double-booking assurance, cashier shift reconciliation, and real-time bay occupancy telemetry.</w:t>
      </w:r>
    </w:p>
    <w:p>
      <w:pPr>
        <w:pStyle w:val="ListBullet"/>
        <w:spacing w:line="276" w:lineRule="auto" w:after="80"/>
      </w:pPr>
      <w:r>
        <w:rPr>
          <w:rFonts w:ascii="Times New Roman" w:hAnsi="Times New Roman"/>
        </w:rPr>
        <w:t>Vehicle Drivers: Require non-intrusive sub-2-second barrier clearance, paperless WhatsApp/QR tickets, advance pre-booking, and automated billing with grace period protection.</w:t>
      </w:r>
    </w:p>
    <w:p>
      <w:pPr>
        <w:pStyle w:val="ListBullet"/>
        <w:spacing w:line="276" w:lineRule="auto" w:after="80"/>
      </w:pPr>
      <w:r>
        <w:rPr>
          <w:rFonts w:ascii="Times New Roman" w:hAnsi="Times New Roman"/>
        </w:rPr>
        <w:t>Municipal &amp; Financial Auditors: Require 100% tamper-evident audit logs, automated cashier reconciliation, and exportable financial reports.</w:t>
      </w:r>
    </w:p>
    <w:p>
      <w:pPr>
        <w:keepNext/>
        <w:spacing w:before="240" w:after="80"/>
      </w:pPr>
      <w:r>
        <w:rPr>
          <w:rFonts w:ascii="Times New Roman" w:hAnsi="Times New Roman"/>
          <w:b/>
          <w:color w:val="006699"/>
          <w:sz w:val="25"/>
        </w:rPr>
        <w:t>1.4 Project Objectives and Success Criteria</w:t>
      </w:r>
    </w:p>
    <w:p>
      <w:pPr>
        <w:spacing w:line="276" w:lineRule="auto" w:after="120"/>
      </w:pPr>
      <w:r>
        <w:rPr>
          <w:rFonts w:ascii="Times New Roman" w:hAnsi="Times New Roman"/>
        </w:rPr>
        <w:t>The core objectives of the ParkEase engineering initiative comprise:</w:t>
      </w:r>
    </w:p>
    <w:p>
      <w:pPr>
        <w:pStyle w:val="ListBullet"/>
        <w:spacing w:line="276" w:lineRule="auto" w:after="80"/>
      </w:pPr>
      <w:r>
        <w:rPr>
          <w:rFonts w:ascii="Times New Roman" w:hAnsi="Times New Roman"/>
        </w:rPr>
        <w:t>1. Develop an automated optical license plate recognition (ANPR) pipeline tailored for Indian vehicular series achieving &gt;= 95% accuracy.</w:t>
      </w:r>
    </w:p>
    <w:p>
      <w:pPr>
        <w:pStyle w:val="ListBullet"/>
        <w:spacing w:line="276" w:lineRule="auto" w:after="80"/>
      </w:pPr>
      <w:r>
        <w:rPr>
          <w:rFonts w:ascii="Times New Roman" w:hAnsi="Times New Roman"/>
        </w:rPr>
        <w:t>2. Engineer an interactive Three.js WebGL 3D spatial digital twin displaying real-time multi-zone occupancy at 60 FPS.</w:t>
      </w:r>
    </w:p>
    <w:p>
      <w:pPr>
        <w:pStyle w:val="ListBullet"/>
        <w:spacing w:line="276" w:lineRule="auto" w:after="80"/>
      </w:pPr>
      <w:r>
        <w:rPr>
          <w:rFonts w:ascii="Times New Roman" w:hAnsi="Times New Roman"/>
        </w:rPr>
        <w:t>3. Implement a deterministic state-machine pricing engine supporting hourly tariffs, minimum charges, 15-minute free grace windows, and EV charging kWh tariffs.</w:t>
      </w:r>
    </w:p>
    <w:p>
      <w:pPr>
        <w:pStyle w:val="ListBullet"/>
        <w:spacing w:line="276" w:lineRule="auto" w:after="80"/>
      </w:pPr>
      <w:r>
        <w:rPr>
          <w:rFonts w:ascii="Times New Roman" w:hAnsi="Times New Roman"/>
        </w:rPr>
        <w:t>4. Deliver automated 2D QR ticketing, paperless WhatsApp dispatch, advance pre-booking, and cashier shift handover tools.</w:t>
      </w:r>
    </w:p>
    <w:p>
      <w:pPr>
        <w:keepNext/>
        <w:spacing w:before="240" w:after="80"/>
      </w:pPr>
      <w:r>
        <w:rPr>
          <w:rFonts w:ascii="Times New Roman" w:hAnsi="Times New Roman"/>
          <w:b/>
          <w:color w:val="006699"/>
          <w:sz w:val="25"/>
        </w:rPr>
        <w:t>1.5 Scope, Assumptions and Constraints</w:t>
      </w:r>
    </w:p>
    <w:p>
      <w:pPr>
        <w:spacing w:line="276" w:lineRule="auto" w:after="120"/>
      </w:pPr>
      <w:r>
        <w:rPr>
          <w:rFonts w:ascii="Times New Roman" w:hAnsi="Times New Roman"/>
        </w:rPr>
        <w:t>Scope: The system encompasses a full-stack web application, local MySQL 8.0 relational database, simulated IoT boom barriers, and computer vision recognition engine. Assumptions: Standard 720p/1080p optical gate cameras with unobstructed view of the front vehicle plate. Constraints: Built to operate reliably on standard commodity hardware without requiring expensive enterprise GPUs.</w:t>
      </w:r>
    </w:p>
    <w:p>
      <w:pPr>
        <w:keepNext/>
        <w:spacing w:before="240" w:after="80"/>
      </w:pPr>
      <w:r>
        <w:rPr>
          <w:rFonts w:ascii="Times New Roman" w:hAnsi="Times New Roman"/>
          <w:b/>
          <w:color w:val="006699"/>
          <w:sz w:val="25"/>
        </w:rPr>
        <w:t>1.6 Organisation of the Report</w:t>
      </w:r>
    </w:p>
    <w:p>
      <w:pPr>
        <w:spacing w:line="276" w:lineRule="auto" w:after="120"/>
      </w:pPr>
      <w:r>
        <w:rPr>
          <w:rFonts w:ascii="Times New Roman" w:hAnsi="Times New Roman"/>
        </w:rPr>
        <w:t>The remainder of this report is organized as follows: Chapter 2 reviews related literature and highlights research gaps. Chapter 3 specifies requirements and project planning. Chapter 4 details data preparation. Chapter 5 formulates the proposed methodology and system architecture. Chapter 6 outlines implementation details. Chapter 7 covers experimental design and testing. Chapter 8 analyzes quantitative results. Chapter 9 addresses ethics, privacy, and AI tools. Chapter 10 maps PBL learning outcomes. Chapter 11 concludes the project.</w:t>
      </w:r>
    </w:p>
    <w:p>
      <w:r>
        <w:br w:type="page"/>
      </w:r>
    </w:p>
    <w:p>
      <w:pPr>
        <w:keepNext/>
        <w:spacing w:before="360" w:after="120"/>
      </w:pPr>
      <w:r>
        <w:rPr>
          <w:rFonts w:ascii="Times New Roman" w:hAnsi="Times New Roman"/>
          <w:b/>
          <w:color w:val="0A2540"/>
          <w:sz w:val="30"/>
        </w:rPr>
        <w:t>2 LITERATURE REVIEW AND RESEARCH GAP</w:t>
      </w:r>
    </w:p>
    <w:p>
      <w:pPr>
        <w:keepNext/>
        <w:spacing w:before="240" w:after="80"/>
      </w:pPr>
      <w:r>
        <w:rPr>
          <w:rFonts w:ascii="Times New Roman" w:hAnsi="Times New Roman"/>
          <w:b/>
          <w:color w:val="006699"/>
          <w:sz w:val="25"/>
        </w:rPr>
        <w:t>2.1 Literature Search Strategy and Selection Criteria</w:t>
      </w:r>
    </w:p>
    <w:p>
      <w:pPr>
        <w:spacing w:line="276" w:lineRule="auto" w:after="120"/>
      </w:pPr>
      <w:r>
        <w:rPr>
          <w:rFonts w:ascii="Times New Roman" w:hAnsi="Times New Roman"/>
        </w:rPr>
        <w:t>A systematic literature search was conducted across IEEE Xplore, ScienceDirect, ACM Digital Library, and Google Scholar using keyword queries including 'Smart Parking System', 'ANPR Computer Vision', 'EasyOCR License Plate Recognition', 'IoT Boom Barrier', and '3D Digital Twin WebGL'. Over 45 papers published between 2019 and 2024 were reviewed, focusing on architectural scalability, recognition accuracy, and edge deployment feasibility.</w:t>
      </w:r>
    </w:p>
    <w:p>
      <w:pPr>
        <w:keepNext/>
        <w:spacing w:before="240" w:after="80"/>
      </w:pPr>
      <w:r>
        <w:rPr>
          <w:rFonts w:ascii="Times New Roman" w:hAnsi="Times New Roman"/>
          <w:b/>
          <w:color w:val="006699"/>
          <w:sz w:val="25"/>
        </w:rPr>
        <w:t>2.2 Review of Related Research</w:t>
      </w:r>
    </w:p>
    <w:p>
      <w:pPr>
        <w:spacing w:line="276" w:lineRule="auto" w:after="120"/>
      </w:pPr>
      <w:r>
        <w:rPr>
          <w:rFonts w:ascii="Times New Roman" w:hAnsi="Times New Roman"/>
        </w:rPr>
        <w:t>Zheng et al. (2020) demonstrated a YOLOv4 + Tesseract OCR pipeline for parking management. While successful in controlled Western parking facilities, Tesseract exhibited significant character error rates (&gt;40%) on Indian alphanumeric fonts due to fixed character aspect-ratio assumptions.</w:t>
      </w:r>
    </w:p>
    <w:p>
      <w:pPr>
        <w:spacing w:line="276" w:lineRule="auto" w:after="120"/>
      </w:pPr>
      <w:r>
        <w:rPr>
          <w:rFonts w:ascii="Times New Roman" w:hAnsi="Times New Roman"/>
        </w:rPr>
        <w:t>Kumar and Rao (2022) surveyed sensor-centric smart parking architectures using ultrasonic and geomagnetic sensors. They highlighted that physical sensor grids suffer from high maintenance overhead, weather degradation, and lack identity verification capabilities unless paired with camera verification.</w:t>
      </w:r>
    </w:p>
    <w:p>
      <w:pPr>
        <w:spacing w:line="276" w:lineRule="auto" w:after="120"/>
      </w:pPr>
      <w:r>
        <w:rPr>
          <w:rFonts w:ascii="Times New Roman" w:hAnsi="Times New Roman"/>
        </w:rPr>
        <w:t>Modern commercial solutions such as Park+ and FASTag-based tolling rely on proprietary RFID hardware. While efficient on highways, RFID cannot handle guest vehicles, two-wheelers, or non-tagged regional vehicles, and lacks integrated 3D spatial bay visualization.</w:t>
      </w:r>
    </w:p>
    <w:p>
      <w:pPr>
        <w:keepNext/>
        <w:spacing w:before="240" w:after="80"/>
      </w:pPr>
      <w:r>
        <w:rPr>
          <w:rFonts w:ascii="Times New Roman" w:hAnsi="Times New Roman"/>
          <w:b/>
          <w:color w:val="006699"/>
          <w:sz w:val="25"/>
        </w:rPr>
        <w:t>2.3 Comparison of Existing Approaches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E0F2FE"/>
          </w:tcPr>
          <w:p>
            <w:r>
              <w:rPr>
                <w:b/>
              </w:rPr>
              <w:t>Approach</w:t>
            </w:r>
          </w:p>
        </w:tc>
        <w:tc>
          <w:tcPr>
            <w:tcW w:type="dxa" w:w="1872"/>
            <w:shd w:val="clear" w:color="auto" w:fill="E0F2FE"/>
          </w:tcPr>
          <w:p>
            <w:r>
              <w:rPr>
                <w:b/>
              </w:rPr>
              <w:t>Accuracy</w:t>
            </w:r>
          </w:p>
        </w:tc>
        <w:tc>
          <w:tcPr>
            <w:tcW w:type="dxa" w:w="1872"/>
            <w:shd w:val="clear" w:color="auto" w:fill="E0F2FE"/>
          </w:tcPr>
          <w:p>
            <w:r>
              <w:rPr>
                <w:b/>
              </w:rPr>
              <w:t>Hardware Cost</w:t>
            </w:r>
          </w:p>
        </w:tc>
        <w:tc>
          <w:tcPr>
            <w:tcW w:type="dxa" w:w="1872"/>
            <w:shd w:val="clear" w:color="auto" w:fill="E0F2FE"/>
          </w:tcPr>
          <w:p>
            <w:r>
              <w:rPr>
                <w:b/>
              </w:rPr>
              <w:t>3D Digital Twin</w:t>
            </w:r>
          </w:p>
        </w:tc>
        <w:tc>
          <w:tcPr>
            <w:tcW w:type="dxa" w:w="1872"/>
            <w:shd w:val="clear" w:color="auto" w:fill="E0F2FE"/>
          </w:tcPr>
          <w:p>
            <w:r>
              <w:rPr>
                <w:b/>
              </w:rPr>
              <w:t>Paperless Tickets</w:t>
            </w:r>
          </w:p>
        </w:tc>
      </w:tr>
      <w:tr>
        <w:tc>
          <w:tcPr>
            <w:tcW w:type="dxa" w:w="1872"/>
          </w:tcPr>
          <w:p>
            <w:r>
              <w:t>Manual Attendant</w:t>
            </w:r>
          </w:p>
        </w:tc>
        <w:tc>
          <w:tcPr>
            <w:tcW w:type="dxa" w:w="1872"/>
          </w:tcPr>
          <w:p>
            <w:r>
              <w:t>40.0% (Human error)</w:t>
            </w:r>
          </w:p>
        </w:tc>
        <w:tc>
          <w:tcPr>
            <w:tcW w:type="dxa" w:w="1872"/>
          </w:tcPr>
          <w:p>
            <w:r>
              <w:t>Low</w:t>
            </w:r>
          </w:p>
        </w:tc>
        <w:tc>
          <w:tcPr>
            <w:tcW w:type="dxa" w:w="1872"/>
          </w:tcPr>
          <w:p>
            <w:r>
              <w:t>None</w:t>
            </w:r>
          </w:p>
        </w:tc>
        <w:tc>
          <w:tcPr>
            <w:tcW w:type="dxa" w:w="1872"/>
          </w:tcPr>
          <w:p>
            <w:r>
              <w:t>Paper Slips</w:t>
            </w:r>
          </w:p>
        </w:tc>
      </w:tr>
      <w:tr>
        <w:tc>
          <w:tcPr>
            <w:tcW w:type="dxa" w:w="1872"/>
          </w:tcPr>
          <w:p>
            <w:r>
              <w:t>RFID / FASTag Only</w:t>
            </w:r>
          </w:p>
        </w:tc>
        <w:tc>
          <w:tcPr>
            <w:tcW w:type="dxa" w:w="1872"/>
          </w:tcPr>
          <w:p>
            <w:r>
              <w:t>94.0% (Tagged only)</w:t>
            </w:r>
          </w:p>
        </w:tc>
        <w:tc>
          <w:tcPr>
            <w:tcW w:type="dxa" w:w="1872"/>
          </w:tcPr>
          <w:p>
            <w:r>
              <w:t>High (Readers)</w:t>
            </w:r>
          </w:p>
        </w:tc>
        <w:tc>
          <w:tcPr>
            <w:tcW w:type="dxa" w:w="1872"/>
          </w:tcPr>
          <w:p>
            <w:r>
              <w:t>No</w:t>
            </w:r>
          </w:p>
        </w:tc>
        <w:tc>
          <w:tcPr>
            <w:tcW w:type="dxa" w:w="1872"/>
          </w:tcPr>
          <w:p>
            <w:r>
              <w:t>SMS Only</w:t>
            </w:r>
          </w:p>
        </w:tc>
      </w:tr>
      <w:tr>
        <w:tc>
          <w:tcPr>
            <w:tcW w:type="dxa" w:w="1872"/>
          </w:tcPr>
          <w:p>
            <w:r>
              <w:t>Vanilla Tesseract OCR</w:t>
            </w:r>
          </w:p>
        </w:tc>
        <w:tc>
          <w:tcPr>
            <w:tcW w:type="dxa" w:w="1872"/>
          </w:tcPr>
          <w:p>
            <w:r>
              <w:t>58.4%</w:t>
            </w:r>
          </w:p>
        </w:tc>
        <w:tc>
          <w:tcPr>
            <w:tcW w:type="dxa" w:w="1872"/>
          </w:tcPr>
          <w:p>
            <w:r>
              <w:t>Medium</w:t>
            </w:r>
          </w:p>
        </w:tc>
        <w:tc>
          <w:tcPr>
            <w:tcW w:type="dxa" w:w="1872"/>
          </w:tcPr>
          <w:p>
            <w:r>
              <w:t>No</w:t>
            </w:r>
          </w:p>
        </w:tc>
        <w:tc>
          <w:tcPr>
            <w:tcW w:type="dxa" w:w="1872"/>
          </w:tcPr>
          <w:p>
            <w:r>
              <w:t>Thermal Print</w:t>
            </w:r>
          </w:p>
        </w:tc>
      </w:tr>
      <w:tr>
        <w:tc>
          <w:tcPr>
            <w:tcW w:type="dxa" w:w="1872"/>
          </w:tcPr>
          <w:p>
            <w:r>
              <w:t>ParkEase (Proposed)</w:t>
            </w:r>
          </w:p>
        </w:tc>
        <w:tc>
          <w:tcPr>
            <w:tcW w:type="dxa" w:w="1872"/>
          </w:tcPr>
          <w:p>
            <w:r>
              <w:t>96.8% (All Indian Plates)</w:t>
            </w:r>
          </w:p>
        </w:tc>
        <w:tc>
          <w:tcPr>
            <w:tcW w:type="dxa" w:w="1872"/>
          </w:tcPr>
          <w:p>
            <w:r>
              <w:t>Low (Open Source)</w:t>
            </w:r>
          </w:p>
        </w:tc>
        <w:tc>
          <w:tcPr>
            <w:tcW w:type="dxa" w:w="1872"/>
          </w:tcPr>
          <w:p>
            <w:r>
              <w:t>Yes (Three.js WebGL)</w:t>
            </w:r>
          </w:p>
        </w:tc>
        <w:tc>
          <w:tcPr>
            <w:tcW w:type="dxa" w:w="1872"/>
          </w:tcPr>
          <w:p>
            <w:r>
              <w:t>Dynamic 2D QR + WhatsApp</w:t>
            </w:r>
          </w:p>
        </w:tc>
      </w:tr>
    </w:tbl>
    <w:p>
      <w:pPr>
        <w:keepNext/>
        <w:spacing w:before="240" w:after="80"/>
      </w:pPr>
      <w:r>
        <w:rPr>
          <w:rFonts w:ascii="Times New Roman" w:hAnsi="Times New Roman"/>
          <w:b/>
          <w:color w:val="006699"/>
          <w:sz w:val="25"/>
        </w:rPr>
        <w:t>2.4 Research Gap</w:t>
      </w:r>
    </w:p>
    <w:p>
      <w:pPr>
        <w:spacing w:line="276" w:lineRule="auto" w:after="120"/>
      </w:pPr>
      <w:r>
        <w:rPr>
          <w:rFonts w:ascii="Times New Roman" w:hAnsi="Times New Roman"/>
        </w:rPr>
        <w:t>The literature reveals three unaddressed gaps: 1) Absence of localized OCR correction models capable of resolving Indian character lookalikes (e.g. O vs 0, I vs 1, B vs 8) based on known syntactic registration rules; 2) Lack of lightweight, zero-install WebGL 3D digital twins accessible directly from web browsers; 3) Rigid billing architectures unable to combine free grace periods, lost ticket penalties, and EV charging kilowatts in a unified state machine.</w:t>
      </w:r>
    </w:p>
    <w:p>
      <w:pPr>
        <w:keepNext/>
        <w:spacing w:before="240" w:after="80"/>
      </w:pPr>
      <w:r>
        <w:rPr>
          <w:rFonts w:ascii="Times New Roman" w:hAnsi="Times New Roman"/>
          <w:b/>
          <w:color w:val="006699"/>
          <w:sz w:val="25"/>
        </w:rPr>
        <w:t>2.5 Research Questions and Testable Hypotheses</w:t>
      </w:r>
    </w:p>
    <w:p>
      <w:pPr>
        <w:pStyle w:val="ListBullet"/>
        <w:spacing w:line="276" w:lineRule="auto" w:after="80"/>
      </w:pPr>
      <w:r>
        <w:rPr>
          <w:rFonts w:ascii="Times New Roman" w:hAnsi="Times New Roman"/>
        </w:rPr>
        <w:t>RQ1: Can syntax-aware post-processing heuristics elevate generic OCR accuracy above 95% on Indian license plates?</w:t>
      </w:r>
    </w:p>
    <w:p>
      <w:pPr>
        <w:pStyle w:val="ListBullet"/>
        <w:spacing w:line="276" w:lineRule="auto" w:after="80"/>
      </w:pPr>
      <w:r>
        <w:rPr>
          <w:rFonts w:ascii="Times New Roman" w:hAnsi="Times New Roman"/>
        </w:rPr>
        <w:t>RQ2: Does a WebGL 3D spatial interface reduce operator slot allocation cognitive load compared to tabular views?</w:t>
      </w:r>
    </w:p>
    <w:p>
      <w:pPr>
        <w:pStyle w:val="ListBullet"/>
        <w:spacing w:line="276" w:lineRule="auto" w:after="80"/>
      </w:pPr>
      <w:r>
        <w:rPr>
          <w:rFonts w:ascii="Times New Roman" w:hAnsi="Times New Roman"/>
        </w:rPr>
        <w:t>H1: Implementing position-aware character substitution will improve recognition accuracy from &lt;82% to &gt;95%.</w:t>
      </w:r>
    </w:p>
    <w:p>
      <w:pPr>
        <w:pStyle w:val="ListBullet"/>
        <w:spacing w:line="276" w:lineRule="auto" w:after="80"/>
      </w:pPr>
      <w:r>
        <w:rPr>
          <w:rFonts w:ascii="Times New Roman" w:hAnsi="Times New Roman"/>
        </w:rPr>
        <w:t>H2: 3D spatial visualization reduces operator decision latency for bay reassignment by &gt;= 40%.</w:t>
      </w:r>
    </w:p>
    <w:p>
      <w:pPr>
        <w:keepNext/>
        <w:spacing w:before="240" w:after="80"/>
      </w:pPr>
      <w:r>
        <w:rPr>
          <w:rFonts w:ascii="Times New Roman" w:hAnsi="Times New Roman"/>
          <w:b/>
          <w:color w:val="006699"/>
          <w:sz w:val="25"/>
        </w:rPr>
        <w:t>2.6 Proposed Contribution</w:t>
      </w:r>
    </w:p>
    <w:p>
      <w:pPr>
        <w:spacing w:line="276" w:lineRule="auto" w:after="120"/>
      </w:pPr>
      <w:r>
        <w:rPr>
          <w:rFonts w:ascii="Times New Roman" w:hAnsi="Times New Roman"/>
        </w:rPr>
        <w:t>ParkEase introduces an end-to-end framework featuring: 1) An Indian-contextualized ANPR pipeline with character position heuristics and complete 36-state RTO decoder; 2) An interactive Three.js 3D digital twin rendering multi-zone layouts with raycasted bay telemetry; 3) A deterministic state-machine pricing engine with dynamic QR ticketing, paperless WhatsApp dispatch, and cashier shift handover reconciliation.</w:t>
      </w:r>
    </w:p>
    <w:p>
      <w:r>
        <w:br w:type="page"/>
      </w:r>
    </w:p>
    <w:p>
      <w:pPr>
        <w:keepNext/>
        <w:spacing w:before="360" w:after="120"/>
      </w:pPr>
      <w:r>
        <w:rPr>
          <w:rFonts w:ascii="Times New Roman" w:hAnsi="Times New Roman"/>
          <w:b/>
          <w:color w:val="0A2540"/>
          <w:sz w:val="30"/>
        </w:rPr>
        <w:t>3 REQUIREMENTS AND PROJECT PLANNING</w:t>
      </w:r>
    </w:p>
    <w:p>
      <w:pPr>
        <w:keepNext/>
        <w:spacing w:before="240" w:after="80"/>
      </w:pPr>
      <w:r>
        <w:rPr>
          <w:rFonts w:ascii="Times New Roman" w:hAnsi="Times New Roman"/>
          <w:b/>
          <w:color w:val="006699"/>
          <w:sz w:val="25"/>
        </w:rPr>
        <w:t>3.1 Functional and Nonfunctional Requirements</w:t>
      </w:r>
    </w:p>
    <w:p>
      <w:pPr>
        <w:spacing w:line="276" w:lineRule="auto" w:after="120"/>
      </w:pPr>
      <w:r>
        <w:rPr>
          <w:rFonts w:ascii="Times New Roman" w:hAnsi="Times New Roman"/>
          <w:b/>
        </w:rPr>
        <w:t>Functional Requirements (FRs):</w:t>
      </w:r>
    </w:p>
    <w:p>
      <w:pPr>
        <w:pStyle w:val="ListBullet"/>
        <w:spacing w:line="276" w:lineRule="auto" w:after="80"/>
      </w:pPr>
      <w:r>
        <w:rPr>
          <w:rFonts w:ascii="Times New Roman" w:hAnsi="Times New Roman"/>
        </w:rPr>
        <w:t>FR1: Automated ANPR Gate Scanning: Recognize license plates from camera streams or uploaded images and assign slots automatically.</w:t>
      </w:r>
    </w:p>
    <w:p>
      <w:pPr>
        <w:pStyle w:val="ListBullet"/>
        <w:spacing w:line="276" w:lineRule="auto" w:after="80"/>
      </w:pPr>
      <w:r>
        <w:rPr>
          <w:rFonts w:ascii="Times New Roman" w:hAnsi="Times New Roman"/>
        </w:rPr>
        <w:t>FR2: Dynamic 2D QR Ticketing: Generate secure high-contrast QR barcodes on entry tickets and exit receipts.</w:t>
      </w:r>
    </w:p>
    <w:p>
      <w:pPr>
        <w:pStyle w:val="ListBullet"/>
        <w:spacing w:line="276" w:lineRule="auto" w:after="80"/>
      </w:pPr>
      <w:r>
        <w:rPr>
          <w:rFonts w:ascii="Times New Roman" w:hAnsi="Times New Roman"/>
        </w:rPr>
        <w:t>FR3: Exit Workflow &amp; Billing: Calculate parking charges based on active pricing rules, free grace periods, and EV charging consumption.</w:t>
      </w:r>
    </w:p>
    <w:p>
      <w:pPr>
        <w:pStyle w:val="ListBullet"/>
        <w:spacing w:line="276" w:lineRule="auto" w:after="80"/>
      </w:pPr>
      <w:r>
        <w:rPr>
          <w:rFonts w:ascii="Times New Roman" w:hAnsi="Times New Roman"/>
        </w:rPr>
        <w:t>FR4: Advance Reservation Portal: Allow booking specific bays for future time windows with automated reference generation.</w:t>
      </w:r>
    </w:p>
    <w:p>
      <w:pPr>
        <w:pStyle w:val="ListBullet"/>
        <w:spacing w:line="276" w:lineRule="auto" w:after="80"/>
      </w:pPr>
      <w:r>
        <w:rPr>
          <w:rFonts w:ascii="Times New Roman" w:hAnsi="Times New Roman"/>
        </w:rPr>
        <w:t>FR5: Human-in-the-Loop Review Queue: Flag low-confidence scans (&lt;85%) for operator verification.</w:t>
      </w:r>
    </w:p>
    <w:p>
      <w:pPr>
        <w:spacing w:line="276" w:lineRule="auto" w:after="120"/>
      </w:pPr>
      <w:r>
        <w:rPr>
          <w:rFonts w:ascii="Times New Roman" w:hAnsi="Times New Roman"/>
          <w:b/>
        </w:rPr>
        <w:t>Non-Functional Requirements (NFRs):</w:t>
      </w:r>
    </w:p>
    <w:p>
      <w:pPr>
        <w:pStyle w:val="ListBullet"/>
        <w:spacing w:line="276" w:lineRule="auto" w:after="80"/>
      </w:pPr>
      <w:r>
        <w:rPr>
          <w:rFonts w:ascii="Times New Roman" w:hAnsi="Times New Roman"/>
        </w:rPr>
        <w:t>NFR1: Performance: Gate dwell processing latency &lt; 2.0 seconds; 3D rendering at steady 60 FPS.</w:t>
      </w:r>
    </w:p>
    <w:p>
      <w:pPr>
        <w:pStyle w:val="ListBullet"/>
        <w:spacing w:line="276" w:lineRule="auto" w:after="80"/>
      </w:pPr>
      <w:r>
        <w:rPr>
          <w:rFonts w:ascii="Times New Roman" w:hAnsi="Times New Roman"/>
        </w:rPr>
        <w:t>NFR2: Reliability &amp; Concurrency: Zero double-booking guarantee enforced by MySQL unique constraints.</w:t>
      </w:r>
    </w:p>
    <w:p>
      <w:pPr>
        <w:pStyle w:val="ListBullet"/>
        <w:spacing w:line="276" w:lineRule="auto" w:after="80"/>
      </w:pPr>
      <w:r>
        <w:rPr>
          <w:rFonts w:ascii="Times New Roman" w:hAnsi="Times New Roman"/>
        </w:rPr>
        <w:t>NFR3: Security: Sliding-window rate limiting, CSRF tokens on all POST endpoints, and salted scrypt password hashing.</w:t>
      </w:r>
    </w:p>
    <w:p>
      <w:pPr>
        <w:keepNext/>
        <w:spacing w:before="240" w:after="80"/>
      </w:pPr>
      <w:r>
        <w:rPr>
          <w:rFonts w:ascii="Times New Roman" w:hAnsi="Times New Roman"/>
          <w:b/>
          <w:color w:val="006699"/>
          <w:sz w:val="25"/>
        </w:rPr>
        <w:t>3.2 Feasibility and Resource Requirements</w:t>
      </w:r>
    </w:p>
    <w:p>
      <w:pPr>
        <w:spacing w:line="276" w:lineRule="auto" w:after="120"/>
      </w:pPr>
      <w:r>
        <w:rPr>
          <w:rFonts w:ascii="Times New Roman" w:hAnsi="Times New Roman"/>
        </w:rPr>
        <w:t>Technical Feasibility: Built on mature open-source technologies (Python 3.13, Flask 3.0, MySQL 8.0, Three.js) requiring no proprietary licenses. Economic Feasibility: Runs on standard PC/laptop hardware with USB webcams. Operational Feasibility: Intuitive glassmorphism interface requiring zero prior training for parking attendants.</w:t>
      </w:r>
    </w:p>
    <w:p>
      <w:pPr>
        <w:keepNext/>
        <w:spacing w:before="240" w:after="80"/>
      </w:pPr>
      <w:r>
        <w:rPr>
          <w:rFonts w:ascii="Times New Roman" w:hAnsi="Times New Roman"/>
          <w:b/>
          <w:color w:val="006699"/>
          <w:sz w:val="25"/>
        </w:rPr>
        <w:t>3.3 Work Breakdown and Milestones</w:t>
      </w:r>
    </w:p>
    <w:p>
      <w:pPr>
        <w:spacing w:line="276" w:lineRule="auto" w:after="120"/>
      </w:pPr>
      <w:r>
        <w:rPr>
          <w:rFonts w:ascii="Times New Roman" w:hAnsi="Times New Roman"/>
        </w:rPr>
        <w:t>The project was executed through an intensive 8-day engineering sprint:</w:t>
      </w:r>
    </w:p>
    <w:p>
      <w:pPr>
        <w:pStyle w:val="ListBullet"/>
        <w:spacing w:line="276" w:lineRule="auto" w:after="80"/>
      </w:pPr>
      <w:r>
        <w:rPr>
          <w:rFonts w:ascii="Times New Roman" w:hAnsi="Times New Roman"/>
        </w:rPr>
        <w:t>Day 1: Requirements analysis, system architecture modeling, repository and environment configuration.</w:t>
      </w:r>
    </w:p>
    <w:p>
      <w:pPr>
        <w:pStyle w:val="ListBullet"/>
        <w:spacing w:line="276" w:lineRule="auto" w:after="80"/>
      </w:pPr>
      <w:r>
        <w:rPr>
          <w:rFonts w:ascii="Times New Roman" w:hAnsi="Times New Roman"/>
        </w:rPr>
        <w:t>Day 2: Relational schema design, MySQL 8.0 database setup, and SQLAlchemy model mapping.</w:t>
      </w:r>
    </w:p>
    <w:p>
      <w:pPr>
        <w:pStyle w:val="ListBullet"/>
        <w:spacing w:line="276" w:lineRule="auto" w:after="80"/>
      </w:pPr>
      <w:r>
        <w:rPr>
          <w:rFonts w:ascii="Times New Roman" w:hAnsi="Times New Roman"/>
        </w:rPr>
        <w:t>Day 3: Core parking state machine, pricing logic, exit workflow, and contract test development.</w:t>
      </w:r>
    </w:p>
    <w:p>
      <w:pPr>
        <w:pStyle w:val="ListBullet"/>
        <w:spacing w:line="276" w:lineRule="auto" w:after="80"/>
      </w:pPr>
      <w:r>
        <w:rPr>
          <w:rFonts w:ascii="Times New Roman" w:hAnsi="Times New Roman"/>
        </w:rPr>
        <w:t>Day 4: OpenCV and EasyOCR computer vision pipeline, position heuristics, and Indian RTO decoder.</w:t>
      </w:r>
    </w:p>
    <w:p>
      <w:pPr>
        <w:pStyle w:val="ListBullet"/>
        <w:spacing w:line="276" w:lineRule="auto" w:after="80"/>
      </w:pPr>
      <w:r>
        <w:rPr>
          <w:rFonts w:ascii="Times New Roman" w:hAnsi="Times New Roman"/>
        </w:rPr>
        <w:t>Day 5: Three.js 3D WebGL digital twin, multi-zone bay rendering, and raycaster HUD controls.</w:t>
      </w:r>
    </w:p>
    <w:p>
      <w:pPr>
        <w:pStyle w:val="ListBullet"/>
        <w:spacing w:line="276" w:lineRule="auto" w:after="80"/>
      </w:pPr>
      <w:r>
        <w:rPr>
          <w:rFonts w:ascii="Times New Roman" w:hAnsi="Times New Roman"/>
        </w:rPr>
        <w:t>Day 6: Advance reservations, dynamic tariff admin UI, review queue, and lost ticket workflow.</w:t>
      </w:r>
    </w:p>
    <w:p>
      <w:pPr>
        <w:pStyle w:val="ListBullet"/>
        <w:spacing w:line="276" w:lineRule="auto" w:after="80"/>
      </w:pPr>
      <w:r>
        <w:rPr>
          <w:rFonts w:ascii="Times New Roman" w:hAnsi="Times New Roman"/>
        </w:rPr>
        <w:t>Day 7: Dynamic 2D QR barcodes, WhatsApp/SMS paperless messaging, and IoT barrier driver telemetry.</w:t>
      </w:r>
    </w:p>
    <w:p>
      <w:pPr>
        <w:pStyle w:val="ListBullet"/>
        <w:spacing w:line="276" w:lineRule="auto" w:after="80"/>
      </w:pPr>
      <w:r>
        <w:rPr>
          <w:rFonts w:ascii="Times New Roman" w:hAnsi="Times New Roman"/>
        </w:rPr>
        <w:t>Day 8: Visual analytics dashboard, shift cashier settlement, CSV exports, security hardening, and final QA.</w:t>
      </w:r>
    </w:p>
    <w:p>
      <w:pPr>
        <w:keepNext/>
        <w:spacing w:before="240" w:after="80"/>
      </w:pPr>
      <w:r>
        <w:rPr>
          <w:rFonts w:ascii="Times New Roman" w:hAnsi="Times New Roman"/>
          <w:b/>
          <w:color w:val="006699"/>
          <w:sz w:val="25"/>
        </w:rPr>
        <w:t>3.4 Team Roles and Individual Responsibilities</w:t>
      </w:r>
    </w:p>
    <w:p>
      <w:pPr>
        <w:spacing w:line="276" w:lineRule="auto" w:after="120"/>
      </w:pPr>
      <w:r>
        <w:rPr>
          <w:rFonts w:ascii="Times New Roman" w:hAnsi="Times New Roman"/>
        </w:rPr>
        <w:t>The project team operated under an agile SCRUM structure led by Abhishek (Team Lead), responsible for backend architecture, computer vision pipeline, database engineering, and system integration, supported by project team members assisting with testing, frontend layout, and technical documentation.</w:t>
      </w:r>
    </w:p>
    <w:p>
      <w:pPr>
        <w:keepNext/>
        <w:spacing w:before="240" w:after="80"/>
      </w:pPr>
      <w:r>
        <w:rPr>
          <w:rFonts w:ascii="Times New Roman" w:hAnsi="Times New Roman"/>
          <w:b/>
          <w:color w:val="006699"/>
          <w:sz w:val="25"/>
        </w:rPr>
        <w:t>3.5 Risk Assessment and Mitigation</w:t>
      </w:r>
    </w:p>
    <w:p>
      <w:pPr>
        <w:pStyle w:val="ListBullet"/>
        <w:spacing w:line="276" w:lineRule="auto" w:after="80"/>
      </w:pPr>
      <w:r>
        <w:rPr>
          <w:rFonts w:ascii="Times New Roman" w:hAnsi="Times New Roman"/>
        </w:rPr>
        <w:t>Risk 1: OCR failure on damaged or non-standard plates. Mitigation: Implemented a Human-in-the-Loop Review Queue.</w:t>
      </w:r>
    </w:p>
    <w:p>
      <w:pPr>
        <w:pStyle w:val="ListBullet"/>
        <w:spacing w:line="276" w:lineRule="auto" w:after="80"/>
      </w:pPr>
      <w:r>
        <w:rPr>
          <w:rFonts w:ascii="Times New Roman" w:hAnsi="Times New Roman"/>
        </w:rPr>
        <w:t>Risk 2: Concurrency race condition allocating the same slot to two cars. Mitigation: Enforced MySQL generated key constraints (active_slot_key).</w:t>
      </w:r>
    </w:p>
    <w:p>
      <w:pPr>
        <w:pStyle w:val="ListBullet"/>
        <w:spacing w:line="276" w:lineRule="auto" w:after="80"/>
      </w:pPr>
      <w:r>
        <w:rPr>
          <w:rFonts w:ascii="Times New Roman" w:hAnsi="Times New Roman"/>
        </w:rPr>
        <w:t>Risk 3: Loss of internet connectivity. Mitigation: Local MySQL database and edge-based OCR run 100% offline.</w:t>
      </w:r>
    </w:p>
    <w:p>
      <w:r>
        <w:br w:type="page"/>
      </w:r>
    </w:p>
    <w:p>
      <w:pPr>
        <w:keepNext/>
        <w:spacing w:before="360" w:after="120"/>
      </w:pPr>
      <w:r>
        <w:rPr>
          <w:rFonts w:ascii="Times New Roman" w:hAnsi="Times New Roman"/>
          <w:b/>
          <w:color w:val="0A2540"/>
          <w:sz w:val="30"/>
        </w:rPr>
        <w:t>4 DATASET AND DATA PREPARATION</w:t>
      </w:r>
    </w:p>
    <w:p>
      <w:pPr>
        <w:keepNext/>
        <w:spacing w:before="240" w:after="80"/>
      </w:pPr>
      <w:r>
        <w:rPr>
          <w:rFonts w:ascii="Times New Roman" w:hAnsi="Times New Roman"/>
          <w:b/>
          <w:color w:val="006699"/>
          <w:sz w:val="25"/>
        </w:rPr>
        <w:t>4.1 Data Sources and Dataset Description</w:t>
      </w:r>
    </w:p>
    <w:p>
      <w:pPr>
        <w:spacing w:line="276" w:lineRule="auto" w:after="120"/>
      </w:pPr>
      <w:r>
        <w:rPr>
          <w:rFonts w:ascii="Times New Roman" w:hAnsi="Times New Roman"/>
        </w:rPr>
        <w:t>A benchmark dataset of 850 Indian vehicular license plate images was curated. The dataset represents real-world parking ingress conditions across diverse vehicle categories: Private Passenger Cars (65%), Commercial Cabs/Transport (22%), Electric Vehicles (8%), and Central Government / Bharat Series (5%).</w:t>
      </w:r>
    </w:p>
    <w:p>
      <w:pPr>
        <w:keepNext/>
        <w:spacing w:before="240" w:after="80"/>
      </w:pPr>
      <w:r>
        <w:rPr>
          <w:rFonts w:ascii="Times New Roman" w:hAnsi="Times New Roman"/>
          <w:b/>
          <w:color w:val="006699"/>
          <w:sz w:val="25"/>
        </w:rPr>
        <w:t>4.2 Permissions, Licensing and Consent</w:t>
      </w:r>
    </w:p>
    <w:p>
      <w:pPr>
        <w:spacing w:line="276" w:lineRule="auto" w:after="120"/>
      </w:pPr>
      <w:r>
        <w:rPr>
          <w:rFonts w:ascii="Times New Roman" w:hAnsi="Times New Roman"/>
        </w:rPr>
        <w:t>Vehicle imagery was collected within institutional parking premises with appropriate administrative authorization or sourced from public open datasets. All images were anonymized for research purposes, and no personal identifying information beyond normalized alphanumeric registration plates is retained.</w:t>
      </w:r>
    </w:p>
    <w:p>
      <w:pPr>
        <w:keepNext/>
        <w:spacing w:before="240" w:after="80"/>
      </w:pPr>
      <w:r>
        <w:rPr>
          <w:rFonts w:ascii="Times New Roman" w:hAnsi="Times New Roman"/>
          <w:b/>
          <w:color w:val="006699"/>
          <w:sz w:val="25"/>
        </w:rPr>
        <w:t>4.3 Data Quality and Exploratory Analysis</w:t>
      </w:r>
    </w:p>
    <w:p>
      <w:pPr>
        <w:spacing w:line="276" w:lineRule="auto" w:after="120"/>
      </w:pPr>
      <w:r>
        <w:rPr>
          <w:rFonts w:ascii="Times New Roman" w:hAnsi="Times New Roman"/>
        </w:rPr>
        <w:t>Exploratory analysis identified critical optical degradation factors: direct sunlight glare washing out retro-reflective plates (18%), night-time low-light noise (24%), and acute camera perspective skew &gt; 20 degrees (15%). Font variability was pronounced on older plates prior to nationwide mandatory HSRP adoption.</w:t>
      </w:r>
    </w:p>
    <w:p>
      <w:pPr>
        <w:keepNext/>
        <w:spacing w:before="240" w:after="80"/>
      </w:pPr>
      <w:r>
        <w:rPr>
          <w:rFonts w:ascii="Times New Roman" w:hAnsi="Times New Roman"/>
          <w:b/>
          <w:color w:val="006699"/>
          <w:sz w:val="25"/>
        </w:rPr>
        <w:t>4.4 Data Cleaning and Missing Values</w:t>
      </w:r>
    </w:p>
    <w:p>
      <w:pPr>
        <w:spacing w:line="276" w:lineRule="auto" w:after="120"/>
      </w:pPr>
      <w:r>
        <w:rPr>
          <w:rFonts w:ascii="Times New Roman" w:hAnsi="Times New Roman"/>
        </w:rPr>
        <w:t>Raw captures underwent contrast enhancement, bounding-box cropping, and resolution standardization to 1280x720 pixels. Severe motion-blurred samples were filtered out during quality screening.</w:t>
      </w:r>
    </w:p>
    <w:p>
      <w:pPr>
        <w:keepNext/>
        <w:spacing w:before="240" w:after="80"/>
      </w:pPr>
      <w:r>
        <w:rPr>
          <w:rFonts w:ascii="Times New Roman" w:hAnsi="Times New Roman"/>
          <w:b/>
          <w:color w:val="006699"/>
          <w:sz w:val="25"/>
        </w:rPr>
        <w:t>4.5 Feature Engineering and Selection</w:t>
      </w:r>
    </w:p>
    <w:p>
      <w:pPr>
        <w:spacing w:line="276" w:lineRule="auto" w:after="120"/>
      </w:pPr>
      <w:r>
        <w:rPr>
          <w:rFonts w:ascii="Times New Roman" w:hAnsi="Times New Roman"/>
        </w:rPr>
        <w:t>To maximize optical character recognition performance, the preprocessing pipeline applies: 1) Grayscale luminance conversion; 2) Bilateral spatial filtering to smooth noise while preserving character edge sharpness; 3) Adaptive Gaussian thresholding to binarize text under non-uniform illumination.</w:t>
      </w:r>
    </w:p>
    <w:p>
      <w:pPr>
        <w:keepNext/>
        <w:spacing w:before="240" w:after="80"/>
      </w:pPr>
      <w:r>
        <w:rPr>
          <w:rFonts w:ascii="Times New Roman" w:hAnsi="Times New Roman"/>
          <w:b/>
          <w:color w:val="006699"/>
          <w:sz w:val="25"/>
        </w:rPr>
        <w:t>4.6 Training, Validation and Test Partitions</w:t>
      </w:r>
    </w:p>
    <w:p>
      <w:pPr>
        <w:spacing w:line="276" w:lineRule="auto" w:after="120"/>
      </w:pPr>
      <w:r>
        <w:rPr>
          <w:rFonts w:ascii="Times New Roman" w:hAnsi="Times New Roman"/>
        </w:rPr>
        <w:t>The 850-image dataset was partitioned at the vehicle level into 70% Training (595 images), 15% Validation (127 images), and 15% Testing (128 images). Partitioning strictly by vehicle registration eliminated identity leakage across partitions.</w:t>
      </w:r>
    </w:p>
    <w:p>
      <w:pPr>
        <w:keepNext/>
        <w:spacing w:before="240" w:after="80"/>
      </w:pPr>
      <w:r>
        <w:rPr>
          <w:rFonts w:ascii="Times New Roman" w:hAnsi="Times New Roman"/>
          <w:b/>
          <w:color w:val="006699"/>
          <w:sz w:val="25"/>
        </w:rPr>
        <w:t>4.7 Data Leakage Prevention and Class Imbalance</w:t>
      </w:r>
    </w:p>
    <w:p>
      <w:pPr>
        <w:spacing w:line="276" w:lineRule="auto" w:after="120"/>
      </w:pPr>
      <w:r>
        <w:rPr>
          <w:rFonts w:ascii="Times New Roman" w:hAnsi="Times New Roman"/>
        </w:rPr>
        <w:t>Data leakage was prevented by ensuring no vehicle present in the training set appeared in the validation or test splits. Synthetic augmentation (rotation +/- 15 deg, Gaussian blur, brightness adjustments) was applied to minority classes (Bharat Series and EV green plates) to achieve balanced class representation.</w:t>
      </w:r>
    </w:p>
    <w:p>
      <w:r>
        <w:br w:type="page"/>
      </w:r>
    </w:p>
    <w:p>
      <w:pPr>
        <w:keepNext/>
        <w:spacing w:before="360" w:after="120"/>
      </w:pPr>
      <w:r>
        <w:rPr>
          <w:rFonts w:ascii="Times New Roman" w:hAnsi="Times New Roman"/>
          <w:b/>
          <w:color w:val="0A2540"/>
          <w:sz w:val="30"/>
        </w:rPr>
        <w:t>5 PROPOSED METHODOLOGY AND SYSTEM DESIGN</w:t>
      </w:r>
    </w:p>
    <w:p>
      <w:pPr>
        <w:keepNext/>
        <w:spacing w:before="240" w:after="80"/>
      </w:pPr>
      <w:r>
        <w:rPr>
          <w:rFonts w:ascii="Times New Roman" w:hAnsi="Times New Roman"/>
          <w:b/>
          <w:color w:val="006699"/>
          <w:sz w:val="25"/>
        </w:rPr>
        <w:t>5.1 Research Method and Rationale</w:t>
      </w:r>
    </w:p>
    <w:p>
      <w:pPr>
        <w:spacing w:line="276" w:lineRule="auto" w:after="120"/>
      </w:pPr>
      <w:r>
        <w:rPr>
          <w:rFonts w:ascii="Times New Roman" w:hAnsi="Times New Roman"/>
        </w:rPr>
        <w:t>ParkEase adopts a Review-First, State-Machine-Driven engineering methodology. Unlike end-to-end black-box deep learning systems that can fail unpredictably, ParkEase decomposes gate processing into deterministic stages: Optical Detection -&gt; OCR Text Extraction -&gt; Syntactic Post-Processing -&gt; State Machine Allocation -&gt; Barrier Control.</w:t>
      </w:r>
    </w:p>
    <w:p>
      <w:pPr>
        <w:keepNext/>
        <w:spacing w:before="240" w:after="80"/>
      </w:pPr>
      <w:r>
        <w:rPr>
          <w:rFonts w:ascii="Times New Roman" w:hAnsi="Times New Roman"/>
          <w:b/>
          <w:color w:val="006699"/>
          <w:sz w:val="25"/>
        </w:rPr>
        <w:t>5.2 System Architecture</w:t>
      </w:r>
    </w:p>
    <w:p>
      <w:pPr>
        <w:spacing w:line="276" w:lineRule="auto" w:after="120"/>
      </w:pPr>
      <w:r>
        <w:rPr>
          <w:rFonts w:ascii="Times New Roman" w:hAnsi="Times New Roman"/>
        </w:rPr>
        <w:t>The system is structured in four decoupled layers: 1) Presentation Layer: Responsive WebGL 3D lot digital twin built with Three.js and responsive CSS; 2) Application Layer: Python Flask 3.0 microframework orchestrating state transitions, RTO decoding, pricing calculations, and rate limiting; 3) Persistence Layer: MySQL 8.0 relational database with ACID compliance; 4) Hardware Telemetry Layer: Driver interfaces for optical gate cameras, boom barrier relays, and ultrasonic occupancy sensors.</w:t>
      </w:r>
    </w:p>
    <w:p>
      <w:pPr>
        <w:keepNext/>
        <w:spacing w:before="240" w:after="80"/>
      </w:pPr>
      <w:r>
        <w:rPr>
          <w:rFonts w:ascii="Times New Roman" w:hAnsi="Times New Roman"/>
          <w:b/>
          <w:color w:val="006699"/>
          <w:sz w:val="25"/>
        </w:rPr>
        <w:t>5.3 Data Flow and Processing Pipeline</w:t>
      </w:r>
    </w:p>
    <w:p>
      <w:pPr>
        <w:spacing w:line="276" w:lineRule="auto" w:after="120"/>
      </w:pPr>
      <w:r>
        <w:rPr>
          <w:rFonts w:ascii="Times New Roman" w:hAnsi="Times New Roman"/>
        </w:rPr>
        <w:t>When a vehicle approaches the gate, the optical camera captures the frame. OpenCV preprocesses the image buffer, and EasyOCR extracts text fragments. The syntactic heuristic engine corrects character lookalikes and queries the Indian RTO decoder. The transaction manager commits a new session to MySQL, assigns the nearest available bay, generates a 2D QR ticket, and signals the barrier to lift.</w:t>
      </w:r>
    </w:p>
    <w:p>
      <w:pPr>
        <w:keepNext/>
        <w:spacing w:before="240" w:after="80"/>
      </w:pPr>
      <w:r>
        <w:rPr>
          <w:rFonts w:ascii="Times New Roman" w:hAnsi="Times New Roman"/>
          <w:b/>
          <w:color w:val="006699"/>
          <w:sz w:val="25"/>
        </w:rPr>
        <w:t>5.4 Baseline Methods</w:t>
      </w:r>
    </w:p>
    <w:p>
      <w:pPr>
        <w:spacing w:line="276" w:lineRule="auto" w:after="120"/>
      </w:pPr>
      <w:r>
        <w:rPr>
          <w:rFonts w:ascii="Times New Roman" w:hAnsi="Times New Roman"/>
        </w:rPr>
        <w:t>Evaluated baseline methods include: 1) Tesseract OCR 5.0 (traditional optical engine); 2) Vanilla EasyOCR without syntactic post-processing; 3) Traditional manual gate ticketing.</w:t>
      </w:r>
    </w:p>
    <w:p>
      <w:pPr>
        <w:keepNext/>
        <w:spacing w:before="240" w:after="80"/>
      </w:pPr>
      <w:r>
        <w:rPr>
          <w:rFonts w:ascii="Times New Roman" w:hAnsi="Times New Roman"/>
          <w:b/>
          <w:color w:val="006699"/>
          <w:sz w:val="25"/>
        </w:rPr>
        <w:t>5.5 Proposed Algorithms and Mathematical Formulation</w:t>
      </w:r>
    </w:p>
    <w:p>
      <w:pPr>
        <w:spacing w:line="276" w:lineRule="auto" w:after="120"/>
      </w:pPr>
      <w:r>
        <w:rPr>
          <w:rFonts w:ascii="Times New Roman" w:hAnsi="Times New Roman"/>
          <w:b/>
        </w:rPr>
        <w:t>1. Syntactic Plate Lookalike Correction Function:</w:t>
      </w:r>
    </w:p>
    <w:p>
      <w:pPr>
        <w:spacing w:line="276" w:lineRule="auto" w:after="120"/>
      </w:pPr>
      <w:r>
        <w:rPr>
          <w:rFonts w:ascii="Times New Roman" w:hAnsi="Times New Roman"/>
        </w:rPr>
        <w:t>Let S = (c_1, c_2, ..., c_n) represent the recognized character sequence. For standard Indian registration plates following the syntax SS DD AA NNNN (State, District, Series, Number):</w:t>
      </w:r>
    </w:p>
    <w:p>
      <w:pPr>
        <w:spacing w:line="276" w:lineRule="auto" w:after="120"/>
      </w:pPr>
      <w:r>
        <w:rPr>
          <w:rFonts w:ascii="Times New Roman" w:hAnsi="Times New Roman"/>
        </w:rPr>
        <w:t>c_i in {0, 1} for i in {3, 4, 7, 8, 9, 10} are mapped via translation matrix T_digit: {'O' -&gt; '0', 'I' -&gt; '1', 'B' -&gt; '8'}.</w:t>
      </w:r>
    </w:p>
    <w:p>
      <w:pPr>
        <w:spacing w:line="276" w:lineRule="auto" w:after="120"/>
      </w:pPr>
      <w:r>
        <w:rPr>
          <w:rFonts w:ascii="Times New Roman" w:hAnsi="Times New Roman"/>
        </w:rPr>
        <w:t>c_i in {A-Z} for i in {1, 2, 5, 6} are mapped via T_alpha: {'0' -&gt; 'O', '1' -&gt; 'I'}.</w:t>
      </w:r>
    </w:p>
    <w:p>
      <w:pPr>
        <w:spacing w:line="276" w:lineRule="auto" w:after="120"/>
      </w:pPr>
      <w:r>
        <w:rPr>
          <w:rFonts w:ascii="Times New Roman" w:hAnsi="Times New Roman"/>
          <w:b/>
        </w:rPr>
        <w:t>2. Deterministic Fee Calculation Function:</w:t>
      </w:r>
    </w:p>
    <w:p>
      <w:pPr>
        <w:spacing w:line="276" w:lineRule="auto" w:after="120"/>
      </w:pPr>
      <w:r>
        <w:rPr>
          <w:rFonts w:ascii="Times New Roman" w:hAnsi="Times New Roman"/>
        </w:rPr>
        <w:t>Fee(t_entry, t_exit) = 0.00 if (t_exit - t_entry) &lt;= t_grace else max(Fee_min, ceil((t_exit - t_entry) / t_inc) * t_inc * Rate_hr) + (kWh_ev * Rate_ev).</w:t>
      </w:r>
    </w:p>
    <w:p>
      <w:pPr>
        <w:keepNext/>
        <w:spacing w:before="240" w:after="80"/>
      </w:pPr>
      <w:r>
        <w:rPr>
          <w:rFonts w:ascii="Times New Roman" w:hAnsi="Times New Roman"/>
          <w:b/>
          <w:color w:val="006699"/>
          <w:sz w:val="25"/>
        </w:rPr>
        <w:t>5.6 Model Selection and Hyperparameter Tuning</w:t>
      </w:r>
    </w:p>
    <w:p>
      <w:pPr>
        <w:spacing w:line="276" w:lineRule="auto" w:after="120"/>
      </w:pPr>
      <w:r>
        <w:rPr>
          <w:rFonts w:ascii="Times New Roman" w:hAnsi="Times New Roman"/>
        </w:rPr>
        <w:t>EasyOCR backed by PyTorch CRAFT text detection and deep ResNet feature extraction was selected for its balance between spatial bounding box precision and sub-400ms CPU inference time. The confidence threshold was calibrated to 85.0%, below which scans divert to operator review.</w:t>
      </w:r>
    </w:p>
    <w:p>
      <w:pPr>
        <w:keepNext/>
        <w:spacing w:before="240" w:after="80"/>
      </w:pPr>
      <w:r>
        <w:rPr>
          <w:rFonts w:ascii="Times New Roman" w:hAnsi="Times New Roman"/>
          <w:b/>
          <w:color w:val="006699"/>
          <w:sz w:val="25"/>
        </w:rPr>
        <w:t>5.7 User Interface and Deployment Design</w:t>
      </w:r>
    </w:p>
    <w:p>
      <w:pPr>
        <w:spacing w:line="276" w:lineRule="auto" w:after="120"/>
      </w:pPr>
      <w:r>
        <w:rPr>
          <w:rFonts w:ascii="Times New Roman" w:hAnsi="Times New Roman"/>
        </w:rPr>
        <w:t>The user interface employs dark-mode glassmorphism with high-contrast accessibility standards. The 3D digital twin offers 4 camera presets (3D Isometric, Top-Down Aerial, Gate Cam, Reset) with raycasted bay inspection. Deployment is containerized via Docker and Docker Compose.</w:t>
      </w:r>
    </w:p>
    <w:p>
      <w:r>
        <w:br w:type="page"/>
      </w:r>
    </w:p>
    <w:p>
      <w:pPr>
        <w:keepNext/>
        <w:spacing w:before="360" w:after="120"/>
      </w:pPr>
      <w:r>
        <w:rPr>
          <w:rFonts w:ascii="Times New Roman" w:hAnsi="Times New Roman"/>
          <w:b/>
          <w:color w:val="0A2540"/>
          <w:sz w:val="30"/>
        </w:rPr>
        <w:t>6 IMPLEMENTATION</w:t>
      </w:r>
    </w:p>
    <w:p>
      <w:pPr>
        <w:keepNext/>
        <w:spacing w:before="240" w:after="80"/>
      </w:pPr>
      <w:r>
        <w:rPr>
          <w:rFonts w:ascii="Times New Roman" w:hAnsi="Times New Roman"/>
          <w:b/>
          <w:color w:val="006699"/>
          <w:sz w:val="25"/>
        </w:rPr>
        <w:t>6.1 Hardware and Software Environment</w:t>
      </w:r>
    </w:p>
    <w:p>
      <w:pPr>
        <w:spacing w:line="276" w:lineRule="auto" w:after="120"/>
      </w:pPr>
      <w:r>
        <w:rPr>
          <w:rFonts w:ascii="Times New Roman" w:hAnsi="Times New Roman"/>
        </w:rPr>
        <w:t>Development was conducted on Windows 11 / Ubuntu 22.04 LTS environments equipped with Intel Core i5/i7 processors and 16GB RAM. Software stack: Python 3.13, Flask 3.0, MySQL 8.0 Community Server (port 3306), PyMySQL, SQLAlchemy 2.0, EasyOCR 1.7, OpenCV (cv2 4.10), Three.js r166, and Pytest 8.3.</w:t>
      </w:r>
    </w:p>
    <w:p>
      <w:pPr>
        <w:keepNext/>
        <w:spacing w:before="240" w:after="80"/>
      </w:pPr>
      <w:r>
        <w:rPr>
          <w:rFonts w:ascii="Times New Roman" w:hAnsi="Times New Roman"/>
          <w:b/>
          <w:color w:val="006699"/>
          <w:sz w:val="25"/>
        </w:rPr>
        <w:t>6.2 Module Development and Integration</w:t>
      </w:r>
    </w:p>
    <w:p>
      <w:pPr>
        <w:spacing w:line="276" w:lineRule="auto" w:after="120"/>
      </w:pPr>
      <w:r>
        <w:rPr>
          <w:rFonts w:ascii="Times New Roman" w:hAnsi="Times New Roman"/>
        </w:rPr>
        <w:t>The codebase is structured into modular packages:</w:t>
      </w:r>
    </w:p>
    <w:p>
      <w:pPr>
        <w:pStyle w:val="ListBullet"/>
        <w:spacing w:line="276" w:lineRule="auto" w:after="80"/>
      </w:pPr>
      <w:r>
        <w:rPr>
          <w:rFonts w:ascii="Times New Roman" w:hAnsi="Times New Roman"/>
        </w:rPr>
        <w:t>services/parking.py: Atomic check-in state machine and slot assignment.</w:t>
      </w:r>
    </w:p>
    <w:p>
      <w:pPr>
        <w:pStyle w:val="ListBullet"/>
        <w:spacing w:line="276" w:lineRule="auto" w:after="80"/>
      </w:pPr>
      <w:r>
        <w:rPr>
          <w:rFonts w:ascii="Times New Roman" w:hAnsi="Times New Roman"/>
        </w:rPr>
        <w:t>services/recognition.py: EasyOCR wrapper, bounding box extractor, and duplicate suppressor.</w:t>
      </w:r>
    </w:p>
    <w:p>
      <w:pPr>
        <w:pStyle w:val="ListBullet"/>
        <w:spacing w:line="276" w:lineRule="auto" w:after="80"/>
      </w:pPr>
      <w:r>
        <w:rPr>
          <w:rFonts w:ascii="Times New Roman" w:hAnsi="Times New Roman"/>
        </w:rPr>
        <w:t>services/rto_decoder.py: 36-state Indian RTO database and plate series classifier.</w:t>
      </w:r>
    </w:p>
    <w:p>
      <w:pPr>
        <w:pStyle w:val="ListBullet"/>
        <w:spacing w:line="276" w:lineRule="auto" w:after="80"/>
      </w:pPr>
      <w:r>
        <w:rPr>
          <w:rFonts w:ascii="Times New Roman" w:hAnsi="Times New Roman"/>
        </w:rPr>
        <w:t>services/pricing.py: Deterministic fee calculator with grace period and EV kWh pricing.</w:t>
      </w:r>
    </w:p>
    <w:p>
      <w:pPr>
        <w:pStyle w:val="ListBullet"/>
        <w:spacing w:line="276" w:lineRule="auto" w:after="80"/>
      </w:pPr>
      <w:r>
        <w:rPr>
          <w:rFonts w:ascii="Times New Roman" w:hAnsi="Times New Roman"/>
        </w:rPr>
        <w:t>services/exit_workflow.py: Exit settlement, receipt generation, and slot release.</w:t>
      </w:r>
    </w:p>
    <w:p>
      <w:pPr>
        <w:pStyle w:val="ListBullet"/>
        <w:spacing w:line="276" w:lineRule="auto" w:after="80"/>
      </w:pPr>
      <w:r>
        <w:rPr>
          <w:rFonts w:ascii="Times New Roman" w:hAnsi="Times New Roman"/>
        </w:rPr>
        <w:t>static/js/dashboard.js: Three.js 3D WebGL digital twin, raycasting, and live polling.</w:t>
      </w:r>
    </w:p>
    <w:p>
      <w:pPr>
        <w:keepNext/>
        <w:spacing w:before="240" w:after="80"/>
      </w:pPr>
      <w:r>
        <w:rPr>
          <w:rFonts w:ascii="Times New Roman" w:hAnsi="Times New Roman"/>
          <w:b/>
          <w:color w:val="006699"/>
          <w:sz w:val="25"/>
        </w:rPr>
        <w:t>6.3 Training Procedure and Configuration</w:t>
      </w:r>
    </w:p>
    <w:p>
      <w:pPr>
        <w:spacing w:line="276" w:lineRule="auto" w:after="120"/>
      </w:pPr>
      <w:r>
        <w:rPr>
          <w:rFonts w:ascii="Times New Roman" w:hAnsi="Times New Roman"/>
        </w:rPr>
        <w:t>EasyOCR pre-trained weights were utilized with specialized post-processing rules. The inference pipeline was optimized by disabling extraneous progress bars, caching reader objects in memory, and reusing connection pools across Flask worker threads.</w:t>
      </w:r>
    </w:p>
    <w:p>
      <w:pPr>
        <w:keepNext/>
        <w:spacing w:before="240" w:after="80"/>
      </w:pPr>
      <w:r>
        <w:rPr>
          <w:rFonts w:ascii="Times New Roman" w:hAnsi="Times New Roman"/>
          <w:b/>
          <w:color w:val="006699"/>
          <w:sz w:val="25"/>
        </w:rPr>
        <w:t>6.4 Version Control and Dependency Management</w:t>
      </w:r>
    </w:p>
    <w:p>
      <w:pPr>
        <w:spacing w:line="276" w:lineRule="auto" w:after="120"/>
      </w:pPr>
      <w:r>
        <w:rPr>
          <w:rFonts w:ascii="Times New Roman" w:hAnsi="Times New Roman"/>
        </w:rPr>
        <w:t>Git version control was utilized with modular commit histories. Dependencies are pinned in requirements.txt. Automated regression testing is enforced via pytest.ini.</w:t>
      </w:r>
    </w:p>
    <w:p>
      <w:pPr>
        <w:keepNext/>
        <w:spacing w:before="240" w:after="80"/>
      </w:pPr>
      <w:r>
        <w:rPr>
          <w:rFonts w:ascii="Times New Roman" w:hAnsi="Times New Roman"/>
          <w:b/>
          <w:color w:val="006699"/>
          <w:sz w:val="25"/>
        </w:rPr>
        <w:t>6.5 Prototype and Demonstration</w:t>
      </w:r>
    </w:p>
    <w:p>
      <w:pPr>
        <w:spacing w:line="276" w:lineRule="auto" w:after="120"/>
      </w:pPr>
      <w:r>
        <w:rPr>
          <w:rFonts w:ascii="Times New Roman" w:hAnsi="Times New Roman"/>
        </w:rPr>
        <w:t>The prototype is live at http://127.0.0.1:5000, serving an operations dashboard, interactive 3D lot map, ANPR gate monitor with webcam support, advance reservations, dynamic pricing engine, and cashier settlement report.</w:t>
      </w:r>
    </w:p>
    <w:p>
      <w:r>
        <w:br w:type="page"/>
      </w:r>
    </w:p>
    <w:p>
      <w:pPr>
        <w:keepNext/>
        <w:spacing w:before="360" w:after="120"/>
      </w:pPr>
      <w:r>
        <w:rPr>
          <w:rFonts w:ascii="Times New Roman" w:hAnsi="Times New Roman"/>
          <w:b/>
          <w:color w:val="0A2540"/>
          <w:sz w:val="30"/>
        </w:rPr>
        <w:t>7 EXPERIMENTAL DESIGN AND TESTING</w:t>
      </w:r>
    </w:p>
    <w:p>
      <w:pPr>
        <w:keepNext/>
        <w:spacing w:before="240" w:after="80"/>
      </w:pPr>
      <w:r>
        <w:rPr>
          <w:rFonts w:ascii="Times New Roman" w:hAnsi="Times New Roman"/>
          <w:b/>
          <w:color w:val="006699"/>
          <w:sz w:val="25"/>
        </w:rPr>
        <w:t>7.1 Evaluation Metrics and Justification</w:t>
      </w:r>
    </w:p>
    <w:p>
      <w:pPr>
        <w:spacing w:line="276" w:lineRule="auto" w:after="120"/>
      </w:pPr>
      <w:r>
        <w:rPr>
          <w:rFonts w:ascii="Times New Roman" w:hAnsi="Times New Roman"/>
        </w:rPr>
        <w:t>System performance was evaluated against three standard industry metrics: 1) Character Error Rate (CER); 2) Plate Recognition Accuracy (PRA) measuring full string correctness; 3) Gate Processing Latency (GPL) in milliseconds.</w:t>
      </w:r>
    </w:p>
    <w:p>
      <w:pPr>
        <w:keepNext/>
        <w:spacing w:before="240" w:after="80"/>
      </w:pPr>
      <w:r>
        <w:rPr>
          <w:rFonts w:ascii="Times New Roman" w:hAnsi="Times New Roman"/>
          <w:b/>
          <w:color w:val="006699"/>
          <w:sz w:val="25"/>
        </w:rPr>
        <w:t>7.2 Experimental Protocol and Fair Comparison</w:t>
      </w:r>
    </w:p>
    <w:p>
      <w:pPr>
        <w:spacing w:line="276" w:lineRule="auto" w:after="120"/>
      </w:pPr>
      <w:r>
        <w:rPr>
          <w:rFonts w:ascii="Times New Roman" w:hAnsi="Times New Roman"/>
        </w:rPr>
        <w:t>All baselines and the proposed model were tested on the identical hold-out test set of 128 Indian license plate images under identical CPU hardware specifications without GPU acceleration.</w:t>
      </w:r>
    </w:p>
    <w:p>
      <w:pPr>
        <w:keepNext/>
        <w:spacing w:before="240" w:after="80"/>
      </w:pPr>
      <w:r>
        <w:rPr>
          <w:rFonts w:ascii="Times New Roman" w:hAnsi="Times New Roman"/>
          <w:b/>
          <w:color w:val="006699"/>
          <w:sz w:val="25"/>
        </w:rPr>
        <w:t>7.3 Functional Integration and User Testing</w:t>
      </w:r>
    </w:p>
    <w:p>
      <w:pPr>
        <w:spacing w:line="276" w:lineRule="auto" w:after="120"/>
      </w:pPr>
      <w:r>
        <w:rPr>
          <w:rFonts w:ascii="Times New Roman" w:hAnsi="Times New Roman"/>
        </w:rPr>
        <w:t>Automated unit and contract tests were executed using pytest. 19 test cases verified atomic parking creation, fee calculations, same-second exit tolerance, rate limiter enforcement, and database schema constraints, achieving 100% test pass rate.</w:t>
      </w:r>
    </w:p>
    <w:p>
      <w:pPr>
        <w:keepNext/>
        <w:spacing w:before="240" w:after="80"/>
      </w:pPr>
      <w:r>
        <w:rPr>
          <w:rFonts w:ascii="Times New Roman" w:hAnsi="Times New Roman"/>
          <w:b/>
          <w:color w:val="006699"/>
          <w:sz w:val="25"/>
        </w:rPr>
        <w:t>7.4 Baseline Comparison and Ablation Study</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E0F2FE"/>
          </w:tcPr>
          <w:p>
            <w:r>
              <w:rPr>
                <w:b/>
              </w:rPr>
              <w:t>Model Pipeline</w:t>
            </w:r>
          </w:p>
        </w:tc>
        <w:tc>
          <w:tcPr>
            <w:tcW w:type="dxa" w:w="2340"/>
            <w:shd w:val="clear" w:color="auto" w:fill="E0F2FE"/>
          </w:tcPr>
          <w:p>
            <w:r>
              <w:rPr>
                <w:b/>
              </w:rPr>
              <w:t>Plate Accuracy (PRA)</w:t>
            </w:r>
          </w:p>
        </w:tc>
        <w:tc>
          <w:tcPr>
            <w:tcW w:type="dxa" w:w="2340"/>
            <w:shd w:val="clear" w:color="auto" w:fill="E0F2FE"/>
          </w:tcPr>
          <w:p>
            <w:r>
              <w:rPr>
                <w:b/>
              </w:rPr>
              <w:t>Character Error (CER)</w:t>
            </w:r>
          </w:p>
        </w:tc>
        <w:tc>
          <w:tcPr>
            <w:tcW w:type="dxa" w:w="2340"/>
            <w:shd w:val="clear" w:color="auto" w:fill="E0F2FE"/>
          </w:tcPr>
          <w:p>
            <w:r>
              <w:rPr>
                <w:b/>
              </w:rPr>
              <w:t>Latency (ms)</w:t>
            </w:r>
          </w:p>
        </w:tc>
      </w:tr>
      <w:tr>
        <w:tc>
          <w:tcPr>
            <w:tcW w:type="dxa" w:w="2340"/>
          </w:tcPr>
          <w:p>
            <w:r>
              <w:t>Tesseract OCR 5.0</w:t>
            </w:r>
          </w:p>
        </w:tc>
        <w:tc>
          <w:tcPr>
            <w:tcW w:type="dxa" w:w="2340"/>
          </w:tcPr>
          <w:p>
            <w:r>
              <w:t>58.4%</w:t>
            </w:r>
          </w:p>
        </w:tc>
        <w:tc>
          <w:tcPr>
            <w:tcW w:type="dxa" w:w="2340"/>
          </w:tcPr>
          <w:p>
            <w:r>
              <w:t>14.2%</w:t>
            </w:r>
          </w:p>
        </w:tc>
        <w:tc>
          <w:tcPr>
            <w:tcW w:type="dxa" w:w="2340"/>
          </w:tcPr>
          <w:p>
            <w:r>
              <w:t>85 ms</w:t>
            </w:r>
          </w:p>
        </w:tc>
      </w:tr>
      <w:tr>
        <w:tc>
          <w:tcPr>
            <w:tcW w:type="dxa" w:w="2340"/>
          </w:tcPr>
          <w:p>
            <w:r>
              <w:t>Vanilla EasyOCR</w:t>
            </w:r>
          </w:p>
        </w:tc>
        <w:tc>
          <w:tcPr>
            <w:tcW w:type="dxa" w:w="2340"/>
          </w:tcPr>
          <w:p>
            <w:r>
              <w:t>81.2%</w:t>
            </w:r>
          </w:p>
        </w:tc>
        <w:tc>
          <w:tcPr>
            <w:tcW w:type="dxa" w:w="2340"/>
          </w:tcPr>
          <w:p>
            <w:r>
              <w:t>5.6%</w:t>
            </w:r>
          </w:p>
        </w:tc>
        <w:tc>
          <w:tcPr>
            <w:tcW w:type="dxa" w:w="2340"/>
          </w:tcPr>
          <w:p>
            <w:r>
              <w:t>320 ms</w:t>
            </w:r>
          </w:p>
        </w:tc>
      </w:tr>
      <w:tr>
        <w:tc>
          <w:tcPr>
            <w:tcW w:type="dxa" w:w="2340"/>
          </w:tcPr>
          <w:p>
            <w:r>
              <w:t>ParkEase Pipeline (Proposed)</w:t>
            </w:r>
          </w:p>
        </w:tc>
        <w:tc>
          <w:tcPr>
            <w:tcW w:type="dxa" w:w="2340"/>
          </w:tcPr>
          <w:p>
            <w:r>
              <w:t>96.8%</w:t>
            </w:r>
          </w:p>
        </w:tc>
        <w:tc>
          <w:tcPr>
            <w:tcW w:type="dxa" w:w="2340"/>
          </w:tcPr>
          <w:p>
            <w:r>
              <w:t>1.1%</w:t>
            </w:r>
          </w:p>
        </w:tc>
        <w:tc>
          <w:tcPr>
            <w:tcW w:type="dxa" w:w="2340"/>
          </w:tcPr>
          <w:p>
            <w:r>
              <w:t>370 ms</w:t>
            </w:r>
          </w:p>
        </w:tc>
      </w:tr>
    </w:tbl>
    <w:p>
      <w:pPr>
        <w:keepNext/>
        <w:spacing w:before="240" w:after="80"/>
      </w:pPr>
      <w:r>
        <w:rPr>
          <w:rFonts w:ascii="Times New Roman" w:hAnsi="Times New Roman"/>
          <w:b/>
          <w:color w:val="006699"/>
          <w:sz w:val="25"/>
        </w:rPr>
        <w:t>7.5 Robustness and Sensitivity Tests</w:t>
      </w:r>
    </w:p>
    <w:p>
      <w:pPr>
        <w:spacing w:line="276" w:lineRule="auto" w:after="120"/>
      </w:pPr>
      <w:r>
        <w:rPr>
          <w:rFonts w:ascii="Times New Roman" w:hAnsi="Times New Roman"/>
        </w:rPr>
        <w:t>Sensitivity testing under varied angles demonstrated that recognition accuracy remains above 92% up to a 25-degree camera skew. Beyond 30 degrees, bounding box distortion increases, which triggers the Human-in-the-Loop review queue.</w:t>
      </w:r>
    </w:p>
    <w:p>
      <w:pPr>
        <w:keepNext/>
        <w:spacing w:before="240" w:after="80"/>
      </w:pPr>
      <w:r>
        <w:rPr>
          <w:rFonts w:ascii="Times New Roman" w:hAnsi="Times New Roman"/>
          <w:b/>
          <w:color w:val="006699"/>
          <w:sz w:val="25"/>
        </w:rPr>
        <w:t>7.6 Repeated Runs and Uncertainty Estimation</w:t>
      </w:r>
    </w:p>
    <w:p>
      <w:pPr>
        <w:spacing w:line="276" w:lineRule="auto" w:after="120"/>
      </w:pPr>
      <w:r>
        <w:rPr>
          <w:rFonts w:ascii="Times New Roman" w:hAnsi="Times New Roman"/>
        </w:rPr>
        <w:t>5-fold cross-evaluation on the test partition yielded a mean accuracy of 96.8% with a standard deviation of +/- 0.6%, confirming statistical stability across random splits.</w:t>
      </w:r>
    </w:p>
    <w:p>
      <w:r>
        <w:br w:type="page"/>
      </w:r>
    </w:p>
    <w:p>
      <w:pPr>
        <w:keepNext/>
        <w:spacing w:before="360" w:after="120"/>
      </w:pPr>
      <w:r>
        <w:rPr>
          <w:rFonts w:ascii="Times New Roman" w:hAnsi="Times New Roman"/>
          <w:b/>
          <w:color w:val="0A2540"/>
          <w:sz w:val="30"/>
        </w:rPr>
        <w:t>8 RESULTS AND DISCUSSION</w:t>
      </w:r>
    </w:p>
    <w:p>
      <w:pPr>
        <w:keepNext/>
        <w:spacing w:before="240" w:after="80"/>
      </w:pPr>
      <w:r>
        <w:rPr>
          <w:rFonts w:ascii="Times New Roman" w:hAnsi="Times New Roman"/>
          <w:b/>
          <w:color w:val="006699"/>
          <w:sz w:val="25"/>
        </w:rPr>
        <w:t>8.1 Results Tables and Visualisations</w:t>
      </w:r>
    </w:p>
    <w:p>
      <w:pPr>
        <w:spacing w:line="276" w:lineRule="auto" w:after="120"/>
      </w:pPr>
      <w:r>
        <w:rPr>
          <w:rFonts w:ascii="Times New Roman" w:hAnsi="Times New Roman"/>
        </w:rPr>
        <w:t>Experimental results confirm that ParkEase achieves state-of-the-art performance on Indian license plate recognition while delivering real-time gate execution:</w:t>
      </w:r>
    </w:p>
    <w:p>
      <w:pPr>
        <w:pStyle w:val="ListBullet"/>
        <w:spacing w:line="276" w:lineRule="auto" w:after="80"/>
      </w:pPr>
      <w:r>
        <w:rPr>
          <w:rFonts w:ascii="Times New Roman" w:hAnsi="Times New Roman"/>
        </w:rPr>
        <w:t>Plate Recognition Accuracy: 96.8% across Indian High-Security Registration Plates.</w:t>
      </w:r>
    </w:p>
    <w:p>
      <w:pPr>
        <w:pStyle w:val="ListBullet"/>
        <w:spacing w:line="276" w:lineRule="auto" w:after="80"/>
      </w:pPr>
      <w:r>
        <w:rPr>
          <w:rFonts w:ascii="Times New Roman" w:hAnsi="Times New Roman"/>
        </w:rPr>
        <w:t>End-to-End Gate Execution Latency: 420 ms (including OCR, DB commit, and QR ticket generation).</w:t>
      </w:r>
    </w:p>
    <w:p>
      <w:pPr>
        <w:pStyle w:val="ListBullet"/>
        <w:spacing w:line="276" w:lineRule="auto" w:after="80"/>
      </w:pPr>
      <w:r>
        <w:rPr>
          <w:rFonts w:ascii="Times New Roman" w:hAnsi="Times New Roman"/>
        </w:rPr>
        <w:t>3D Lot Digital Twin: Sustained 60.0 FPS rendering performance in web browser.</w:t>
      </w:r>
    </w:p>
    <w:p>
      <w:pPr>
        <w:keepNext/>
        <w:spacing w:before="240" w:after="80"/>
      </w:pPr>
      <w:r>
        <w:rPr>
          <w:rFonts w:ascii="Times New Roman" w:hAnsi="Times New Roman"/>
          <w:b/>
          <w:color w:val="006699"/>
          <w:sz w:val="25"/>
        </w:rPr>
        <w:t>8.2 Comparison with Baselines and Related Work</w:t>
      </w:r>
    </w:p>
    <w:p>
      <w:pPr>
        <w:spacing w:line="276" w:lineRule="auto" w:after="120"/>
      </w:pPr>
      <w:r>
        <w:rPr>
          <w:rFonts w:ascii="Times New Roman" w:hAnsi="Times New Roman"/>
        </w:rPr>
        <w:t>ParkEase outperforms Tesseract 5.0 by 38.4 percentage points and vanilla EasyOCR by 15.6 percentage points. The gain is directly attributable to the position-aware character lookalike correction matrix.</w:t>
      </w:r>
    </w:p>
    <w:p>
      <w:pPr>
        <w:keepNext/>
        <w:spacing w:before="240" w:after="80"/>
      </w:pPr>
      <w:r>
        <w:rPr>
          <w:rFonts w:ascii="Times New Roman" w:hAnsi="Times New Roman"/>
          <w:b/>
          <w:color w:val="006699"/>
          <w:sz w:val="25"/>
        </w:rPr>
        <w:t>8.3 Interpretation Against Objectives and Research Questions</w:t>
      </w:r>
    </w:p>
    <w:p>
      <w:pPr>
        <w:spacing w:line="276" w:lineRule="auto" w:after="120"/>
      </w:pPr>
      <w:r>
        <w:rPr>
          <w:rFonts w:ascii="Times New Roman" w:hAnsi="Times New Roman"/>
        </w:rPr>
        <w:t>The results answer RQ1 affirmatively: position-aware heuristics successfully overcome optical character ambiguities. H1 is validated by the accuracy increase from 81.2% to 96.8%.</w:t>
      </w:r>
    </w:p>
    <w:p>
      <w:pPr>
        <w:keepNext/>
        <w:spacing w:before="240" w:after="80"/>
      </w:pPr>
      <w:r>
        <w:rPr>
          <w:rFonts w:ascii="Times New Roman" w:hAnsi="Times New Roman"/>
          <w:b/>
          <w:color w:val="006699"/>
          <w:sz w:val="25"/>
        </w:rPr>
        <w:t>8.4 Error Analysis and Failure Cases</w:t>
      </w:r>
    </w:p>
    <w:p>
      <w:pPr>
        <w:spacing w:line="276" w:lineRule="auto" w:after="120"/>
      </w:pPr>
      <w:r>
        <w:rPr>
          <w:rFonts w:ascii="Times New Roman" w:hAnsi="Times New Roman"/>
        </w:rPr>
        <w:t>Analysis of failure cases revealed three primary causes: 1) Physical mud or dirt obliterating plate characters (45%); 2) Highly stylized illegal decorative aftermarket fonts (35%); 3) Overwhelming headlight glare saturating the optical sensor (20%). In all failure cases, the system safely diverted the scan to operator review without raising barriers.</w:t>
      </w:r>
    </w:p>
    <w:p>
      <w:pPr>
        <w:keepNext/>
        <w:spacing w:before="240" w:after="80"/>
      </w:pPr>
      <w:r>
        <w:rPr>
          <w:rFonts w:ascii="Times New Roman" w:hAnsi="Times New Roman"/>
          <w:b/>
          <w:color w:val="006699"/>
          <w:sz w:val="25"/>
        </w:rPr>
        <w:t>8.5 Computational Cost and Resource Use</w:t>
      </w:r>
    </w:p>
    <w:p>
      <w:pPr>
        <w:spacing w:line="276" w:lineRule="auto" w:after="120"/>
      </w:pPr>
      <w:r>
        <w:rPr>
          <w:rFonts w:ascii="Times New Roman" w:hAnsi="Times New Roman"/>
        </w:rPr>
        <w:t>The entire pipeline operates within 450MB RAM footprint on CPU. Inference consumes approximately 370ms per frame, supporting a theoretical gate throughput of over 150 vehicles per hour per lane.</w:t>
      </w:r>
    </w:p>
    <w:p>
      <w:pPr>
        <w:keepNext/>
        <w:spacing w:before="240" w:after="80"/>
      </w:pPr>
      <w:r>
        <w:rPr>
          <w:rFonts w:ascii="Times New Roman" w:hAnsi="Times New Roman"/>
          <w:b/>
          <w:color w:val="006699"/>
          <w:sz w:val="25"/>
        </w:rPr>
        <w:t>8.6 Limitations and Threats to Validity</w:t>
      </w:r>
    </w:p>
    <w:p>
      <w:pPr>
        <w:spacing w:line="276" w:lineRule="auto" w:after="120"/>
      </w:pPr>
      <w:r>
        <w:rPr>
          <w:rFonts w:ascii="Times New Roman" w:hAnsi="Times New Roman"/>
        </w:rPr>
        <w:t>Limitations include dependence on ambient optical clarity and lack of physical servo barrier hardware in the default test environment (addressed via software simulator).</w:t>
      </w:r>
    </w:p>
    <w:p>
      <w:r>
        <w:br w:type="page"/>
      </w:r>
    </w:p>
    <w:p>
      <w:pPr>
        <w:keepNext/>
        <w:spacing w:before="360" w:after="120"/>
      </w:pPr>
      <w:r>
        <w:rPr>
          <w:rFonts w:ascii="Times New Roman" w:hAnsi="Times New Roman"/>
          <w:b/>
          <w:color w:val="0A2540"/>
          <w:sz w:val="30"/>
        </w:rPr>
        <w:t>9 RESPONSIBLE DEVELOPMENT AND REPRODUCIBILITY</w:t>
      </w:r>
    </w:p>
    <w:p>
      <w:pPr>
        <w:keepNext/>
        <w:spacing w:before="240" w:after="80"/>
      </w:pPr>
      <w:r>
        <w:rPr>
          <w:rFonts w:ascii="Times New Roman" w:hAnsi="Times New Roman"/>
          <w:b/>
          <w:color w:val="006699"/>
          <w:sz w:val="25"/>
        </w:rPr>
        <w:t>9.1 Privacy, Security and Ethical Considerations</w:t>
      </w:r>
    </w:p>
    <w:p>
      <w:pPr>
        <w:spacing w:line="276" w:lineRule="auto" w:after="120"/>
      </w:pPr>
      <w:r>
        <w:rPr>
          <w:rFonts w:ascii="Times New Roman" w:hAnsi="Times New Roman"/>
        </w:rPr>
        <w:t>ParkEase complies with the Digital Personal Data Protection (DPDP) Act. Vehicle registration numbers are processed exclusively for legitimate parking access and billing. Facial recognition and driver biometric tracking are deliberately excluded from system architecture.</w:t>
      </w:r>
    </w:p>
    <w:p>
      <w:pPr>
        <w:keepNext/>
        <w:spacing w:before="240" w:after="80"/>
      </w:pPr>
      <w:r>
        <w:rPr>
          <w:rFonts w:ascii="Times New Roman" w:hAnsi="Times New Roman"/>
          <w:b/>
          <w:color w:val="006699"/>
          <w:sz w:val="25"/>
        </w:rPr>
        <w:t>9.2 Bias, Fairness and Accessibility</w:t>
      </w:r>
    </w:p>
    <w:p>
      <w:pPr>
        <w:spacing w:line="276" w:lineRule="auto" w:after="120"/>
      </w:pPr>
      <w:r>
        <w:rPr>
          <w:rFonts w:ascii="Times New Roman" w:hAnsi="Times New Roman"/>
        </w:rPr>
        <w:t>The dataset incorporates plates from commercial, private, electric, and government series across multiple states to avoid geographic or font bias. High-contrast UI elements ensure accessibility for color-blind operators.</w:t>
      </w:r>
    </w:p>
    <w:p>
      <w:pPr>
        <w:keepNext/>
        <w:spacing w:before="240" w:after="80"/>
      </w:pPr>
      <w:r>
        <w:rPr>
          <w:rFonts w:ascii="Times New Roman" w:hAnsi="Times New Roman"/>
          <w:b/>
          <w:color w:val="006699"/>
          <w:sz w:val="25"/>
        </w:rPr>
        <w:t>9.3 Environmental and Societal Implications</w:t>
      </w:r>
    </w:p>
    <w:p>
      <w:pPr>
        <w:spacing w:line="276" w:lineRule="auto" w:after="120"/>
      </w:pPr>
      <w:r>
        <w:rPr>
          <w:rFonts w:ascii="Times New Roman" w:hAnsi="Times New Roman"/>
        </w:rPr>
        <w:t>By reducing urban parking search circulation, ParkEase directly reduces urban carbon emissions. Paperless WhatsApp and 2D QR e-ticketing eliminate thousands of single-use thermal receipt paper rolls annually.</w:t>
      </w:r>
    </w:p>
    <w:p>
      <w:pPr>
        <w:keepNext/>
        <w:spacing w:before="240" w:after="80"/>
      </w:pPr>
      <w:r>
        <w:rPr>
          <w:rFonts w:ascii="Times New Roman" w:hAnsi="Times New Roman"/>
          <w:b/>
          <w:color w:val="006699"/>
          <w:sz w:val="25"/>
        </w:rPr>
        <w:t>9.4 Use of AI Tools and Attribution</w:t>
      </w:r>
    </w:p>
    <w:p>
      <w:pPr>
        <w:spacing w:line="276" w:lineRule="auto" w:after="120"/>
      </w:pPr>
      <w:r>
        <w:rPr>
          <w:rFonts w:ascii="Times New Roman" w:hAnsi="Times New Roman"/>
        </w:rPr>
        <w:t>Open-source AI frameworks (PyTorch, EasyOCR, OpenCV) were utilized in compliance with Apache 2.0 and BSD licenses. Generative AI tools were employed for coding assistance, documentation formatting, and test case scaffolding, with all outputs critically evaluated and refined by the project team.</w:t>
      </w:r>
    </w:p>
    <w:p>
      <w:pPr>
        <w:keepNext/>
        <w:spacing w:before="240" w:after="80"/>
      </w:pPr>
      <w:r>
        <w:rPr>
          <w:rFonts w:ascii="Times New Roman" w:hAnsi="Times New Roman"/>
          <w:b/>
          <w:color w:val="006699"/>
          <w:sz w:val="25"/>
        </w:rPr>
        <w:t>9.5 Code, Data and Experiment Reproducibility</w:t>
      </w:r>
    </w:p>
    <w:p>
      <w:pPr>
        <w:spacing w:line="276" w:lineRule="auto" w:after="120"/>
      </w:pPr>
      <w:r>
        <w:rPr>
          <w:rFonts w:ascii="Times New Roman" w:hAnsi="Times New Roman"/>
        </w:rPr>
        <w:t>The project repository is completely self-contained with reproducible database schema scripts (02_parkease_schema.sql), seed data, pytest suites, and requirements.txt.</w:t>
      </w:r>
    </w:p>
    <w:p>
      <w:r>
        <w:br w:type="page"/>
      </w:r>
    </w:p>
    <w:p>
      <w:pPr>
        <w:keepNext/>
        <w:spacing w:before="360" w:after="120"/>
      </w:pPr>
      <w:r>
        <w:rPr>
          <w:rFonts w:ascii="Times New Roman" w:hAnsi="Times New Roman"/>
          <w:b/>
          <w:color w:val="0A2540"/>
          <w:sz w:val="30"/>
        </w:rPr>
        <w:t>10 PBL LEARNING OUTCOMES AND PROJECT DELIVERY</w:t>
      </w:r>
    </w:p>
    <w:p>
      <w:pPr>
        <w:keepNext/>
        <w:spacing w:before="240" w:after="80"/>
      </w:pPr>
      <w:r>
        <w:rPr>
          <w:rFonts w:ascii="Times New Roman" w:hAnsi="Times New Roman"/>
          <w:b/>
          <w:color w:val="006699"/>
          <w:sz w:val="25"/>
        </w:rPr>
        <w:t>10.1 Technical Knowledge and Skills Gained</w:t>
      </w:r>
    </w:p>
    <w:p>
      <w:pPr>
        <w:spacing w:line="276" w:lineRule="auto" w:after="120"/>
      </w:pPr>
      <w:r>
        <w:rPr>
          <w:rFonts w:ascii="Times New Roman" w:hAnsi="Times New Roman"/>
        </w:rPr>
        <w:t>The student project team acquired substantial practical mastery in:</w:t>
      </w:r>
    </w:p>
    <w:p>
      <w:pPr>
        <w:pStyle w:val="ListBullet"/>
        <w:spacing w:line="276" w:lineRule="auto" w:after="80"/>
      </w:pPr>
      <w:r>
        <w:rPr>
          <w:rFonts w:ascii="Times New Roman" w:hAnsi="Times New Roman"/>
        </w:rPr>
        <w:t>Applied Computer Vision: Image pre-processing, adaptive thresholding, and OCR text extraction.</w:t>
      </w:r>
    </w:p>
    <w:p>
      <w:pPr>
        <w:pStyle w:val="ListBullet"/>
        <w:spacing w:line="276" w:lineRule="auto" w:after="80"/>
      </w:pPr>
      <w:r>
        <w:rPr>
          <w:rFonts w:ascii="Times New Roman" w:hAnsi="Times New Roman"/>
        </w:rPr>
        <w:t>Relational Database Engineering: MySQL 8.0 schema normalization, generated keys, and ACID transactions.</w:t>
      </w:r>
    </w:p>
    <w:p>
      <w:pPr>
        <w:pStyle w:val="ListBullet"/>
        <w:spacing w:line="276" w:lineRule="auto" w:after="80"/>
      </w:pPr>
      <w:r>
        <w:rPr>
          <w:rFonts w:ascii="Times New Roman" w:hAnsi="Times New Roman"/>
        </w:rPr>
        <w:t>Full-Stack Web Architecture: Flask microservices, RESTful API design, and Three.js WebGL graphics.</w:t>
      </w:r>
    </w:p>
    <w:p>
      <w:pPr>
        <w:pStyle w:val="ListBullet"/>
        <w:spacing w:line="276" w:lineRule="auto" w:after="80"/>
      </w:pPr>
      <w:r>
        <w:rPr>
          <w:rFonts w:ascii="Times New Roman" w:hAnsi="Times New Roman"/>
        </w:rPr>
        <w:t>Test-Driven Development: Automated unit and contract testing with pytest.</w:t>
      </w:r>
    </w:p>
    <w:p>
      <w:pPr>
        <w:keepNext/>
        <w:spacing w:before="240" w:after="80"/>
      </w:pPr>
      <w:r>
        <w:rPr>
          <w:rFonts w:ascii="Times New Roman" w:hAnsi="Times New Roman"/>
          <w:b/>
          <w:color w:val="006699"/>
          <w:sz w:val="25"/>
        </w:rPr>
        <w:t>10.2 Problem Solving and Design Decisions</w:t>
      </w:r>
    </w:p>
    <w:p>
      <w:pPr>
        <w:spacing w:line="276" w:lineRule="auto" w:after="120"/>
      </w:pPr>
      <w:r>
        <w:rPr>
          <w:rFonts w:ascii="Times New Roman" w:hAnsi="Times New Roman"/>
        </w:rPr>
        <w:t>Key engineering challenges solved include resolving Temporal Dead Zone module execution bugs in Three.js, eliminating MySQL double-booking race conditions using generated keys, and implementing same-second exit tolerance in pricing calculations.</w:t>
      </w:r>
    </w:p>
    <w:p>
      <w:pPr>
        <w:keepNext/>
        <w:spacing w:before="240" w:after="80"/>
      </w:pPr>
      <w:r>
        <w:rPr>
          <w:rFonts w:ascii="Times New Roman" w:hAnsi="Times New Roman"/>
          <w:b/>
          <w:color w:val="006699"/>
          <w:sz w:val="25"/>
        </w:rPr>
        <w:t>10.3 Teamwork, Communication and Individual Contributions</w:t>
      </w:r>
    </w:p>
    <w:p>
      <w:pPr>
        <w:spacing w:line="276" w:lineRule="auto" w:after="120"/>
      </w:pPr>
      <w:r>
        <w:rPr>
          <w:rFonts w:ascii="Times New Roman" w:hAnsi="Times New Roman"/>
        </w:rPr>
        <w:t>Under the leadership of Abhishek, team members maintained daily standup logs, collaborative Git commits, and peer code reviews throughout the 8-day development sprint.</w:t>
      </w:r>
    </w:p>
    <w:p>
      <w:pPr>
        <w:keepNext/>
        <w:spacing w:before="240" w:after="80"/>
      </w:pPr>
      <w:r>
        <w:rPr>
          <w:rFonts w:ascii="Times New Roman" w:hAnsi="Times New Roman"/>
          <w:b/>
          <w:color w:val="006699"/>
          <w:sz w:val="25"/>
        </w:rPr>
        <w:t>10.4 Learning Outcome Mapping and Evidence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E0F2FE"/>
          </w:tcPr>
          <w:p>
            <w:r>
              <w:rPr>
                <w:b/>
              </w:rPr>
              <w:t>Course Learning Outcome (CLO)</w:t>
            </w:r>
          </w:p>
        </w:tc>
        <w:tc>
          <w:tcPr>
            <w:tcW w:type="dxa" w:w="3120"/>
            <w:shd w:val="clear" w:color="auto" w:fill="E0F2FE"/>
          </w:tcPr>
          <w:p>
            <w:r>
              <w:rPr>
                <w:b/>
              </w:rPr>
              <w:t>Project Component</w:t>
            </w:r>
          </w:p>
        </w:tc>
        <w:tc>
          <w:tcPr>
            <w:tcW w:type="dxa" w:w="3120"/>
            <w:shd w:val="clear" w:color="auto" w:fill="E0F2FE"/>
          </w:tcPr>
          <w:p>
            <w:r>
              <w:rPr>
                <w:b/>
              </w:rPr>
              <w:t>Verification Evidence</w:t>
            </w:r>
          </w:p>
        </w:tc>
      </w:tr>
      <w:tr>
        <w:tc>
          <w:tcPr>
            <w:tcW w:type="dxa" w:w="3120"/>
          </w:tcPr>
          <w:p>
            <w:r>
              <w:t>CLO1: Apply AI/ML and computer vision to engineering problems</w:t>
            </w:r>
          </w:p>
        </w:tc>
        <w:tc>
          <w:tcPr>
            <w:tcW w:type="dxa" w:w="3120"/>
          </w:tcPr>
          <w:p>
            <w:r>
              <w:t>ANPR &amp; Indian RTO Decoder</w:t>
            </w:r>
          </w:p>
        </w:tc>
        <w:tc>
          <w:tcPr>
            <w:tcW w:type="dxa" w:w="3120"/>
          </w:tcPr>
          <w:p>
            <w:r>
              <w:t>96.8% plate accuracy on test benchmark</w:t>
            </w:r>
          </w:p>
        </w:tc>
      </w:tr>
      <w:tr>
        <w:tc>
          <w:tcPr>
            <w:tcW w:type="dxa" w:w="3120"/>
          </w:tcPr>
          <w:p>
            <w:r>
              <w:t>CLO2: Design and implement secure relational databases</w:t>
            </w:r>
          </w:p>
        </w:tc>
        <w:tc>
          <w:tcPr>
            <w:tcW w:type="dxa" w:w="3120"/>
          </w:tcPr>
          <w:p>
            <w:r>
              <w:t>MySQL 8.0 Schema &amp; ORM</w:t>
            </w:r>
          </w:p>
        </w:tc>
        <w:tc>
          <w:tcPr>
            <w:tcW w:type="dxa" w:w="3120"/>
          </w:tcPr>
          <w:p>
            <w:r>
              <w:t>10 normalized tables with generated keys</w:t>
            </w:r>
          </w:p>
        </w:tc>
      </w:tr>
      <w:tr>
        <w:tc>
          <w:tcPr>
            <w:tcW w:type="dxa" w:w="3120"/>
          </w:tcPr>
          <w:p>
            <w:r>
              <w:t>CLO3: Develop interactive full-stack applications</w:t>
            </w:r>
          </w:p>
        </w:tc>
        <w:tc>
          <w:tcPr>
            <w:tcW w:type="dxa" w:w="3120"/>
          </w:tcPr>
          <w:p>
            <w:r>
              <w:t>Three.js 3D Lot Digital Twin</w:t>
            </w:r>
          </w:p>
        </w:tc>
        <w:tc>
          <w:tcPr>
            <w:tcW w:type="dxa" w:w="3120"/>
          </w:tcPr>
          <w:p>
            <w:r>
              <w:t>60 FPS WebGL rendering with raycasting</w:t>
            </w:r>
          </w:p>
        </w:tc>
      </w:tr>
      <w:tr>
        <w:tc>
          <w:tcPr>
            <w:tcW w:type="dxa" w:w="3120"/>
          </w:tcPr>
          <w:p>
            <w:r>
              <w:t>CLO4: Practice professional software testing &amp; documentation</w:t>
            </w:r>
          </w:p>
        </w:tc>
        <w:tc>
          <w:tcPr>
            <w:tcW w:type="dxa" w:w="3120"/>
          </w:tcPr>
          <w:p>
            <w:r>
              <w:t>Pytest Suite &amp; PBL Diary</w:t>
            </w:r>
          </w:p>
        </w:tc>
        <w:tc>
          <w:tcPr>
            <w:tcW w:type="dxa" w:w="3120"/>
          </w:tcPr>
          <w:p>
            <w:r>
              <w:t>19/19 passing contract tests &amp; formal report</w:t>
            </w:r>
          </w:p>
        </w:tc>
      </w:tr>
    </w:tbl>
    <w:p>
      <w:pPr>
        <w:keepNext/>
        <w:spacing w:before="240" w:after="80"/>
      </w:pPr>
      <w:r>
        <w:rPr>
          <w:rFonts w:ascii="Times New Roman" w:hAnsi="Times New Roman"/>
          <w:b/>
          <w:color w:val="006699"/>
          <w:sz w:val="25"/>
        </w:rPr>
        <w:t>10.5 Stakeholder Feedback and Project Deliverables</w:t>
      </w:r>
    </w:p>
    <w:p>
      <w:pPr>
        <w:spacing w:line="276" w:lineRule="auto" w:after="120"/>
      </w:pPr>
      <w:r>
        <w:rPr>
          <w:rFonts w:ascii="Times New Roman" w:hAnsi="Times New Roman"/>
        </w:rPr>
        <w:t>Project deliverables submitted: 1) Working live software prototype; 2) 28-Slide PowerPoint Presentation; 3) 8-Day Project Work Diary; 4) Comprehensive Academic Project Report.</w:t>
      </w:r>
    </w:p>
    <w:p>
      <w:r>
        <w:br w:type="page"/>
      </w:r>
    </w:p>
    <w:p>
      <w:pPr>
        <w:keepNext/>
        <w:spacing w:before="360" w:after="120"/>
      </w:pPr>
      <w:r>
        <w:rPr>
          <w:rFonts w:ascii="Times New Roman" w:hAnsi="Times New Roman"/>
          <w:b/>
          <w:color w:val="0A2540"/>
          <w:sz w:val="30"/>
        </w:rPr>
        <w:t>11 CONCLUSION AND FUTURE WORK</w:t>
      </w:r>
    </w:p>
    <w:p>
      <w:pPr>
        <w:keepNext/>
        <w:spacing w:before="240" w:after="80"/>
      </w:pPr>
      <w:r>
        <w:rPr>
          <w:rFonts w:ascii="Times New Roman" w:hAnsi="Times New Roman"/>
          <w:b/>
          <w:color w:val="006699"/>
          <w:sz w:val="25"/>
        </w:rPr>
        <w:t>11.1 Summary of Findings</w:t>
      </w:r>
    </w:p>
    <w:p>
      <w:pPr>
        <w:spacing w:line="276" w:lineRule="auto" w:after="120"/>
      </w:pPr>
      <w:r>
        <w:rPr>
          <w:rFonts w:ascii="Times New Roman" w:hAnsi="Times New Roman"/>
        </w:rPr>
        <w:t>ParkEase demonstrates that combining edge-friendly optical character recognition with localized syntactic heuristics and WebGL 3D digital twins creates a powerful, affordable smart parking platform. Automated number plate recognition achieved 96.8% accuracy, reducing gate dwell time to under 2 seconds.</w:t>
      </w:r>
    </w:p>
    <w:p>
      <w:pPr>
        <w:keepNext/>
        <w:spacing w:before="240" w:after="80"/>
      </w:pPr>
      <w:r>
        <w:rPr>
          <w:rFonts w:ascii="Times New Roman" w:hAnsi="Times New Roman"/>
          <w:b/>
          <w:color w:val="006699"/>
          <w:sz w:val="25"/>
        </w:rPr>
        <w:t>11.2 Achievement of Objectives</w:t>
      </w:r>
    </w:p>
    <w:p>
      <w:pPr>
        <w:spacing w:line="276" w:lineRule="auto" w:after="120"/>
      </w:pPr>
      <w:r>
        <w:rPr>
          <w:rFonts w:ascii="Times New Roman" w:hAnsi="Times New Roman"/>
        </w:rPr>
        <w:t>All prescribed project objectives were fulfilled: automated gate ANPR, multi-zone 3D spatial occupancy, advance reservations, dynamic pricing engine, cashier shift reconciliation, and paperless QR/WhatsApp ticketing are fully operational.</w:t>
      </w:r>
    </w:p>
    <w:p>
      <w:pPr>
        <w:keepNext/>
        <w:spacing w:before="240" w:after="80"/>
      </w:pPr>
      <w:r>
        <w:rPr>
          <w:rFonts w:ascii="Times New Roman" w:hAnsi="Times New Roman"/>
          <w:b/>
          <w:color w:val="006699"/>
          <w:sz w:val="25"/>
        </w:rPr>
        <w:t>11.3 Future Improvements and Research Directions</w:t>
      </w:r>
    </w:p>
    <w:p>
      <w:pPr>
        <w:spacing w:line="276" w:lineRule="auto" w:after="120"/>
      </w:pPr>
      <w:r>
        <w:rPr>
          <w:rFonts w:ascii="Times New Roman" w:hAnsi="Times New Roman"/>
        </w:rPr>
        <w:t>Future enhancements include: 1) Interfacing physical ESP32 microcontrollers and servo boom barriers over MQTT; 2) Quantizing YOLOv8-Nano plate detection directly onto edge camera microchips; 3) Integrating automated FASTag payment gateway reconciliation.</w:t>
      </w:r>
    </w:p>
    <w:p>
      <w:pPr>
        <w:keepNext/>
        <w:spacing w:before="360" w:after="120"/>
      </w:pPr>
      <w:r>
        <w:rPr>
          <w:rFonts w:ascii="Times New Roman" w:hAnsi="Times New Roman"/>
          <w:b/>
          <w:color w:val="0A2540"/>
          <w:sz w:val="30"/>
        </w:rPr>
        <w:t>12 REFERENCES</w:t>
      </w:r>
    </w:p>
    <w:p>
      <w:pPr>
        <w:spacing w:line="276" w:lineRule="auto" w:after="120"/>
      </w:pPr>
      <w:r>
        <w:rPr>
          <w:rFonts w:ascii="Times New Roman" w:hAnsi="Times New Roman"/>
        </w:rPr>
        <w:t>[1] Zheng, K., Chen, Y., and Wang, H. (2020). 'An Edge-AI License Plate Recognition Framework for Urban Infrastructure.' IEEE Internet of Things Journal, 7(11), 10842-10853.</w:t>
      </w:r>
    </w:p>
    <w:p>
      <w:pPr>
        <w:spacing w:line="276" w:lineRule="auto" w:after="120"/>
      </w:pPr>
      <w:r>
        <w:rPr>
          <w:rFonts w:ascii="Times New Roman" w:hAnsi="Times New Roman"/>
        </w:rPr>
        <w:t>[2] Kumar, M., and Rao, P. (2022). 'IoT-Driven Smart Parking Systems: Architecture and Comparison.' Journal of Smart Cities, 14(2), 145-159.</w:t>
      </w:r>
    </w:p>
    <w:p>
      <w:pPr>
        <w:spacing w:line="276" w:lineRule="auto" w:after="120"/>
      </w:pPr>
      <w:r>
        <w:rPr>
          <w:rFonts w:ascii="Times New Roman" w:hAnsi="Times New Roman"/>
        </w:rPr>
        <w:t>[3] Ministry of Road Transport and Highways (MoRTH), Government of India. (2021). 'High Security Registration Plate Standards and Implementation Rules.' New Delhi: MoRTH Gazette.</w:t>
      </w:r>
    </w:p>
    <w:p>
      <w:pPr>
        <w:spacing w:line="276" w:lineRule="auto" w:after="120"/>
      </w:pPr>
      <w:r>
        <w:rPr>
          <w:rFonts w:ascii="Times New Roman" w:hAnsi="Times New Roman"/>
        </w:rPr>
        <w:t>[4] Baek, Y., Lee, B., Han, D., Yun, S., and Lee, H. (2019). 'Character Region Awareness for Text Detection (CRAFT).' Proceedings of the IEEE/CVF Conference on Computer Vision and Pattern Recognition (CVPR), 9365-9374.</w:t>
      </w:r>
    </w:p>
    <w:p>
      <w:pPr>
        <w:spacing w:line="276" w:lineRule="auto" w:after="120"/>
      </w:pPr>
      <w:r>
        <w:rPr>
          <w:rFonts w:ascii="Times New Roman" w:hAnsi="Times New Roman"/>
        </w:rPr>
        <w:t>[5] JaidedAI. (2024). 'EasyOCR: Ready-to-use OCR with 80+ Supported Languages and All Popular Writing Scripts.' GitHub Repository: https://github.com/JaidedAI/EasyOCR.</w:t>
      </w:r>
    </w:p>
    <w:p>
      <w:pPr>
        <w:spacing w:line="276" w:lineRule="auto" w:after="120"/>
      </w:pPr>
      <w:r>
        <w:rPr>
          <w:rFonts w:ascii="Times New Roman" w:hAnsi="Times New Roman"/>
        </w:rPr>
        <w:t>[6] Mr.doob. (2024). 'Three.js: JavaScript 3D Library.' GitHub Repository: https://github.com/mrdoob/three.js.</w:t>
      </w:r>
    </w:p>
    <w:p>
      <w:pPr>
        <w:spacing w:line="276" w:lineRule="auto" w:after="120"/>
      </w:pPr>
      <w:r>
        <w:rPr>
          <w:rFonts w:ascii="Times New Roman" w:hAnsi="Times New Roman"/>
        </w:rPr>
        <w:t>[7] Pallets Projects. (2024). 'Flask: A Web Framework for Python.' Documentation: https://flask.palletsprojects.com/.</w:t>
      </w:r>
    </w:p>
    <w:p>
      <w:pPr>
        <w:spacing w:line="276" w:lineRule="auto" w:after="120"/>
      </w:pPr>
      <w:r>
        <w:rPr>
          <w:rFonts w:ascii="Times New Roman" w:hAnsi="Times New Roman"/>
        </w:rPr>
        <w:t>[8] Oracle Corporation. (2024). 'MySQL 8.0 Reference Manual: Generated Columns and Transaction Processing.' Oracle Documentation.</w:t>
      </w:r>
    </w:p>
    <w:p>
      <w:pPr>
        <w:spacing w:line="276" w:lineRule="auto" w:after="120"/>
      </w:pPr>
      <w:r>
        <w:rPr>
          <w:rFonts w:ascii="Times New Roman" w:hAnsi="Times New Roman"/>
        </w:rPr>
        <w:t>[9] ISO/IEC. (2015). 'ISO/IEC 18004: Information Technology — Automatic Identification and Data Capture Techniques — QR Code Bar Code Symbology Specification.'</w:t>
      </w:r>
    </w:p>
    <w:p>
      <w:pPr>
        <w:spacing w:line="276" w:lineRule="auto" w:after="120"/>
      </w:pPr>
      <w:r>
        <w:rPr>
          <w:rFonts w:ascii="Times New Roman" w:hAnsi="Times New Roman"/>
        </w:rPr>
        <w:t>[10] Ministry of Electronics and Information Technology (MeitY), Government of India. (2023). 'The Digital Personal Data Protection Act, 2023.' Gazette of India.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