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Blockpay – Statement Jargon &amp; Normalization Guide (Canada)</w:t>
      </w:r>
    </w:p>
    <w:p>
      <w:r>
        <w:rPr>
          <w:i/>
          <w:sz w:val="22"/>
        </w:rPr>
        <w:t>Purpose: Help agents decode competitor statements fast, remove jargon, and produce clean apples‑to‑apples comparisons.</w:t>
        <w:br/>
        <w:t>Also provides developer guidance to map many labels into one normalized fee model.</w:t>
        <w:br/>
        <w:t>Version 1.0 | Prepared for: Sales + Enablement + Product/Engineering</w:t>
      </w:r>
    </w:p>
    <w:p>
      <w:r>
        <w:rPr>
          <w:b/>
          <w:sz w:val="32"/>
        </w:rPr>
        <w:t>1. Why this document exists</w:t>
      </w:r>
    </w:p>
    <w:p>
      <w:r>
        <w:t>Canadian processors often use different words for the same underlying costs. Merchants get confused, agents lose momentum, and comparisons become noisy. This guide normalizes statement language into a simple cost model so agents can explain fees clearly and close faster.</w:t>
      </w:r>
    </w:p>
    <w:p>
      <w:pPr>
        <w:pStyle w:val="ListBullet"/>
      </w:pPr>
      <w:r>
        <w:t>Reality: the math is consistent; the wording is not.</w:t>
      </w:r>
    </w:p>
    <w:p>
      <w:pPr>
        <w:pStyle w:val="ListBullet"/>
      </w:pPr>
      <w:r>
        <w:t>Goal: translate competitor wording into Blockpay’s normalized buckets.</w:t>
      </w:r>
    </w:p>
    <w:p>
      <w:pPr>
        <w:pStyle w:val="ListBullet"/>
      </w:pPr>
      <w:r>
        <w:t>Outcome: cleaner proposals, stronger savings stories, fewer objections.</w:t>
      </w:r>
    </w:p>
    <w:p>
      <w:r>
        <w:rPr>
          <w:b/>
          <w:sz w:val="32"/>
        </w:rPr>
        <w:t>2. The Normalized Fee Model (Blockpay Canonical Buckets)</w:t>
      </w:r>
    </w:p>
    <w:p>
      <w:r>
        <w:t>Everything on any statement should land in one of these buckets:</w:t>
      </w:r>
    </w:p>
    <w:tbl>
      <w:tblPr>
        <w:tblW w:type="auto" w:w="0"/>
        <w:tblLook w:firstColumn="1" w:firstRow="1" w:lastColumn="0" w:lastRow="0" w:noHBand="0" w:noVBand="1" w:val="04A0"/>
      </w:tblPr>
      <w:tblGrid>
        <w:gridCol w:w="2880"/>
        <w:gridCol w:w="2880"/>
        <w:gridCol w:w="2880"/>
      </w:tblGrid>
      <w:tr>
        <w:tc>
          <w:tcPr>
            <w:tcW w:type="dxa" w:w="2880"/>
          </w:tcPr>
          <w:p>
            <w:r>
              <w:t>Normalized Bucket</w:t>
            </w:r>
          </w:p>
        </w:tc>
        <w:tc>
          <w:tcPr>
            <w:tcW w:type="dxa" w:w="2880"/>
          </w:tcPr>
          <w:p>
            <w:r>
              <w:t>What it means</w:t>
            </w:r>
          </w:p>
        </w:tc>
        <w:tc>
          <w:tcPr>
            <w:tcW w:type="dxa" w:w="2880"/>
          </w:tcPr>
          <w:p>
            <w:r>
              <w:t>Agent-friendly explanation</w:t>
            </w:r>
          </w:p>
        </w:tc>
      </w:tr>
      <w:tr>
        <w:tc>
          <w:tcPr>
            <w:tcW w:type="dxa" w:w="2880"/>
          </w:tcPr>
          <w:p>
            <w:r>
              <w:t>A) Interchange (Issuer/Bank Rate)</w:t>
            </w:r>
          </w:p>
        </w:tc>
        <w:tc>
          <w:tcPr>
            <w:tcW w:type="dxa" w:w="2880"/>
          </w:tcPr>
          <w:p>
            <w:r>
              <w:t>The issuer cost set by Visa/MC/Amex/Interac programs; varies by card type and how it’s accepted.</w:t>
            </w:r>
          </w:p>
        </w:tc>
        <w:tc>
          <w:tcPr>
            <w:tcW w:type="dxa" w:w="2880"/>
          </w:tcPr>
          <w:p>
            <w:r>
              <w:t>‘This is the bank’s cost. Nobody can change it.’</w:t>
            </w:r>
          </w:p>
        </w:tc>
      </w:tr>
      <w:tr>
        <w:tc>
          <w:tcPr>
            <w:tcW w:type="dxa" w:w="2880"/>
          </w:tcPr>
          <w:p>
            <w:r>
              <w:t>B) Network / Card Brand Fees (Assessments)</w:t>
            </w:r>
          </w:p>
        </w:tc>
        <w:tc>
          <w:tcPr>
            <w:tcW w:type="dxa" w:w="2880"/>
          </w:tcPr>
          <w:p>
            <w:r>
              <w:t>Network fees charged by Visa/MC/Amex/Discover/Interac (assessment, access, digital enablement, etc.).</w:t>
            </w:r>
          </w:p>
        </w:tc>
        <w:tc>
          <w:tcPr>
            <w:tcW w:type="dxa" w:w="2880"/>
          </w:tcPr>
          <w:p>
            <w:r>
              <w:t>‘These are card-brand fees (Visa/MC), not the processor’s rate.’</w:t>
            </w:r>
          </w:p>
        </w:tc>
      </w:tr>
      <w:tr>
        <w:tc>
          <w:tcPr>
            <w:tcW w:type="dxa" w:w="2880"/>
          </w:tcPr>
          <w:p>
            <w:r>
              <w:t>C) Processor Markup (bps on credit)</w:t>
            </w:r>
          </w:p>
        </w:tc>
        <w:tc>
          <w:tcPr>
            <w:tcW w:type="dxa" w:w="2880"/>
          </w:tcPr>
          <w:p>
            <w:r>
              <w:t>The processor/ISO margin charged as a % of credit volume (e.g., 0.10%).</w:t>
            </w:r>
          </w:p>
        </w:tc>
        <w:tc>
          <w:tcPr>
            <w:tcW w:type="dxa" w:w="2880"/>
          </w:tcPr>
          <w:p>
            <w:r>
              <w:t>‘This is the provider’s margin.’</w:t>
            </w:r>
          </w:p>
        </w:tc>
      </w:tr>
      <w:tr>
        <w:tc>
          <w:tcPr>
            <w:tcW w:type="dxa" w:w="2880"/>
          </w:tcPr>
          <w:p>
            <w:r>
              <w:t>D) Per-Item / Transaction Fees</w:t>
            </w:r>
          </w:p>
        </w:tc>
        <w:tc>
          <w:tcPr>
            <w:tcW w:type="dxa" w:w="2880"/>
          </w:tcPr>
          <w:p>
            <w:r>
              <w:t>Fees charged per transaction (auth, per item, batch, debit per txn, refunds sometimes).</w:t>
            </w:r>
          </w:p>
        </w:tc>
        <w:tc>
          <w:tcPr>
            <w:tcW w:type="dxa" w:w="2880"/>
          </w:tcPr>
          <w:p>
            <w:r>
              <w:t>‘This is a per-transaction charge.’</w:t>
            </w:r>
          </w:p>
        </w:tc>
      </w:tr>
      <w:tr>
        <w:tc>
          <w:tcPr>
            <w:tcW w:type="dxa" w:w="2880"/>
          </w:tcPr>
          <w:p>
            <w:r>
              <w:t>E) Billback / Non-Qualified / Rate Adjustments</w:t>
            </w:r>
          </w:p>
        </w:tc>
        <w:tc>
          <w:tcPr>
            <w:tcW w:type="dxa" w:w="2880"/>
          </w:tcPr>
          <w:p>
            <w:r>
              <w:t>Extra % charged when discount pricing doesn’t ‘qualify’ (keyed/CNP/premium) or when base rates are under-stated.</w:t>
            </w:r>
          </w:p>
        </w:tc>
        <w:tc>
          <w:tcPr>
            <w:tcW w:type="dxa" w:w="2880"/>
          </w:tcPr>
          <w:p>
            <w:r>
              <w:t>‘This is the penalty that makes the real rate higher.’</w:t>
            </w:r>
          </w:p>
        </w:tc>
      </w:tr>
      <w:tr>
        <w:tc>
          <w:tcPr>
            <w:tcW w:type="dxa" w:w="2880"/>
          </w:tcPr>
          <w:p>
            <w:r>
              <w:t>F) Fixed Monthly/Annual Fees</w:t>
            </w:r>
          </w:p>
        </w:tc>
        <w:tc>
          <w:tcPr>
            <w:tcW w:type="dxa" w:w="2880"/>
          </w:tcPr>
          <w:p>
            <w:r>
              <w:t>Account, statement, admin, PCI program, monthly minimum, compliance, security bundles, etc.</w:t>
            </w:r>
          </w:p>
        </w:tc>
        <w:tc>
          <w:tcPr>
            <w:tcW w:type="dxa" w:w="2880"/>
          </w:tcPr>
          <w:p>
            <w:r>
              <w:t>‘These are the monthly overhead fees.’</w:t>
            </w:r>
          </w:p>
        </w:tc>
      </w:tr>
      <w:tr>
        <w:tc>
          <w:tcPr>
            <w:tcW w:type="dxa" w:w="2880"/>
          </w:tcPr>
          <w:p>
            <w:r>
              <w:t>G) Equipment &amp; Software Fees</w:t>
            </w:r>
          </w:p>
        </w:tc>
        <w:tc>
          <w:tcPr>
            <w:tcW w:type="dxa" w:w="2880"/>
          </w:tcPr>
          <w:p>
            <w:r>
              <w:t>Terminal rental/lease, POS subscription, gateway, KDS, support plans.</w:t>
            </w:r>
          </w:p>
        </w:tc>
        <w:tc>
          <w:tcPr>
            <w:tcW w:type="dxa" w:w="2880"/>
          </w:tcPr>
          <w:p>
            <w:r>
              <w:t>‘This is hardware/software cost—often never-ending rentals.’</w:t>
            </w:r>
          </w:p>
        </w:tc>
      </w:tr>
      <w:tr>
        <w:tc>
          <w:tcPr>
            <w:tcW w:type="dxa" w:w="2880"/>
          </w:tcPr>
          <w:p>
            <w:r>
              <w:t>H) Exceptions / Adjustments</w:t>
            </w:r>
          </w:p>
        </w:tc>
        <w:tc>
          <w:tcPr>
            <w:tcW w:type="dxa" w:w="2880"/>
          </w:tcPr>
          <w:p>
            <w:r>
              <w:t>Credits, reversals, chargeback fees, retrievals, adjustments, taxes.</w:t>
            </w:r>
          </w:p>
        </w:tc>
        <w:tc>
          <w:tcPr>
            <w:tcW w:type="dxa" w:w="2880"/>
          </w:tcPr>
          <w:p>
            <w:r>
              <w:t>‘One‑off items; we separate these from pricing.’</w:t>
            </w:r>
          </w:p>
        </w:tc>
      </w:tr>
    </w:tbl>
    <w:p/>
    <w:p>
      <w:r>
        <w:rPr>
          <w:b/>
          <w:sz w:val="32"/>
        </w:rPr>
        <w:t>3. Fast Model Identification (Agent Shortcut)</w:t>
      </w:r>
    </w:p>
    <w:p>
      <w:r>
        <w:t>Use these cues to identify what the merchant is on today:</w:t>
      </w:r>
    </w:p>
    <w:tbl>
      <w:tblPr>
        <w:tblW w:type="auto" w:w="0"/>
        <w:tblLook w:firstColumn="1" w:firstRow="1" w:lastColumn="0" w:lastRow="0" w:noHBand="0" w:noVBand="1" w:val="04A0"/>
      </w:tblPr>
      <w:tblGrid>
        <w:gridCol w:w="2880"/>
        <w:gridCol w:w="2880"/>
        <w:gridCol w:w="2880"/>
      </w:tblGrid>
      <w:tr>
        <w:tc>
          <w:tcPr>
            <w:tcW w:type="dxa" w:w="2880"/>
          </w:tcPr>
          <w:p>
            <w:r>
              <w:t>What you see</w:t>
            </w:r>
          </w:p>
        </w:tc>
        <w:tc>
          <w:tcPr>
            <w:tcW w:type="dxa" w:w="2880"/>
          </w:tcPr>
          <w:p>
            <w:r>
              <w:t>Likely model</w:t>
            </w:r>
          </w:p>
        </w:tc>
        <w:tc>
          <w:tcPr>
            <w:tcW w:type="dxa" w:w="2880"/>
          </w:tcPr>
          <w:p>
            <w:r>
              <w:t>What to do</w:t>
            </w:r>
          </w:p>
        </w:tc>
      </w:tr>
      <w:tr>
        <w:tc>
          <w:tcPr>
            <w:tcW w:type="dxa" w:w="2880"/>
          </w:tcPr>
          <w:p>
            <w:r>
              <w:t>Interchange lines + separate ‘Card Brand/Assessment’ + a small % markup</w:t>
            </w:r>
          </w:p>
        </w:tc>
        <w:tc>
          <w:tcPr>
            <w:tcW w:type="dxa" w:w="2880"/>
          </w:tcPr>
          <w:p>
            <w:r>
              <w:t>Cost Plus</w:t>
            </w:r>
          </w:p>
        </w:tc>
        <w:tc>
          <w:tcPr>
            <w:tcW w:type="dxa" w:w="2880"/>
          </w:tcPr>
          <w:p>
            <w:r>
              <w:t>Normalize Interchange + Brand Fees + Markup + Debit + Fixed/Equipment.</w:t>
            </w:r>
          </w:p>
        </w:tc>
      </w:tr>
      <w:tr>
        <w:tc>
          <w:tcPr>
            <w:tcW w:type="dxa" w:w="2880"/>
          </w:tcPr>
          <w:p>
            <w:r>
              <w:t>Interchange lines + one small % markup but NO separate brand fee line in the quote</w:t>
            </w:r>
          </w:p>
        </w:tc>
        <w:tc>
          <w:tcPr>
            <w:tcW w:type="dxa" w:w="2880"/>
          </w:tcPr>
          <w:p>
            <w:r>
              <w:t>iPlus</w:t>
            </w:r>
          </w:p>
        </w:tc>
        <w:tc>
          <w:tcPr>
            <w:tcW w:type="dxa" w:w="2880"/>
          </w:tcPr>
          <w:p>
            <w:r>
              <w:t>Treat the % as bundled markup; don’t add a separate brand fee unless shown.</w:t>
            </w:r>
          </w:p>
        </w:tc>
      </w:tr>
      <w:tr>
        <w:tc>
          <w:tcPr>
            <w:tcW w:type="dxa" w:w="2880"/>
          </w:tcPr>
          <w:p>
            <w:r>
              <w:t>Base % like 1.29% + ‘rate adjustment / non‑qualified / billback’</w:t>
            </w:r>
          </w:p>
        </w:tc>
        <w:tc>
          <w:tcPr>
            <w:tcW w:type="dxa" w:w="2880"/>
          </w:tcPr>
          <w:p>
            <w:r>
              <w:t>Discount (Billback)</w:t>
            </w:r>
          </w:p>
        </w:tc>
        <w:tc>
          <w:tcPr>
            <w:tcW w:type="dxa" w:w="2880"/>
          </w:tcPr>
          <w:p>
            <w:r>
              <w:t>Separate base rate vs billback; show ‘effective rate’ impact.</w:t>
            </w:r>
          </w:p>
        </w:tc>
      </w:tr>
      <w:tr>
        <w:tc>
          <w:tcPr>
            <w:tcW w:type="dxa" w:w="2880"/>
          </w:tcPr>
          <w:p>
            <w:r>
              <w:t>Mentions ‘surcharge program’ and cardholder surcharge %</w:t>
            </w:r>
          </w:p>
        </w:tc>
        <w:tc>
          <w:tcPr>
            <w:tcW w:type="dxa" w:w="2880"/>
          </w:tcPr>
          <w:p>
            <w:r>
              <w:t>Surcharge Program</w:t>
            </w:r>
          </w:p>
        </w:tc>
        <w:tc>
          <w:tcPr>
            <w:tcW w:type="dxa" w:w="2880"/>
          </w:tcPr>
          <w:p>
            <w:r>
              <w:t>Confirm compliance + eligibility; model ticket + surcharge math.</w:t>
            </w:r>
          </w:p>
        </w:tc>
      </w:tr>
      <w:tr>
        <w:tc>
          <w:tcPr>
            <w:tcW w:type="dxa" w:w="2880"/>
          </w:tcPr>
          <w:p>
            <w:r>
              <w:t>Rates are missing/obscured; only totals shown</w:t>
            </w:r>
          </w:p>
        </w:tc>
        <w:tc>
          <w:tcPr>
            <w:tcW w:type="dxa" w:w="2880"/>
          </w:tcPr>
          <w:p>
            <w:r>
              <w:t>Hidden-rate discount or hybrid</w:t>
            </w:r>
          </w:p>
        </w:tc>
        <w:tc>
          <w:tcPr>
            <w:tcW w:type="dxa" w:w="2880"/>
          </w:tcPr>
          <w:p>
            <w:r>
              <w:t>Normalize using totals + fee sections; estimate splits with assumptions and log them.</w:t>
            </w:r>
          </w:p>
        </w:tc>
      </w:tr>
    </w:tbl>
    <w:p/>
    <w:p>
      <w:r>
        <w:rPr>
          <w:b/>
          <w:sz w:val="32"/>
        </w:rPr>
        <w:t>4. Glossary (What merchants ask about)</w:t>
      </w:r>
    </w:p>
    <w:p>
      <w:pPr>
        <w:pStyle w:val="ListBullet"/>
      </w:pPr>
      <w:r>
        <w:t>IC / Interchange: issuer/bank cost.</w:t>
      </w:r>
    </w:p>
    <w:p>
      <w:pPr>
        <w:pStyle w:val="ListBullet"/>
      </w:pPr>
      <w:r>
        <w:t>Assessment / Card Brand Fee: Visa/MC/Amex network fees.</w:t>
      </w:r>
    </w:p>
    <w:p>
      <w:pPr>
        <w:pStyle w:val="ListBullet"/>
      </w:pPr>
      <w:r>
        <w:t>bps (basis points): 10 bps = 0.10%.</w:t>
      </w:r>
    </w:p>
    <w:p>
      <w:pPr>
        <w:pStyle w:val="ListBullet"/>
      </w:pPr>
      <w:r>
        <w:t>EMDR / eMDR: Effective Merchant Discount Rate disclosure; not always calculated the same way across providers.</w:t>
      </w:r>
    </w:p>
    <w:p>
      <w:pPr>
        <w:pStyle w:val="ListBullet"/>
      </w:pPr>
      <w:r>
        <w:t>Qualified vs Non‑Qualified: discount models penalize certain transactions.</w:t>
      </w:r>
    </w:p>
    <w:p>
      <w:pPr>
        <w:pStyle w:val="ListBullet"/>
      </w:pPr>
      <w:r>
        <w:t>Authorization (Auth) Fee: per‑transaction charge (often unnecessary or inflated).</w:t>
      </w:r>
    </w:p>
    <w:p>
      <w:pPr>
        <w:pStyle w:val="ListBullet"/>
      </w:pPr>
      <w:r>
        <w:t>Monthly Minimum / Minimum Discount Fee: penalty if the provider didn’t earn enough in % fees.</w:t>
      </w:r>
    </w:p>
    <w:p>
      <w:pPr>
        <w:pStyle w:val="ListBullet"/>
      </w:pPr>
      <w:r>
        <w:t>Terminal rental: ongoing equipment fee (may never end).</w:t>
      </w:r>
    </w:p>
    <w:p>
      <w:r>
        <w:rPr>
          <w:b/>
          <w:sz w:val="32"/>
        </w:rPr>
        <w:t>5. Competitor Jargon → Normalized Mapping (Cheat Sheets)</w:t>
      </w:r>
    </w:p>
    <w:p>
      <w:r>
        <w:t>Below are the most common labels each provider uses and where they belong in the normalized model. Agents can use this to translate statements live on a call.</w:t>
      </w:r>
    </w:p>
    <w:p>
      <w:r>
        <w:rPr>
          <w:b/>
          <w:sz w:val="26"/>
        </w:rPr>
        <w:t>5.1 Chase (iPlus flavor; markup spread across sections)</w:t>
      </w:r>
    </w:p>
    <w:tbl>
      <w:tblPr>
        <w:tblW w:type="auto" w:w="0"/>
        <w:tblLook w:firstColumn="1" w:firstRow="1" w:lastColumn="0" w:lastRow="0" w:noHBand="0" w:noVBand="1" w:val="04A0"/>
      </w:tblPr>
      <w:tblGrid>
        <w:gridCol w:w="2880"/>
        <w:gridCol w:w="2880"/>
        <w:gridCol w:w="2880"/>
      </w:tblGrid>
      <w:tr>
        <w:tc>
          <w:tcPr>
            <w:tcW w:type="dxa" w:w="2880"/>
          </w:tcPr>
          <w:p>
            <w:r>
              <w:t>Chase wording (examples)</w:t>
            </w:r>
          </w:p>
        </w:tc>
        <w:tc>
          <w:tcPr>
            <w:tcW w:type="dxa" w:w="2880"/>
          </w:tcPr>
          <w:p>
            <w:r>
              <w:t>Normalize to</w:t>
            </w:r>
          </w:p>
        </w:tc>
        <w:tc>
          <w:tcPr>
            <w:tcW w:type="dxa" w:w="2880"/>
          </w:tcPr>
          <w:p>
            <w:r>
              <w:t>Notes / agent talk track</w:t>
            </w:r>
          </w:p>
        </w:tc>
      </w:tr>
      <w:tr>
        <w:tc>
          <w:tcPr>
            <w:tcW w:type="dxa" w:w="2880"/>
          </w:tcPr>
          <w:p>
            <w:r>
              <w:t>Interchange Fees / Interchange</w:t>
            </w:r>
          </w:p>
        </w:tc>
        <w:tc>
          <w:tcPr>
            <w:tcW w:type="dxa" w:w="2880"/>
          </w:tcPr>
          <w:p>
            <w:r>
              <w:t>A) Interchange</w:t>
            </w:r>
          </w:p>
        </w:tc>
        <w:tc>
          <w:tcPr>
            <w:tcW w:type="dxa" w:w="2880"/>
          </w:tcPr>
          <w:p>
            <w:r>
              <w:t>Bank rate; non-negotiable.</w:t>
            </w:r>
          </w:p>
        </w:tc>
      </w:tr>
      <w:tr>
        <w:tc>
          <w:tcPr>
            <w:tcW w:type="dxa" w:w="2880"/>
          </w:tcPr>
          <w:p>
            <w:r>
              <w:t>Assessment Fees / Network Fees</w:t>
            </w:r>
          </w:p>
        </w:tc>
        <w:tc>
          <w:tcPr>
            <w:tcW w:type="dxa" w:w="2880"/>
          </w:tcPr>
          <w:p>
            <w:r>
              <w:t>B) Network/Card Brand Fees</w:t>
            </w:r>
          </w:p>
        </w:tc>
        <w:tc>
          <w:tcPr>
            <w:tcW w:type="dxa" w:w="2880"/>
          </w:tcPr>
          <w:p>
            <w:r>
              <w:t>Visa/MC network costs.</w:t>
            </w:r>
          </w:p>
        </w:tc>
      </w:tr>
      <w:tr>
        <w:tc>
          <w:tcPr>
            <w:tcW w:type="dxa" w:w="2880"/>
          </w:tcPr>
          <w:p>
            <w:r>
              <w:t>Transaction Fees (%, per item)</w:t>
            </w:r>
          </w:p>
        </w:tc>
        <w:tc>
          <w:tcPr>
            <w:tcW w:type="dxa" w:w="2880"/>
          </w:tcPr>
          <w:p>
            <w:r>
              <w:t>C) Processor Markup + D) Per-Item Fees</w:t>
            </w:r>
          </w:p>
        </w:tc>
        <w:tc>
          <w:tcPr>
            <w:tcW w:type="dxa" w:w="2880"/>
          </w:tcPr>
          <w:p>
            <w:r>
              <w:t>Often mixes % markup and per-item fees.</w:t>
            </w:r>
          </w:p>
        </w:tc>
      </w:tr>
      <w:tr>
        <w:tc>
          <w:tcPr>
            <w:tcW w:type="dxa" w:w="2880"/>
          </w:tcPr>
          <w:p>
            <w:r>
              <w:t>Other Charges</w:t>
            </w:r>
          </w:p>
        </w:tc>
        <w:tc>
          <w:tcPr>
            <w:tcW w:type="dxa" w:w="2880"/>
          </w:tcPr>
          <w:p>
            <w:r>
              <w:t>F) Fixed Fees / G) Equipment</w:t>
            </w:r>
          </w:p>
        </w:tc>
        <w:tc>
          <w:tcPr>
            <w:tcW w:type="dxa" w:w="2880"/>
          </w:tcPr>
          <w:p>
            <w:r>
              <w:t>Often contains statement/admin fees, minimums, device rentals.</w:t>
            </w:r>
          </w:p>
        </w:tc>
      </w:tr>
      <w:tr>
        <w:tc>
          <w:tcPr>
            <w:tcW w:type="dxa" w:w="2880"/>
          </w:tcPr>
          <w:p>
            <w:r>
              <w:t>Minimum Discount Fee / Monthly Minimum</w:t>
            </w:r>
          </w:p>
        </w:tc>
        <w:tc>
          <w:tcPr>
            <w:tcW w:type="dxa" w:w="2880"/>
          </w:tcPr>
          <w:p>
            <w:r>
              <w:t>F) Fixed Fees</w:t>
            </w:r>
          </w:p>
        </w:tc>
        <w:tc>
          <w:tcPr>
            <w:tcW w:type="dxa" w:w="2880"/>
          </w:tcPr>
          <w:p>
            <w:r>
              <w:t>Penalty fee; highlight as ‘junk fee’ if Blockpay doesn’t charge it.</w:t>
            </w:r>
          </w:p>
        </w:tc>
      </w:tr>
      <w:tr>
        <w:tc>
          <w:tcPr>
            <w:tcW w:type="dxa" w:w="2880"/>
          </w:tcPr>
          <w:p>
            <w:r>
              <w:t>Terminal monthly fee / device rental lines (e.g., VX/Desk/Move)</w:t>
            </w:r>
          </w:p>
        </w:tc>
        <w:tc>
          <w:tcPr>
            <w:tcW w:type="dxa" w:w="2880"/>
          </w:tcPr>
          <w:p>
            <w:r>
              <w:t>G) Equipment &amp; Software</w:t>
            </w:r>
          </w:p>
        </w:tc>
        <w:tc>
          <w:tcPr>
            <w:tcW w:type="dxa" w:w="2880"/>
          </w:tcPr>
          <w:p>
            <w:r>
              <w:t>Common ‘never-ending’ rental.</w:t>
            </w:r>
          </w:p>
        </w:tc>
      </w:tr>
      <w:tr>
        <w:tc>
          <w:tcPr>
            <w:tcW w:type="dxa" w:w="2880"/>
          </w:tcPr>
          <w:p>
            <w:r>
              <w:t>Financial Adjustments</w:t>
            </w:r>
          </w:p>
        </w:tc>
        <w:tc>
          <w:tcPr>
            <w:tcW w:type="dxa" w:w="2880"/>
          </w:tcPr>
          <w:p>
            <w:r>
              <w:t>H) Exceptions/Adjustments</w:t>
            </w:r>
          </w:p>
        </w:tc>
        <w:tc>
          <w:tcPr>
            <w:tcW w:type="dxa" w:w="2880"/>
          </w:tcPr>
          <w:p>
            <w:r>
              <w:t>One-off settlement adjustments.</w:t>
            </w:r>
          </w:p>
        </w:tc>
      </w:tr>
    </w:tbl>
    <w:p/>
    <w:p>
      <w:r>
        <w:rPr>
          <w:b/>
          <w:sz w:val="26"/>
        </w:rPr>
        <w:t>5.2 Elavon (iPlus; very ‘noisy’ micro-fees)</w:t>
      </w:r>
    </w:p>
    <w:tbl>
      <w:tblPr>
        <w:tblW w:type="auto" w:w="0"/>
        <w:tblLook w:firstColumn="1" w:firstRow="1" w:lastColumn="0" w:lastRow="0" w:noHBand="0" w:noVBand="1" w:val="04A0"/>
      </w:tblPr>
      <w:tblGrid>
        <w:gridCol w:w="2880"/>
        <w:gridCol w:w="2880"/>
        <w:gridCol w:w="2880"/>
      </w:tblGrid>
      <w:tr>
        <w:tc>
          <w:tcPr>
            <w:tcW w:type="dxa" w:w="2880"/>
          </w:tcPr>
          <w:p>
            <w:r>
              <w:t>Elavon wording (examples)</w:t>
            </w:r>
          </w:p>
        </w:tc>
        <w:tc>
          <w:tcPr>
            <w:tcW w:type="dxa" w:w="2880"/>
          </w:tcPr>
          <w:p>
            <w:r>
              <w:t>Normalize to</w:t>
            </w:r>
          </w:p>
        </w:tc>
        <w:tc>
          <w:tcPr>
            <w:tcW w:type="dxa" w:w="2880"/>
          </w:tcPr>
          <w:p>
            <w:r>
              <w:t>Notes</w:t>
            </w:r>
          </w:p>
        </w:tc>
      </w:tr>
      <w:tr>
        <w:tc>
          <w:tcPr>
            <w:tcW w:type="dxa" w:w="2880"/>
          </w:tcPr>
          <w:p>
            <w:r>
              <w:t>Interchange – Visa / Interchange – MC / Wholesale – Amex</w:t>
            </w:r>
          </w:p>
        </w:tc>
        <w:tc>
          <w:tcPr>
            <w:tcW w:type="dxa" w:w="2880"/>
          </w:tcPr>
          <w:p>
            <w:r>
              <w:t>A) Interchange</w:t>
            </w:r>
          </w:p>
        </w:tc>
        <w:tc>
          <w:tcPr>
            <w:tcW w:type="dxa" w:w="2880"/>
          </w:tcPr>
          <w:p>
            <w:r>
              <w:t>Wholesale is interchange-equivalent.</w:t>
            </w:r>
          </w:p>
        </w:tc>
      </w:tr>
      <w:tr>
        <w:tc>
          <w:tcPr>
            <w:tcW w:type="dxa" w:w="2880"/>
          </w:tcPr>
          <w:p>
            <w:r>
              <w:t>Processing Fee % (by brand)</w:t>
            </w:r>
          </w:p>
        </w:tc>
        <w:tc>
          <w:tcPr>
            <w:tcW w:type="dxa" w:w="2880"/>
          </w:tcPr>
          <w:p>
            <w:r>
              <w:t>C) Processor Markup</w:t>
            </w:r>
          </w:p>
        </w:tc>
        <w:tc>
          <w:tcPr>
            <w:tcW w:type="dxa" w:w="2880"/>
          </w:tcPr>
          <w:p>
            <w:r>
              <w:t>Elavon may split markup by brand.</w:t>
            </w:r>
          </w:p>
        </w:tc>
      </w:tr>
      <w:tr>
        <w:tc>
          <w:tcPr>
            <w:tcW w:type="dxa" w:w="2880"/>
          </w:tcPr>
          <w:p>
            <w:r>
              <w:t>Assessments / Acquirer License / Digital Enablement / Access fees</w:t>
            </w:r>
          </w:p>
        </w:tc>
        <w:tc>
          <w:tcPr>
            <w:tcW w:type="dxa" w:w="2880"/>
          </w:tcPr>
          <w:p>
            <w:r>
              <w:t>B) Network/Card Brand Fees</w:t>
            </w:r>
          </w:p>
        </w:tc>
        <w:tc>
          <w:tcPr>
            <w:tcW w:type="dxa" w:w="2880"/>
          </w:tcPr>
          <w:p>
            <w:r>
              <w:t>Many micro-fees; sum them.</w:t>
            </w:r>
          </w:p>
        </w:tc>
      </w:tr>
      <w:tr>
        <w:tc>
          <w:tcPr>
            <w:tcW w:type="dxa" w:w="2880"/>
          </w:tcPr>
          <w:p>
            <w:r>
              <w:t>Authorization Fees</w:t>
            </w:r>
          </w:p>
        </w:tc>
        <w:tc>
          <w:tcPr>
            <w:tcW w:type="dxa" w:w="2880"/>
          </w:tcPr>
          <w:p>
            <w:r>
              <w:t>D) Per-Item Fees</w:t>
            </w:r>
          </w:p>
        </w:tc>
        <w:tc>
          <w:tcPr>
            <w:tcW w:type="dxa" w:w="2880"/>
          </w:tcPr>
          <w:p>
            <w:r>
              <w:t>High-impact; great closing point.</w:t>
            </w:r>
          </w:p>
        </w:tc>
      </w:tr>
      <w:tr>
        <w:tc>
          <w:tcPr>
            <w:tcW w:type="dxa" w:w="2880"/>
          </w:tcPr>
          <w:p>
            <w:r>
              <w:t>Product &amp; Service Fees / Monthly Fees / PCI fees</w:t>
            </w:r>
          </w:p>
        </w:tc>
        <w:tc>
          <w:tcPr>
            <w:tcW w:type="dxa" w:w="2880"/>
          </w:tcPr>
          <w:p>
            <w:r>
              <w:t>F) Fixed Fees</w:t>
            </w:r>
          </w:p>
        </w:tc>
        <w:tc>
          <w:tcPr>
            <w:tcW w:type="dxa" w:w="2880"/>
          </w:tcPr>
          <w:p>
            <w:r>
              <w:t>Ongoing overhead.</w:t>
            </w:r>
          </w:p>
        </w:tc>
      </w:tr>
      <w:tr>
        <w:tc>
          <w:tcPr>
            <w:tcW w:type="dxa" w:w="2880"/>
          </w:tcPr>
          <w:p>
            <w:r>
              <w:t>Terminal / Wireless / Rental</w:t>
            </w:r>
          </w:p>
        </w:tc>
        <w:tc>
          <w:tcPr>
            <w:tcW w:type="dxa" w:w="2880"/>
          </w:tcPr>
          <w:p>
            <w:r>
              <w:t>G) Equipment &amp; Software</w:t>
            </w:r>
          </w:p>
        </w:tc>
        <w:tc>
          <w:tcPr>
            <w:tcW w:type="dxa" w:w="2880"/>
          </w:tcPr>
          <w:p>
            <w:r>
              <w:t>Often long-term rental.</w:t>
            </w:r>
          </w:p>
        </w:tc>
      </w:tr>
    </w:tbl>
    <w:p/>
    <w:p>
      <w:r>
        <w:rPr>
          <w:b/>
          <w:sz w:val="26"/>
        </w:rPr>
        <w:t>5.3 Moneris (iPlus; transparent headings)</w:t>
      </w:r>
    </w:p>
    <w:tbl>
      <w:tblPr>
        <w:tblW w:type="auto" w:w="0"/>
        <w:tblLook w:firstColumn="1" w:firstRow="1" w:lastColumn="0" w:lastRow="0" w:noHBand="0" w:noVBand="1" w:val="04A0"/>
      </w:tblPr>
      <w:tblGrid>
        <w:gridCol w:w="2880"/>
        <w:gridCol w:w="2880"/>
        <w:gridCol w:w="2880"/>
      </w:tblGrid>
      <w:tr>
        <w:tc>
          <w:tcPr>
            <w:tcW w:type="dxa" w:w="2880"/>
          </w:tcPr>
          <w:p>
            <w:r>
              <w:t>Moneris section/wording</w:t>
            </w:r>
          </w:p>
        </w:tc>
        <w:tc>
          <w:tcPr>
            <w:tcW w:type="dxa" w:w="2880"/>
          </w:tcPr>
          <w:p>
            <w:r>
              <w:t>Normalize to</w:t>
            </w:r>
          </w:p>
        </w:tc>
        <w:tc>
          <w:tcPr>
            <w:tcW w:type="dxa" w:w="2880"/>
          </w:tcPr>
          <w:p>
            <w:r>
              <w:t>Notes</w:t>
            </w:r>
          </w:p>
        </w:tc>
      </w:tr>
      <w:tr>
        <w:tc>
          <w:tcPr>
            <w:tcW w:type="dxa" w:w="2880"/>
          </w:tcPr>
          <w:p>
            <w:r>
              <w:t>Interchange &amp; Wholesale Discount Fees</w:t>
            </w:r>
          </w:p>
        </w:tc>
        <w:tc>
          <w:tcPr>
            <w:tcW w:type="dxa" w:w="2880"/>
          </w:tcPr>
          <w:p>
            <w:r>
              <w:t>A) Interchange</w:t>
            </w:r>
          </w:p>
        </w:tc>
        <w:tc>
          <w:tcPr>
            <w:tcW w:type="dxa" w:w="2880"/>
          </w:tcPr>
          <w:p>
            <w:r>
              <w:t>Interchange and ‘wholesale discount’ are base costs.</w:t>
            </w:r>
          </w:p>
        </w:tc>
      </w:tr>
      <w:tr>
        <w:tc>
          <w:tcPr>
            <w:tcW w:type="dxa" w:w="2880"/>
          </w:tcPr>
          <w:p>
            <w:r>
              <w:t>Assessment &amp; Other Card Brand Fees</w:t>
            </w:r>
          </w:p>
        </w:tc>
        <w:tc>
          <w:tcPr>
            <w:tcW w:type="dxa" w:w="2880"/>
          </w:tcPr>
          <w:p>
            <w:r>
              <w:t>B) Network/Card Brand Fees</w:t>
            </w:r>
          </w:p>
        </w:tc>
        <w:tc>
          <w:tcPr>
            <w:tcW w:type="dxa" w:w="2880"/>
          </w:tcPr>
          <w:p>
            <w:r>
              <w:t>Cleanest CB section in the market.</w:t>
            </w:r>
          </w:p>
        </w:tc>
      </w:tr>
      <w:tr>
        <w:tc>
          <w:tcPr>
            <w:tcW w:type="dxa" w:w="2880"/>
          </w:tcPr>
          <w:p>
            <w:r>
              <w:t>Transaction Fees</w:t>
            </w:r>
          </w:p>
        </w:tc>
        <w:tc>
          <w:tcPr>
            <w:tcW w:type="dxa" w:w="2880"/>
          </w:tcPr>
          <w:p>
            <w:r>
              <w:t>C) Processor Markup + D) Per-Item Fees</w:t>
            </w:r>
          </w:p>
        </w:tc>
        <w:tc>
          <w:tcPr>
            <w:tcW w:type="dxa" w:w="2880"/>
          </w:tcPr>
          <w:p>
            <w:r>
              <w:t>Where iPlus margin and per-item fees live.</w:t>
            </w:r>
          </w:p>
        </w:tc>
      </w:tr>
      <w:tr>
        <w:tc>
          <w:tcPr>
            <w:tcW w:type="dxa" w:w="2880"/>
          </w:tcPr>
          <w:p>
            <w:r>
              <w:t>Service Fees</w:t>
            </w:r>
          </w:p>
        </w:tc>
        <w:tc>
          <w:tcPr>
            <w:tcW w:type="dxa" w:w="2880"/>
          </w:tcPr>
          <w:p>
            <w:r>
              <w:t>F) Fixed Fees / G) Equipment</w:t>
            </w:r>
          </w:p>
        </w:tc>
        <w:tc>
          <w:tcPr>
            <w:tcW w:type="dxa" w:w="2880"/>
          </w:tcPr>
          <w:p>
            <w:r>
              <w:t>Device rental, packages, enablement, account service.</w:t>
            </w:r>
          </w:p>
        </w:tc>
      </w:tr>
      <w:tr>
        <w:tc>
          <w:tcPr>
            <w:tcW w:type="dxa" w:w="2880"/>
          </w:tcPr>
          <w:p>
            <w:r>
              <w:t>Authorizations</w:t>
            </w:r>
          </w:p>
        </w:tc>
        <w:tc>
          <w:tcPr>
            <w:tcW w:type="dxa" w:w="2880"/>
          </w:tcPr>
          <w:p>
            <w:r>
              <w:t>D) Per-Item Fees</w:t>
            </w:r>
          </w:p>
        </w:tc>
        <w:tc>
          <w:tcPr>
            <w:tcW w:type="dxa" w:w="2880"/>
          </w:tcPr>
          <w:p>
            <w:r>
              <w:t>Often charged per transaction.</w:t>
            </w:r>
          </w:p>
        </w:tc>
      </w:tr>
    </w:tbl>
    <w:p/>
    <w:p>
      <w:r>
        <w:rPr>
          <w:b/>
          <w:sz w:val="26"/>
        </w:rPr>
        <w:t>5.4 TD (iPlus + Discount + ‘Hidden Rates’)</w:t>
      </w:r>
    </w:p>
    <w:tbl>
      <w:tblPr>
        <w:tblW w:type="auto" w:w="0"/>
        <w:tblLook w:firstColumn="1" w:firstRow="1" w:lastColumn="0" w:lastRow="0" w:noHBand="0" w:noVBand="1" w:val="04A0"/>
      </w:tblPr>
      <w:tblGrid>
        <w:gridCol w:w="2880"/>
        <w:gridCol w:w="2880"/>
        <w:gridCol w:w="2880"/>
      </w:tblGrid>
      <w:tr>
        <w:tc>
          <w:tcPr>
            <w:tcW w:type="dxa" w:w="2880"/>
          </w:tcPr>
          <w:p>
            <w:r>
              <w:t>TD wording (examples)</w:t>
            </w:r>
          </w:p>
        </w:tc>
        <w:tc>
          <w:tcPr>
            <w:tcW w:type="dxa" w:w="2880"/>
          </w:tcPr>
          <w:p>
            <w:r>
              <w:t>Normalize to</w:t>
            </w:r>
          </w:p>
        </w:tc>
        <w:tc>
          <w:tcPr>
            <w:tcW w:type="dxa" w:w="2880"/>
          </w:tcPr>
          <w:p>
            <w:r>
              <w:t>What it really is</w:t>
            </w:r>
          </w:p>
        </w:tc>
      </w:tr>
      <w:tr>
        <w:tc>
          <w:tcPr>
            <w:tcW w:type="dxa" w:w="2880"/>
          </w:tcPr>
          <w:p>
            <w:r>
              <w:t>Discount Rate Adjustment Fee</w:t>
            </w:r>
          </w:p>
        </w:tc>
        <w:tc>
          <w:tcPr>
            <w:tcW w:type="dxa" w:w="2880"/>
          </w:tcPr>
          <w:p>
            <w:r>
              <w:t>E) Billback/Non-Qualified</w:t>
            </w:r>
          </w:p>
        </w:tc>
        <w:tc>
          <w:tcPr>
            <w:tcW w:type="dxa" w:w="2880"/>
          </w:tcPr>
          <w:p>
            <w:r>
              <w:t>Billback surcharge under a softer name.</w:t>
            </w:r>
          </w:p>
        </w:tc>
      </w:tr>
      <w:tr>
        <w:tc>
          <w:tcPr>
            <w:tcW w:type="dxa" w:w="2880"/>
          </w:tcPr>
          <w:p>
            <w:r>
              <w:t>Interchange Differential / Interchange Differential Rate</w:t>
            </w:r>
          </w:p>
        </w:tc>
        <w:tc>
          <w:tcPr>
            <w:tcW w:type="dxa" w:w="2880"/>
          </w:tcPr>
          <w:p>
            <w:r>
              <w:t>A) Interchange</w:t>
            </w:r>
          </w:p>
        </w:tc>
        <w:tc>
          <w:tcPr>
            <w:tcW w:type="dxa" w:w="2880"/>
          </w:tcPr>
          <w:p>
            <w:r>
              <w:t>Bank/interchange component by card type.</w:t>
            </w:r>
          </w:p>
        </w:tc>
      </w:tr>
      <w:tr>
        <w:tc>
          <w:tcPr>
            <w:tcW w:type="dxa" w:w="2880"/>
          </w:tcPr>
          <w:p>
            <w:r>
              <w:t>Visa/MC Credit Rate (context dependent)</w:t>
            </w:r>
          </w:p>
        </w:tc>
        <w:tc>
          <w:tcPr>
            <w:tcW w:type="dxa" w:w="2880"/>
          </w:tcPr>
          <w:p>
            <w:r>
              <w:t>C) Markup OR base discount rate</w:t>
            </w:r>
          </w:p>
        </w:tc>
        <w:tc>
          <w:tcPr>
            <w:tcW w:type="dxa" w:w="2880"/>
          </w:tcPr>
          <w:p>
            <w:r>
              <w:t>If iPlus statement: this is markup; if discount: base rate.</w:t>
            </w:r>
          </w:p>
        </w:tc>
      </w:tr>
      <w:tr>
        <w:tc>
          <w:tcPr>
            <w:tcW w:type="dxa" w:w="2880"/>
          </w:tcPr>
          <w:p>
            <w:r>
              <w:t>Assessment Fee / Network fee labels</w:t>
            </w:r>
          </w:p>
        </w:tc>
        <w:tc>
          <w:tcPr>
            <w:tcW w:type="dxa" w:w="2880"/>
          </w:tcPr>
          <w:p>
            <w:r>
              <w:t>B) Network/Card Brand Fees</w:t>
            </w:r>
          </w:p>
        </w:tc>
        <w:tc>
          <w:tcPr>
            <w:tcW w:type="dxa" w:w="2880"/>
          </w:tcPr>
          <w:p>
            <w:r>
              <w:t>Visa/MC network costs.</w:t>
            </w:r>
          </w:p>
        </w:tc>
      </w:tr>
      <w:tr>
        <w:tc>
          <w:tcPr>
            <w:tcW w:type="dxa" w:w="2880"/>
          </w:tcPr>
          <w:p>
            <w:r>
              <w:t>Compliance / Integrity / Security fees</w:t>
            </w:r>
          </w:p>
        </w:tc>
        <w:tc>
          <w:tcPr>
            <w:tcW w:type="dxa" w:w="2880"/>
          </w:tcPr>
          <w:p>
            <w:r>
              <w:t>F) Fixed Fees</w:t>
            </w:r>
          </w:p>
        </w:tc>
        <w:tc>
          <w:tcPr>
            <w:tcW w:type="dxa" w:w="2880"/>
          </w:tcPr>
          <w:p>
            <w:r>
              <w:t>Often ‘extra’ and expensive.</w:t>
            </w:r>
          </w:p>
        </w:tc>
      </w:tr>
      <w:tr>
        <w:tc>
          <w:tcPr>
            <w:tcW w:type="dxa" w:w="2880"/>
          </w:tcPr>
          <w:p>
            <w:r>
              <w:t>Hidden-rate layouts (totals shown, rate not obvious)</w:t>
            </w:r>
          </w:p>
        </w:tc>
        <w:tc>
          <w:tcPr>
            <w:tcW w:type="dxa" w:w="2880"/>
          </w:tcPr>
          <w:p>
            <w:r>
              <w:t>Normalize via buckets</w:t>
            </w:r>
          </w:p>
        </w:tc>
        <w:tc>
          <w:tcPr>
            <w:tcW w:type="dxa" w:w="2880"/>
          </w:tcPr>
          <w:p>
            <w:r>
              <w:t>Use totals + fee sections; estimate splits and log assumptions.</w:t>
            </w:r>
          </w:p>
        </w:tc>
      </w:tr>
    </w:tbl>
    <w:p/>
    <w:p>
      <w:r>
        <w:rPr>
          <w:b/>
          <w:sz w:val="26"/>
        </w:rPr>
        <w:t>5.5 Global Payments (Discount; heavy misc/security fees)</w:t>
      </w:r>
    </w:p>
    <w:tbl>
      <w:tblPr>
        <w:tblW w:type="auto" w:w="0"/>
        <w:tblLook w:firstColumn="1" w:firstRow="1" w:lastColumn="0" w:lastRow="0" w:noHBand="0" w:noVBand="1" w:val="04A0"/>
      </w:tblPr>
      <w:tblGrid>
        <w:gridCol w:w="2880"/>
        <w:gridCol w:w="2880"/>
        <w:gridCol w:w="2880"/>
      </w:tblGrid>
      <w:tr>
        <w:tc>
          <w:tcPr>
            <w:tcW w:type="dxa" w:w="2880"/>
          </w:tcPr>
          <w:p>
            <w:r>
              <w:t>Global wording (examples)</w:t>
            </w:r>
          </w:p>
        </w:tc>
        <w:tc>
          <w:tcPr>
            <w:tcW w:type="dxa" w:w="2880"/>
          </w:tcPr>
          <w:p>
            <w:r>
              <w:t>Normalize to</w:t>
            </w:r>
          </w:p>
        </w:tc>
        <w:tc>
          <w:tcPr>
            <w:tcW w:type="dxa" w:w="2880"/>
          </w:tcPr>
          <w:p>
            <w:r>
              <w:t>Notes</w:t>
            </w:r>
          </w:p>
        </w:tc>
      </w:tr>
      <w:tr>
        <w:tc>
          <w:tcPr>
            <w:tcW w:type="dxa" w:w="2880"/>
          </w:tcPr>
          <w:p>
            <w:r>
              <w:t>Base Discount / Visa/MC Rate</w:t>
            </w:r>
          </w:p>
        </w:tc>
        <w:tc>
          <w:tcPr>
            <w:tcW w:type="dxa" w:w="2880"/>
          </w:tcPr>
          <w:p>
            <w:r>
              <w:t>Base discount rate</w:t>
            </w:r>
          </w:p>
        </w:tc>
        <w:tc>
          <w:tcPr>
            <w:tcW w:type="dxa" w:w="2880"/>
          </w:tcPr>
          <w:p>
            <w:r>
              <w:t>Headline rate; not the full picture.</w:t>
            </w:r>
          </w:p>
        </w:tc>
      </w:tr>
      <w:tr>
        <w:tc>
          <w:tcPr>
            <w:tcW w:type="dxa" w:w="2880"/>
          </w:tcPr>
          <w:p>
            <w:r>
              <w:t>Rate Adjustment / Differential / Surcharge</w:t>
            </w:r>
          </w:p>
        </w:tc>
        <w:tc>
          <w:tcPr>
            <w:tcW w:type="dxa" w:w="2880"/>
          </w:tcPr>
          <w:p>
            <w:r>
              <w:t>E) Billback/Non-Qualified</w:t>
            </w:r>
          </w:p>
        </w:tc>
        <w:tc>
          <w:tcPr>
            <w:tcW w:type="dxa" w:w="2880"/>
          </w:tcPr>
          <w:p>
            <w:r>
              <w:t>Same as billback; show impact.</w:t>
            </w:r>
          </w:p>
        </w:tc>
      </w:tr>
      <w:tr>
        <w:tc>
          <w:tcPr>
            <w:tcW w:type="dxa" w:w="2880"/>
          </w:tcPr>
          <w:p>
            <w:r>
              <w:t>Security Fee / System Maintenance / Compliance</w:t>
            </w:r>
          </w:p>
        </w:tc>
        <w:tc>
          <w:tcPr>
            <w:tcW w:type="dxa" w:w="2880"/>
          </w:tcPr>
          <w:p>
            <w:r>
              <w:t>F) Fixed Fees</w:t>
            </w:r>
          </w:p>
        </w:tc>
        <w:tc>
          <w:tcPr>
            <w:tcW w:type="dxa" w:w="2880"/>
          </w:tcPr>
          <w:p>
            <w:r>
              <w:t>Often the biggest ‘silent cost’.</w:t>
            </w:r>
          </w:p>
        </w:tc>
      </w:tr>
      <w:tr>
        <w:tc>
          <w:tcPr>
            <w:tcW w:type="dxa" w:w="2880"/>
          </w:tcPr>
          <w:p>
            <w:r>
              <w:t>Service / Account / Statement fees</w:t>
            </w:r>
          </w:p>
        </w:tc>
        <w:tc>
          <w:tcPr>
            <w:tcW w:type="dxa" w:w="2880"/>
          </w:tcPr>
          <w:p>
            <w:r>
              <w:t>F) Fixed Fees</w:t>
            </w:r>
          </w:p>
        </w:tc>
        <w:tc>
          <w:tcPr>
            <w:tcW w:type="dxa" w:w="2880"/>
          </w:tcPr>
          <w:p>
            <w:r>
              <w:t>Overhead.</w:t>
            </w:r>
          </w:p>
        </w:tc>
      </w:tr>
      <w:tr>
        <w:tc>
          <w:tcPr>
            <w:tcW w:type="dxa" w:w="2880"/>
          </w:tcPr>
          <w:p>
            <w:r>
              <w:t>Terminal/service bundles</w:t>
            </w:r>
          </w:p>
        </w:tc>
        <w:tc>
          <w:tcPr>
            <w:tcW w:type="dxa" w:w="2880"/>
          </w:tcPr>
          <w:p>
            <w:r>
              <w:t>G) Equipment &amp; Software</w:t>
            </w:r>
          </w:p>
        </w:tc>
        <w:tc>
          <w:tcPr>
            <w:tcW w:type="dxa" w:w="2880"/>
          </w:tcPr>
          <w:p>
            <w:r>
              <w:t>Can be perpetual.</w:t>
            </w:r>
          </w:p>
        </w:tc>
      </w:tr>
    </w:tbl>
    <w:p/>
    <w:p>
      <w:r>
        <w:rPr>
          <w:b/>
          <w:sz w:val="26"/>
        </w:rPr>
        <w:t>5.6 Nuvei (Discount + iPlus; hybrid language)</w:t>
      </w:r>
    </w:p>
    <w:tbl>
      <w:tblPr>
        <w:tblW w:type="auto" w:w="0"/>
        <w:tblLook w:firstColumn="1" w:firstRow="1" w:lastColumn="0" w:lastRow="0" w:noHBand="0" w:noVBand="1" w:val="04A0"/>
      </w:tblPr>
      <w:tblGrid>
        <w:gridCol w:w="2880"/>
        <w:gridCol w:w="2880"/>
        <w:gridCol w:w="2880"/>
      </w:tblGrid>
      <w:tr>
        <w:tc>
          <w:tcPr>
            <w:tcW w:type="dxa" w:w="2880"/>
          </w:tcPr>
          <w:p>
            <w:r>
              <w:t>Nuvei wording (examples)</w:t>
            </w:r>
          </w:p>
        </w:tc>
        <w:tc>
          <w:tcPr>
            <w:tcW w:type="dxa" w:w="2880"/>
          </w:tcPr>
          <w:p>
            <w:r>
              <w:t>Normalize to</w:t>
            </w:r>
          </w:p>
        </w:tc>
        <w:tc>
          <w:tcPr>
            <w:tcW w:type="dxa" w:w="2880"/>
          </w:tcPr>
          <w:p>
            <w:r>
              <w:t>Notes</w:t>
            </w:r>
          </w:p>
        </w:tc>
      </w:tr>
      <w:tr>
        <w:tc>
          <w:tcPr>
            <w:tcW w:type="dxa" w:w="2880"/>
          </w:tcPr>
          <w:p>
            <w:r>
              <w:t>Disc % / Discount Due</w:t>
            </w:r>
          </w:p>
        </w:tc>
        <w:tc>
          <w:tcPr>
            <w:tcW w:type="dxa" w:w="2880"/>
          </w:tcPr>
          <w:p>
            <w:r>
              <w:t>Discount pricing presentation</w:t>
            </w:r>
          </w:p>
        </w:tc>
        <w:tc>
          <w:tcPr>
            <w:tcW w:type="dxa" w:w="2880"/>
          </w:tcPr>
          <w:p>
            <w:r>
              <w:t>Can still be iPlus or discount depending on whether billback exists.</w:t>
            </w:r>
          </w:p>
        </w:tc>
      </w:tr>
      <w:tr>
        <w:tc>
          <w:tcPr>
            <w:tcW w:type="dxa" w:w="2880"/>
          </w:tcPr>
          <w:p>
            <w:r>
              <w:t>NON‑QUALIFIED lines</w:t>
            </w:r>
          </w:p>
        </w:tc>
        <w:tc>
          <w:tcPr>
            <w:tcW w:type="dxa" w:w="2880"/>
          </w:tcPr>
          <w:p>
            <w:r>
              <w:t>E) Billback/Non-Qualified</w:t>
            </w:r>
          </w:p>
        </w:tc>
        <w:tc>
          <w:tcPr>
            <w:tcW w:type="dxa" w:w="2880"/>
          </w:tcPr>
          <w:p>
            <w:r>
              <w:t>Direct billback indicator.</w:t>
            </w:r>
          </w:p>
        </w:tc>
      </w:tr>
      <w:tr>
        <w:tc>
          <w:tcPr>
            <w:tcW w:type="dxa" w:w="2880"/>
          </w:tcPr>
          <w:p>
            <w:r>
              <w:t>VS/MC ASSESSMENT / Transmission</w:t>
            </w:r>
          </w:p>
        </w:tc>
        <w:tc>
          <w:tcPr>
            <w:tcW w:type="dxa" w:w="2880"/>
          </w:tcPr>
          <w:p>
            <w:r>
              <w:t>B) Network/Card Brand Fees</w:t>
            </w:r>
          </w:p>
        </w:tc>
        <w:tc>
          <w:tcPr>
            <w:tcW w:type="dxa" w:w="2880"/>
          </w:tcPr>
          <w:p>
            <w:r>
              <w:t>Network pass-throughs.</w:t>
            </w:r>
          </w:p>
        </w:tc>
      </w:tr>
      <w:tr>
        <w:tc>
          <w:tcPr>
            <w:tcW w:type="dxa" w:w="2880"/>
          </w:tcPr>
          <w:p>
            <w:r>
              <w:t>PCI Non‑Compliance / TMP / Warranty</w:t>
            </w:r>
          </w:p>
        </w:tc>
        <w:tc>
          <w:tcPr>
            <w:tcW w:type="dxa" w:w="2880"/>
          </w:tcPr>
          <w:p>
            <w:r>
              <w:t>F) Fixed Fees</w:t>
            </w:r>
          </w:p>
        </w:tc>
        <w:tc>
          <w:tcPr>
            <w:tcW w:type="dxa" w:w="2880"/>
          </w:tcPr>
          <w:p>
            <w:r>
              <w:t>Penalty-heavy; great closing point.</w:t>
            </w:r>
          </w:p>
        </w:tc>
      </w:tr>
      <w:tr>
        <w:tc>
          <w:tcPr>
            <w:tcW w:type="dxa" w:w="2880"/>
          </w:tcPr>
          <w:p>
            <w:r>
              <w:t>Interchange lines (if present)</w:t>
            </w:r>
          </w:p>
        </w:tc>
        <w:tc>
          <w:tcPr>
            <w:tcW w:type="dxa" w:w="2880"/>
          </w:tcPr>
          <w:p>
            <w:r>
              <w:t>A) Interchange</w:t>
            </w:r>
          </w:p>
        </w:tc>
        <w:tc>
          <w:tcPr>
            <w:tcW w:type="dxa" w:w="2880"/>
          </w:tcPr>
          <w:p>
            <w:r>
              <w:t>Signals iPlus behavior when combined with stable markup.</w:t>
            </w:r>
          </w:p>
        </w:tc>
      </w:tr>
    </w:tbl>
    <w:p/>
    <w:p>
      <w:r>
        <w:rPr>
          <w:b/>
          <w:sz w:val="26"/>
        </w:rPr>
        <w:t>5.7 Paystone (iPlus; auth-heavy, ‘product &amp; service’ heavy)</w:t>
      </w:r>
    </w:p>
    <w:tbl>
      <w:tblPr>
        <w:tblW w:type="auto" w:w="0"/>
        <w:tblLook w:firstColumn="1" w:firstRow="1" w:lastColumn="0" w:lastRow="0" w:noHBand="0" w:noVBand="1" w:val="04A0"/>
      </w:tblPr>
      <w:tblGrid>
        <w:gridCol w:w="2880"/>
        <w:gridCol w:w="2880"/>
        <w:gridCol w:w="2880"/>
      </w:tblGrid>
      <w:tr>
        <w:tc>
          <w:tcPr>
            <w:tcW w:type="dxa" w:w="2880"/>
          </w:tcPr>
          <w:p>
            <w:r>
              <w:t>Paystone wording (examples)</w:t>
            </w:r>
          </w:p>
        </w:tc>
        <w:tc>
          <w:tcPr>
            <w:tcW w:type="dxa" w:w="2880"/>
          </w:tcPr>
          <w:p>
            <w:r>
              <w:t>Normalize to</w:t>
            </w:r>
          </w:p>
        </w:tc>
        <w:tc>
          <w:tcPr>
            <w:tcW w:type="dxa" w:w="2880"/>
          </w:tcPr>
          <w:p>
            <w:r>
              <w:t>Notes</w:t>
            </w:r>
          </w:p>
        </w:tc>
      </w:tr>
      <w:tr>
        <w:tc>
          <w:tcPr>
            <w:tcW w:type="dxa" w:w="2880"/>
          </w:tcPr>
          <w:p>
            <w:r>
              <w:t>Interchange (Visa/MC) totals</w:t>
            </w:r>
          </w:p>
        </w:tc>
        <w:tc>
          <w:tcPr>
            <w:tcW w:type="dxa" w:w="2880"/>
          </w:tcPr>
          <w:p>
            <w:r>
              <w:t>A) Interchange</w:t>
            </w:r>
          </w:p>
        </w:tc>
        <w:tc>
          <w:tcPr>
            <w:tcW w:type="dxa" w:w="2880"/>
          </w:tcPr>
          <w:p>
            <w:r>
              <w:t>Base cost.</w:t>
            </w:r>
          </w:p>
        </w:tc>
      </w:tr>
      <w:tr>
        <w:tc>
          <w:tcPr>
            <w:tcW w:type="dxa" w:w="2880"/>
          </w:tcPr>
          <w:p>
            <w:r>
              <w:t>Authorization Fees</w:t>
            </w:r>
          </w:p>
        </w:tc>
        <w:tc>
          <w:tcPr>
            <w:tcW w:type="dxa" w:w="2880"/>
          </w:tcPr>
          <w:p>
            <w:r>
              <w:t>D) Per-Item Fees</w:t>
            </w:r>
          </w:p>
        </w:tc>
        <w:tc>
          <w:tcPr>
            <w:tcW w:type="dxa" w:w="2880"/>
          </w:tcPr>
          <w:p>
            <w:r>
              <w:t>High-impact; emphasize savings.</w:t>
            </w:r>
          </w:p>
        </w:tc>
      </w:tr>
      <w:tr>
        <w:tc>
          <w:tcPr>
            <w:tcW w:type="dxa" w:w="2880"/>
          </w:tcPr>
          <w:p>
            <w:r>
              <w:t>Product &amp; Service Fees</w:t>
            </w:r>
          </w:p>
        </w:tc>
        <w:tc>
          <w:tcPr>
            <w:tcW w:type="dxa" w:w="2880"/>
          </w:tcPr>
          <w:p>
            <w:r>
              <w:t>F) Fixed Fees / G) Equipment</w:t>
            </w:r>
          </w:p>
        </w:tc>
        <w:tc>
          <w:tcPr>
            <w:tcW w:type="dxa" w:w="2880"/>
          </w:tcPr>
          <w:p>
            <w:r>
              <w:t>Where monthly overhead is hidden.</w:t>
            </w:r>
          </w:p>
        </w:tc>
      </w:tr>
      <w:tr>
        <w:tc>
          <w:tcPr>
            <w:tcW w:type="dxa" w:w="2880"/>
          </w:tcPr>
          <w:p>
            <w:r>
              <w:t>Monthly Minimum</w:t>
            </w:r>
          </w:p>
        </w:tc>
        <w:tc>
          <w:tcPr>
            <w:tcW w:type="dxa" w:w="2880"/>
          </w:tcPr>
          <w:p>
            <w:r>
              <w:t>F) Fixed Fees</w:t>
            </w:r>
          </w:p>
        </w:tc>
        <w:tc>
          <w:tcPr>
            <w:tcW w:type="dxa" w:w="2880"/>
          </w:tcPr>
          <w:p>
            <w:r>
              <w:t>Penalty fee.</w:t>
            </w:r>
          </w:p>
        </w:tc>
      </w:tr>
    </w:tbl>
    <w:p/>
    <w:p>
      <w:r>
        <w:rPr>
          <w:b/>
          <w:sz w:val="26"/>
        </w:rPr>
        <w:t>5.8 PayFacto (iPlus but ‘discount-style’ wording)</w:t>
      </w:r>
    </w:p>
    <w:tbl>
      <w:tblPr>
        <w:tblW w:type="auto" w:w="0"/>
        <w:tblLook w:firstColumn="1" w:firstRow="1" w:lastColumn="0" w:lastRow="0" w:noHBand="0" w:noVBand="1" w:val="04A0"/>
      </w:tblPr>
      <w:tblGrid>
        <w:gridCol w:w="2880"/>
        <w:gridCol w:w="2880"/>
        <w:gridCol w:w="2880"/>
      </w:tblGrid>
      <w:tr>
        <w:tc>
          <w:tcPr>
            <w:tcW w:type="dxa" w:w="2880"/>
          </w:tcPr>
          <w:p>
            <w:r>
              <w:t>PayFacto wording (examples)</w:t>
            </w:r>
          </w:p>
        </w:tc>
        <w:tc>
          <w:tcPr>
            <w:tcW w:type="dxa" w:w="2880"/>
          </w:tcPr>
          <w:p>
            <w:r>
              <w:t>Normalize to</w:t>
            </w:r>
          </w:p>
        </w:tc>
        <w:tc>
          <w:tcPr>
            <w:tcW w:type="dxa" w:w="2880"/>
          </w:tcPr>
          <w:p>
            <w:r>
              <w:t>Agent warning</w:t>
            </w:r>
          </w:p>
        </w:tc>
      </w:tr>
      <w:tr>
        <w:tc>
          <w:tcPr>
            <w:tcW w:type="dxa" w:w="2880"/>
          </w:tcPr>
          <w:p>
            <w:r>
              <w:t>‘Disc %’ / ‘Discount Due’ (summary)</w:t>
            </w:r>
          </w:p>
        </w:tc>
        <w:tc>
          <w:tcPr>
            <w:tcW w:type="dxa" w:w="2880"/>
          </w:tcPr>
          <w:p>
            <w:r>
              <w:t>Presentation only</w:t>
            </w:r>
          </w:p>
        </w:tc>
        <w:tc>
          <w:tcPr>
            <w:tcW w:type="dxa" w:w="2880"/>
          </w:tcPr>
          <w:p>
            <w:r>
              <w:t>Looks like discount pricing—verify billback presence and interchange breakout.</w:t>
            </w:r>
          </w:p>
        </w:tc>
      </w:tr>
      <w:tr>
        <w:tc>
          <w:tcPr>
            <w:tcW w:type="dxa" w:w="2880"/>
          </w:tcPr>
          <w:p>
            <w:r>
              <w:t>Interchange Fees / Program Fees</w:t>
            </w:r>
          </w:p>
        </w:tc>
        <w:tc>
          <w:tcPr>
            <w:tcW w:type="dxa" w:w="2880"/>
          </w:tcPr>
          <w:p>
            <w:r>
              <w:t>A) Interchange</w:t>
            </w:r>
          </w:p>
        </w:tc>
        <w:tc>
          <w:tcPr>
            <w:tcW w:type="dxa" w:w="2880"/>
          </w:tcPr>
          <w:p>
            <w:r>
              <w:t>True bank costs.</w:t>
            </w:r>
          </w:p>
        </w:tc>
      </w:tr>
      <w:tr>
        <w:tc>
          <w:tcPr>
            <w:tcW w:type="dxa" w:w="2880"/>
          </w:tcPr>
          <w:p>
            <w:r>
              <w:t>Card Brand Fees section</w:t>
            </w:r>
          </w:p>
        </w:tc>
        <w:tc>
          <w:tcPr>
            <w:tcW w:type="dxa" w:w="2880"/>
          </w:tcPr>
          <w:p>
            <w:r>
              <w:t>B) Network/Card Brand Fees</w:t>
            </w:r>
          </w:p>
        </w:tc>
        <w:tc>
          <w:tcPr>
            <w:tcW w:type="dxa" w:w="2880"/>
          </w:tcPr>
          <w:p>
            <w:r>
              <w:t>Usually explicit and clean.</w:t>
            </w:r>
          </w:p>
        </w:tc>
      </w:tr>
      <w:tr>
        <w:tc>
          <w:tcPr>
            <w:tcW w:type="dxa" w:w="2880"/>
          </w:tcPr>
          <w:p>
            <w:r>
              <w:t>Transaction Fees section</w:t>
            </w:r>
          </w:p>
        </w:tc>
        <w:tc>
          <w:tcPr>
            <w:tcW w:type="dxa" w:w="2880"/>
          </w:tcPr>
          <w:p>
            <w:r>
              <w:t>C/D) Markup + Per-Item</w:t>
            </w:r>
          </w:p>
        </w:tc>
        <w:tc>
          <w:tcPr>
            <w:tcW w:type="dxa" w:w="2880"/>
          </w:tcPr>
          <w:p>
            <w:r>
              <w:t>Where iPlus economics live.</w:t>
            </w:r>
          </w:p>
        </w:tc>
      </w:tr>
    </w:tbl>
    <w:p/>
    <w:p>
      <w:r>
        <w:rPr>
          <w:b/>
          <w:sz w:val="26"/>
        </w:rPr>
        <w:t>5.9 Snappy (proposal sheet; not a statement)</w:t>
      </w:r>
    </w:p>
    <w:tbl>
      <w:tblPr>
        <w:tblW w:type="auto" w:w="0"/>
        <w:tblLook w:firstColumn="1" w:firstRow="1" w:lastColumn="0" w:lastRow="0" w:noHBand="0" w:noVBand="1" w:val="04A0"/>
      </w:tblPr>
      <w:tblGrid>
        <w:gridCol w:w="2880"/>
        <w:gridCol w:w="2880"/>
        <w:gridCol w:w="2880"/>
      </w:tblGrid>
      <w:tr>
        <w:tc>
          <w:tcPr>
            <w:tcW w:type="dxa" w:w="2880"/>
          </w:tcPr>
          <w:p>
            <w:r>
              <w:t>Snappy proposal term</w:t>
            </w:r>
          </w:p>
        </w:tc>
        <w:tc>
          <w:tcPr>
            <w:tcW w:type="dxa" w:w="2880"/>
          </w:tcPr>
          <w:p>
            <w:r>
              <w:t>Normalize to</w:t>
            </w:r>
          </w:p>
        </w:tc>
        <w:tc>
          <w:tcPr>
            <w:tcW w:type="dxa" w:w="2880"/>
          </w:tcPr>
          <w:p>
            <w:r>
              <w:t>What to tell merchant</w:t>
            </w:r>
          </w:p>
        </w:tc>
      </w:tr>
      <w:tr>
        <w:tc>
          <w:tcPr>
            <w:tcW w:type="dxa" w:w="2880"/>
          </w:tcPr>
          <w:p>
            <w:r>
              <w:t>Interchange + Processing Fee</w:t>
            </w:r>
          </w:p>
        </w:tc>
        <w:tc>
          <w:tcPr>
            <w:tcW w:type="dxa" w:w="2880"/>
          </w:tcPr>
          <w:p>
            <w:r>
              <w:t>A) Interchange + C) Markup</w:t>
            </w:r>
          </w:p>
        </w:tc>
        <w:tc>
          <w:tcPr>
            <w:tcW w:type="dxa" w:w="2880"/>
          </w:tcPr>
          <w:p>
            <w:r>
              <w:t>‘Interchange is bank cost; the + is their margin.’</w:t>
            </w:r>
          </w:p>
        </w:tc>
      </w:tr>
      <w:tr>
        <w:tc>
          <w:tcPr>
            <w:tcW w:type="dxa" w:w="2880"/>
          </w:tcPr>
          <w:p>
            <w:r>
              <w:t>Assessment Fee</w:t>
            </w:r>
          </w:p>
        </w:tc>
        <w:tc>
          <w:tcPr>
            <w:tcW w:type="dxa" w:w="2880"/>
          </w:tcPr>
          <w:p>
            <w:r>
              <w:t>B) Network/Card Brand Fees</w:t>
            </w:r>
          </w:p>
        </w:tc>
        <w:tc>
          <w:tcPr>
            <w:tcW w:type="dxa" w:w="2880"/>
          </w:tcPr>
          <w:p>
            <w:r>
              <w:t>‘Visa/MC network fees.’</w:t>
            </w:r>
          </w:p>
        </w:tc>
      </w:tr>
      <w:tr>
        <w:tc>
          <w:tcPr>
            <w:tcW w:type="dxa" w:w="2880"/>
          </w:tcPr>
          <w:p>
            <w:r>
              <w:t>Debit $/txn</w:t>
            </w:r>
          </w:p>
        </w:tc>
        <w:tc>
          <w:tcPr>
            <w:tcW w:type="dxa" w:w="2880"/>
          </w:tcPr>
          <w:p>
            <w:r>
              <w:t>D) Per-Item Fees</w:t>
            </w:r>
          </w:p>
        </w:tc>
        <w:tc>
          <w:tcPr>
            <w:tcW w:type="dxa" w:w="2880"/>
          </w:tcPr>
          <w:p>
            <w:r>
              <w:t>Compare to Blockpay debit fee.</w:t>
            </w:r>
          </w:p>
        </w:tc>
      </w:tr>
      <w:tr>
        <w:tc>
          <w:tcPr>
            <w:tcW w:type="dxa" w:w="2880"/>
          </w:tcPr>
          <w:p>
            <w:r>
              <w:t>Terminal $/month</w:t>
            </w:r>
          </w:p>
        </w:tc>
        <w:tc>
          <w:tcPr>
            <w:tcW w:type="dxa" w:w="2880"/>
          </w:tcPr>
          <w:p>
            <w:r>
              <w:t>G) Equipment</w:t>
            </w:r>
          </w:p>
        </w:tc>
        <w:tc>
          <w:tcPr>
            <w:tcW w:type="dxa" w:w="2880"/>
          </w:tcPr>
          <w:p>
            <w:r>
              <w:t>Ongoing cost; compare to Blockpay device options.</w:t>
            </w:r>
          </w:p>
        </w:tc>
      </w:tr>
    </w:tbl>
    <w:p/>
    <w:p>
      <w:r>
        <w:rPr>
          <w:b/>
          <w:sz w:val="26"/>
        </w:rPr>
        <w:t>5.10 Uniform / uniPHARM (NOT a processor; statement is Chase/Moneris underneath)</w:t>
      </w:r>
    </w:p>
    <w:p>
      <w:r>
        <w:t>Uniform/uniPHARM is a branding/solution layer. The underlying processor is typically Chase (Paymentech) or sometimes Moneris. Normalize using the underlying statement language (Chase/Moneris), not the brand name.</w:t>
      </w:r>
    </w:p>
    <w:p>
      <w:r>
        <w:rPr>
          <w:b/>
          <w:sz w:val="32"/>
        </w:rPr>
        <w:t>6. “Fees we remove” – Closing Checklist (Agent Ammo)</w:t>
      </w:r>
    </w:p>
    <w:p>
      <w:r>
        <w:t>These are common competitor fees that often do NOT exist or can be reduced/removed in a Blockpay proposal (verify per deal):</w:t>
      </w:r>
    </w:p>
    <w:p>
      <w:pPr>
        <w:pStyle w:val="ListBullet"/>
      </w:pPr>
      <w:r>
        <w:t>Authorization fees (per transaction) – common with Elavon, Paystone, Moneris, Nuvei.</w:t>
      </w:r>
    </w:p>
    <w:p>
      <w:pPr>
        <w:pStyle w:val="ListBullet"/>
      </w:pPr>
      <w:r>
        <w:t>Monthly minimum discount fees / minimum fees – common with TD/Chase/Paystone.</w:t>
      </w:r>
    </w:p>
    <w:p>
      <w:pPr>
        <w:pStyle w:val="ListBullet"/>
      </w:pPr>
      <w:r>
        <w:t>Security/compliance bundles (system maintenance, integrity, non‑compliance penalties) – common with Global/TD/Nuvei.</w:t>
      </w:r>
    </w:p>
    <w:p>
      <w:pPr>
        <w:pStyle w:val="ListBullet"/>
      </w:pPr>
      <w:r>
        <w:t>Ongoing terminal rentals (never-ending) – common across Chase/TD/Global/Elavon/Moneris.</w:t>
      </w:r>
    </w:p>
    <w:p>
      <w:pPr>
        <w:pStyle w:val="ListBullet"/>
      </w:pPr>
      <w:r>
        <w:t>Admin/statement fees – common across many providers.</w:t>
      </w:r>
    </w:p>
    <w:p>
      <w:pPr>
        <w:pStyle w:val="ListBullet"/>
      </w:pPr>
      <w:r>
        <w:t>‘Other charges’ bundles – often hide multiple small fees; isolate and compare.</w:t>
      </w:r>
    </w:p>
    <w:p>
      <w:r>
        <w:rPr>
          <w:b/>
          <w:sz w:val="32"/>
        </w:rPr>
        <w:t>7. How to Explain It to Merchants (Simple scripts)</w:t>
      </w:r>
    </w:p>
    <w:p>
      <w:r>
        <w:rPr>
          <w:b/>
          <w:sz w:val="26"/>
        </w:rPr>
        <w:t>7.1 The 20‑second explanation</w:t>
      </w:r>
    </w:p>
    <w:p>
      <w:r>
        <w:t>‘Every processor bill has the same 3 parts: (1) the bank cost called interchange, (2) the card-brand network fees like Visa/Mastercard assessments, and (3) the provider’s margin plus monthly overhead. Providers rename these to make it hard to compare. We translate everything into one clear view so you see what you’re paying and what changes.’</w:t>
      </w:r>
    </w:p>
    <w:p>
      <w:r>
        <w:rPr>
          <w:b/>
          <w:sz w:val="26"/>
        </w:rPr>
        <w:t>7.2 Explaining billback / non-qualified without sounding technical</w:t>
      </w:r>
    </w:p>
    <w:p>
      <w:r>
        <w:t>‘Your statement shows a base rate, but then an adjustment—TD calls it “discount rate adjustment”, others call it “rate adjustment” or “non-qualified”. That adjustment is the reason your real rate is higher. When you key in a card or take card-not-present payments, that penalty usually increases.’</w:t>
      </w:r>
    </w:p>
    <w:p>
      <w:r>
        <w:rPr>
          <w:b/>
          <w:sz w:val="26"/>
        </w:rPr>
        <w:t>7.3 Explaining device rental</w:t>
      </w:r>
    </w:p>
    <w:p>
      <w:r>
        <w:t>‘This line is not processing—it’s the terminal rental. Many providers never stop charging it. We can restructure this so you know exactly what you’re paying for hardware.’</w:t>
      </w:r>
    </w:p>
    <w:p>
      <w:r>
        <w:rPr>
          <w:b/>
          <w:sz w:val="32"/>
        </w:rPr>
        <w:t>8. Proposal Output – “No Jargon” Format (Recommended)</w:t>
      </w:r>
    </w:p>
    <w:p>
      <w:r>
        <w:t>When Blockpay generates a proposal, show merchants this simplified breakdown:</w:t>
      </w:r>
    </w:p>
    <w:tbl>
      <w:tblPr>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What we show</w:t>
            </w:r>
          </w:p>
        </w:tc>
        <w:tc>
          <w:tcPr>
            <w:tcW w:type="dxa" w:w="2880"/>
          </w:tcPr>
          <w:p>
            <w:r>
              <w:t>What it answers</w:t>
            </w:r>
          </w:p>
        </w:tc>
      </w:tr>
      <w:tr>
        <w:tc>
          <w:tcPr>
            <w:tcW w:type="dxa" w:w="2880"/>
          </w:tcPr>
          <w:p>
            <w:r>
              <w:t>Today (Current Provider)</w:t>
            </w:r>
          </w:p>
        </w:tc>
        <w:tc>
          <w:tcPr>
            <w:tcW w:type="dxa" w:w="2880"/>
          </w:tcPr>
          <w:p>
            <w:r>
              <w:t>Interchange + Network Fees + Provider Margin + Monthly/Device Fees</w:t>
            </w:r>
          </w:p>
        </w:tc>
        <w:tc>
          <w:tcPr>
            <w:tcW w:type="dxa" w:w="2880"/>
          </w:tcPr>
          <w:p>
            <w:r>
              <w:t>‘Where is my money going?’</w:t>
            </w:r>
          </w:p>
        </w:tc>
      </w:tr>
      <w:tr>
        <w:tc>
          <w:tcPr>
            <w:tcW w:type="dxa" w:w="2880"/>
          </w:tcPr>
          <w:p>
            <w:r>
              <w:t>Blockpay (Chosen Model)</w:t>
            </w:r>
          </w:p>
        </w:tc>
        <w:tc>
          <w:tcPr>
            <w:tcW w:type="dxa" w:w="2880"/>
          </w:tcPr>
          <w:p>
            <w:r>
              <w:t>Same buckets, same basis (gross/net) so it’s apples-to-apples</w:t>
            </w:r>
          </w:p>
        </w:tc>
        <w:tc>
          <w:tcPr>
            <w:tcW w:type="dxa" w:w="2880"/>
          </w:tcPr>
          <w:p>
            <w:r>
              <w:t>‘What changes if I switch?’</w:t>
            </w:r>
          </w:p>
        </w:tc>
      </w:tr>
      <w:tr>
        <w:tc>
          <w:tcPr>
            <w:tcW w:type="dxa" w:w="2880"/>
          </w:tcPr>
          <w:p>
            <w:r>
              <w:t>Savings</w:t>
            </w:r>
          </w:p>
        </w:tc>
        <w:tc>
          <w:tcPr>
            <w:tcW w:type="dxa" w:w="2880"/>
          </w:tcPr>
          <w:p>
            <w:r>
              <w:t>Monthly + Annual + Multi‑year (separate processing vs fixed fees)</w:t>
            </w:r>
          </w:p>
        </w:tc>
        <w:tc>
          <w:tcPr>
            <w:tcW w:type="dxa" w:w="2880"/>
          </w:tcPr>
          <w:p>
            <w:r>
              <w:t>‘How much do I save and why?’</w:t>
            </w:r>
          </w:p>
        </w:tc>
      </w:tr>
      <w:tr>
        <w:tc>
          <w:tcPr>
            <w:tcW w:type="dxa" w:w="2880"/>
          </w:tcPr>
          <w:p>
            <w:r>
              <w:t>Notes</w:t>
            </w:r>
          </w:p>
        </w:tc>
        <w:tc>
          <w:tcPr>
            <w:tcW w:type="dxa" w:w="2880"/>
          </w:tcPr>
          <w:p>
            <w:r>
              <w:t>Call out removed fees + any assumptions used</w:t>
            </w:r>
          </w:p>
        </w:tc>
        <w:tc>
          <w:tcPr>
            <w:tcW w:type="dxa" w:w="2880"/>
          </w:tcPr>
          <w:p>
            <w:r>
              <w:t>‘Is this accurate and fair?’</w:t>
            </w:r>
          </w:p>
        </w:tc>
      </w:tr>
    </w:tbl>
    <w:p/>
    <w:p>
      <w:r>
        <w:rPr>
          <w:b/>
          <w:sz w:val="32"/>
        </w:rPr>
        <w:t>9. Developer Notes (How to implement normalization)</w:t>
      </w:r>
    </w:p>
    <w:p>
      <w:r>
        <w:rPr>
          <w:b/>
          <w:sz w:val="26"/>
        </w:rPr>
        <w:t>9.1 Rules engine approach</w:t>
      </w:r>
    </w:p>
    <w:p>
      <w:pPr>
        <w:pStyle w:val="ListBullet"/>
      </w:pPr>
      <w:r>
        <w:t>Use a provider-aware keyword map: provider → section heading → line label → normalized bucket.</w:t>
      </w:r>
    </w:p>
    <w:p>
      <w:pPr>
        <w:pStyle w:val="ListBullet"/>
      </w:pPr>
      <w:r>
        <w:t>Use confidence scoring: exact match &gt; section match &gt; fuzzy match &gt; fallback bucket.</w:t>
      </w:r>
    </w:p>
    <w:p>
      <w:pPr>
        <w:pStyle w:val="ListBullet"/>
      </w:pPr>
      <w:r>
        <w:t>Treat “proposal sheets” (Snappy-style) differently from statements (no interchange detail).</w:t>
      </w:r>
    </w:p>
    <w:p>
      <w:pPr>
        <w:pStyle w:val="ListBullet"/>
      </w:pPr>
      <w:r>
        <w:t>Store assumptions when estimating (e.g., non‑qualified % for discount statements).</w:t>
      </w:r>
    </w:p>
    <w:p>
      <w:pPr>
        <w:pStyle w:val="ListBullet"/>
      </w:pPr>
      <w:r>
        <w:t>Version everything: mappings and rate logic change over time.</w:t>
      </w:r>
    </w:p>
    <w:p>
      <w:r>
        <w:rPr>
          <w:b/>
          <w:sz w:val="26"/>
        </w:rPr>
        <w:t>9.2 Minimal schema (recommended)</w:t>
      </w:r>
    </w:p>
    <w:p>
      <w:pPr>
        <w:pStyle w:val="ListBullet"/>
      </w:pPr>
      <w:r>
        <w:t>statement_provider (Chase/Elavon/Moneris/TD/Global/Nuvei/Paystone/PayFacto/Fiserv/Other)</w:t>
      </w:r>
    </w:p>
    <w:p>
      <w:pPr>
        <w:pStyle w:val="ListBullet"/>
      </w:pPr>
      <w:r>
        <w:t>raw_line_item: {section, label, qty, rate, amount}</w:t>
      </w:r>
    </w:p>
    <w:p>
      <w:pPr>
        <w:pStyle w:val="ListBullet"/>
      </w:pPr>
      <w:r>
        <w:t>normalized_item: {bucket, sub_bucket(optional), amount, confidence, notes}</w:t>
      </w:r>
    </w:p>
    <w:p>
      <w:pPr>
        <w:pStyle w:val="ListBullet"/>
      </w:pPr>
      <w:r>
        <w:t>proposal_snapshot: {model_selected, blockpay_rates_applied, assumptions_used, created_by, created_at}</w:t>
      </w:r>
    </w:p>
    <w:p>
      <w:r>
        <w:rPr>
          <w:b/>
          <w:sz w:val="32"/>
        </w:rPr>
        <w:t>10. Appendix – Common Sub‑Buckets (optional, for detailed UI)</w:t>
      </w:r>
    </w:p>
    <w:p>
      <w:pPr>
        <w:pStyle w:val="ListBullet"/>
      </w:pPr>
      <w:r>
        <w:t>A) Interchange: Visa, MC, Amex, Discover, Interac; CP vs CNP; rewards/commercial.</w:t>
      </w:r>
    </w:p>
    <w:p>
      <w:pPr>
        <w:pStyle w:val="ListBullet"/>
      </w:pPr>
      <w:r>
        <w:t>B) Network Fees: assessments, access, digital enablement, license, transmission, safety net.</w:t>
      </w:r>
    </w:p>
    <w:p>
      <w:pPr>
        <w:pStyle w:val="ListBullet"/>
      </w:pPr>
      <w:r>
        <w:t>D) Per‑Item: authorization, batch/close, debit per item, refunds, chargeback/retrieval.</w:t>
      </w:r>
    </w:p>
    <w:p>
      <w:pPr>
        <w:pStyle w:val="ListBullet"/>
      </w:pPr>
      <w:r>
        <w:t>F) Fixed: PCI, compliance, monthly minimum, statement/admin, account packages, security bundles.</w:t>
      </w:r>
    </w:p>
    <w:p>
      <w:pPr>
        <w:pStyle w:val="ListBullet"/>
      </w:pPr>
      <w:r>
        <w:t>G) Equipment: terminal rental/lease, gateway, POS subscription, KDS, support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