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Calibri" w:cs="Calibri" w:eastAsia="Calibri" w:hAnsi="Calibri"/>
          <w:b/>
          <w:bCs/>
          <w:color w:val="0F172A"/>
          <w:sz w:val="52"/>
          <w:szCs w:val="52"/>
        </w:rPr>
        <w:t xml:space="preserve">ZINOIT TECH LLC</w:t>
      </w:r>
    </w:p>
    <w:p>
      <w:pPr>
        <w:pBdr>
          <w:bottom w:val="single" w:color="2563EB" w:sz="8" w:space="6"/>
        </w:pBdr>
        <w:spacing w:after="80" w:before="0"/>
        <w:jc w:val="center"/>
      </w:pPr>
      <w:r>
        <w:rPr>
          <w:rFonts w:ascii="Calibri" w:cs="Calibri" w:eastAsia="Calibri" w:hAnsi="Calibri"/>
          <w:color w:val="2563EB"/>
          <w:sz w:val="30"/>
          <w:szCs w:val="30"/>
        </w:rPr>
        <w:t xml:space="preserve">Company Profile &amp; Scope of IT Staffing Services</w:t>
      </w:r>
    </w:p>
    <w:p>
      <w:pPr>
        <w:spacing w:after="40" w:before="120"/>
        <w:jc w:val="center"/>
      </w:pPr>
      <w:r>
        <w:rPr>
          <w:rFonts w:ascii="Calibri" w:cs="Calibri" w:eastAsia="Calibri" w:hAnsi="Calibri"/>
          <w:i/>
          <w:iCs/>
          <w:color w:val="475569"/>
          <w:sz w:val="22"/>
          <w:szCs w:val="22"/>
        </w:rPr>
        <w:t xml:space="preserve">Submitted to: Blue Cross Blue Shield Association (BCBSA)</w:t>
      </w:r>
    </w:p>
    <w:p>
      <w:pPr>
        <w:spacing w:after="480" w:before="0"/>
        <w:jc w:val="center"/>
      </w:pPr>
      <w:r>
        <w:rPr>
          <w:rFonts w:ascii="Calibri" w:cs="Calibri" w:eastAsia="Calibri" w:hAnsi="Calibri"/>
          <w:color w:val="94A3B8"/>
          <w:sz w:val="22"/>
          <w:szCs w:val="22"/>
        </w:rPr>
        <w:t xml:space="preserve">Vendor Empanelment &amp; Compliance Onboarding  |  April 2026</w:t>
      </w:r>
    </w:p>
    <w:p>
      <w:pPr>
        <w:pStyle w:val="Heading1"/>
        <w:pBdr>
          <w:bottom w:val="single" w:color="2563EB" w:sz="6" w:space="4"/>
        </w:pBdr>
        <w:spacing w:after="120" w:before="360"/>
      </w:pPr>
      <w:r>
        <w:rPr>
          <w:rFonts w:ascii="Calibri" w:cs="Calibri" w:eastAsia="Calibri" w:hAnsi="Calibri"/>
          <w:b/>
          <w:bCs/>
          <w:color w:val="0F172A"/>
          <w:sz w:val="28"/>
          <w:szCs w:val="28"/>
        </w:rPr>
        <w:t xml:space="preserve">1.  Company Overview</w:t>
      </w:r>
    </w:p>
    <w:p>
      <w:pPr>
        <w:spacing w:after="80" w:before="80"/>
      </w:pPr>
      <w:r>
        <w:rPr>
          <w:rFonts w:ascii="Calibri" w:cs="Calibri" w:eastAsia="Calibri" w:hAnsi="Calibri"/>
          <w:b/>
          <w:bCs/>
          <w:color w:val="0F172A"/>
          <w:sz w:val="22"/>
          <w:szCs w:val="22"/>
        </w:rPr>
        <w:t xml:space="preserve">Company Name: </w:t>
      </w:r>
      <w:r>
        <w:rPr>
          <w:rFonts w:ascii="Calibri" w:cs="Calibri" w:eastAsia="Calibri" w:hAnsi="Calibri"/>
          <w:color w:val="1E293B"/>
          <w:sz w:val="22"/>
          <w:szCs w:val="22"/>
        </w:rPr>
        <w:t xml:space="preserve">Zinoit Tech LLC</w:t>
      </w:r>
    </w:p>
    <w:p>
      <w:pPr>
        <w:spacing w:after="80" w:before="80"/>
      </w:pPr>
      <w:r>
        <w:rPr>
          <w:rFonts w:ascii="Calibri" w:cs="Calibri" w:eastAsia="Calibri" w:hAnsi="Calibri"/>
          <w:b/>
          <w:bCs/>
          <w:color w:val="0F172A"/>
          <w:sz w:val="22"/>
          <w:szCs w:val="22"/>
        </w:rPr>
        <w:t xml:space="preserve">Entity Type: </w:t>
      </w:r>
      <w:r>
        <w:rPr>
          <w:rFonts w:ascii="Calibri" w:cs="Calibri" w:eastAsia="Calibri" w:hAnsi="Calibri"/>
          <w:color w:val="1E293B"/>
          <w:sz w:val="22"/>
          <w:szCs w:val="22"/>
        </w:rPr>
        <w:t xml:space="preserve">Limited Liability Company (LLC)</w:t>
      </w:r>
    </w:p>
    <w:p>
      <w:pPr>
        <w:spacing w:after="80" w:before="80"/>
      </w:pPr>
      <w:r>
        <w:rPr>
          <w:rFonts w:ascii="Calibri" w:cs="Calibri" w:eastAsia="Calibri" w:hAnsi="Calibri"/>
          <w:b/>
          <w:bCs/>
          <w:color w:val="0F172A"/>
          <w:sz w:val="22"/>
          <w:szCs w:val="22"/>
        </w:rPr>
        <w:t xml:space="preserve">Primary Business: </w:t>
      </w:r>
      <w:r>
        <w:rPr>
          <w:rFonts w:ascii="Calibri" w:cs="Calibri" w:eastAsia="Calibri" w:hAnsi="Calibri"/>
          <w:color w:val="1E293B"/>
          <w:sz w:val="22"/>
          <w:szCs w:val="22"/>
        </w:rPr>
        <w:t xml:space="preserve">IT Staffing &amp; Professional Services</w:t>
      </w:r>
    </w:p>
    <w:p>
      <w:pPr>
        <w:spacing w:after="80" w:before="80"/>
      </w:pPr>
      <w:r>
        <w:rPr>
          <w:rFonts w:ascii="Calibri" w:cs="Calibri" w:eastAsia="Calibri" w:hAnsi="Calibri"/>
          <w:b/>
          <w:bCs/>
          <w:color w:val="0F172A"/>
          <w:sz w:val="22"/>
          <w:szCs w:val="22"/>
        </w:rPr>
        <w:t xml:space="preserve">Secondary Business: </w:t>
      </w:r>
      <w:r>
        <w:rPr>
          <w:rFonts w:ascii="Calibri" w:cs="Calibri" w:eastAsia="Calibri" w:hAnsi="Calibri"/>
          <w:color w:val="1E293B"/>
          <w:sz w:val="22"/>
          <w:szCs w:val="22"/>
        </w:rPr>
        <w:t xml:space="preserve">Insurance Domain Staffing</w:t>
      </w:r>
    </w:p>
    <w:p>
      <w:pPr>
        <w:spacing w:after="80" w:before="80"/>
      </w:pPr>
      <w:r>
        <w:rPr>
          <w:rFonts w:ascii="Calibri" w:cs="Calibri" w:eastAsia="Calibri" w:hAnsi="Calibri"/>
          <w:b/>
          <w:bCs/>
          <w:color w:val="0F172A"/>
          <w:sz w:val="22"/>
          <w:szCs w:val="22"/>
        </w:rPr>
        <w:t xml:space="preserve">Mission: </w:t>
      </w:r>
      <w:r>
        <w:rPr>
          <w:rFonts w:ascii="Calibri" w:cs="Calibri" w:eastAsia="Calibri" w:hAnsi="Calibri"/>
          <w:color w:val="1E293B"/>
          <w:sz w:val="22"/>
          <w:szCs w:val="22"/>
        </w:rPr>
        <w:t xml:space="preserve">To deliver high-caliber technology talent and domain-specialized professionals that enable healthcare and insurance organizations to innovate, secure, and scale their operations.</w:t>
      </w:r>
    </w:p>
    <w:p>
      <w:pPr>
        <w:spacing w:after="60" w:before="0"/>
      </w:pPr>
    </w:p>
    <w:p>
      <w:pPr>
        <w:spacing w:after="80" w:before="80"/>
      </w:pPr>
      <w:r>
        <w:rPr>
          <w:rFonts w:ascii="Calibri" w:cs="Calibri" w:eastAsia="Calibri" w:hAnsi="Calibri"/>
          <w:color w:val="1E293B"/>
          <w:sz w:val="22"/>
          <w:szCs w:val="22"/>
        </w:rPr>
        <w:t xml:space="preserve">Zinoit Tech LLC is a specialized staffing firm with deep expertise in placing IT professionals across healthcare, insurance, financial services, and technology sectors. We maintain a robust pipeline of pre-screened, compliance-ready talent spanning data engineering, AI/ML, cybersecurity, software engineering, and enterprise architecture. Our professionals are rigorously vetted against both technical requirements and the regulatory expectations of highly regulated industries. We deliver talent solutions aligned to each client's specific operational, security, and compliance mandates.</w:t>
      </w:r>
    </w:p>
    <w:p>
      <w:pPr>
        <w:spacing w:after="120" w:before="0"/>
      </w:pPr>
    </w:p>
    <w:p>
      <w:pPr>
        <w:pStyle w:val="Heading1"/>
        <w:pBdr>
          <w:bottom w:val="single" w:color="2563EB" w:sz="6" w:space="4"/>
        </w:pBdr>
        <w:spacing w:after="120" w:before="360"/>
      </w:pPr>
      <w:r>
        <w:rPr>
          <w:rFonts w:ascii="Calibri" w:cs="Calibri" w:eastAsia="Calibri" w:hAnsi="Calibri"/>
          <w:b/>
          <w:bCs/>
          <w:color w:val="0F172A"/>
          <w:sz w:val="28"/>
          <w:szCs w:val="28"/>
        </w:rPr>
        <w:t xml:space="preserve">2.  Scope of IT Staffing Services  (Primary — 80%)</w:t>
      </w:r>
    </w:p>
    <w:p>
      <w:pPr>
        <w:spacing w:after="80" w:before="80"/>
      </w:pPr>
      <w:r>
        <w:rPr>
          <w:rFonts w:ascii="Calibri" w:cs="Calibri" w:eastAsia="Calibri" w:hAnsi="Calibri"/>
          <w:color w:val="1E293B"/>
          <w:sz w:val="22"/>
          <w:szCs w:val="22"/>
        </w:rPr>
        <w:t xml:space="preserve">Our core competency is sourcing, vetting, and placing highly skilled IT professionals across the following technical disciplines:</w:t>
      </w:r>
    </w:p>
    <w:p>
      <w:pPr>
        <w:spacing w:after="60" w:before="0"/>
      </w:pPr>
    </w:p>
    <w:p>
      <w:pPr>
        <w:pStyle w:val="Heading2"/>
        <w:spacing w:after="80" w:before="240"/>
      </w:pPr>
      <w:r>
        <w:rPr>
          <w:rFonts w:ascii="Calibri" w:cs="Calibri" w:eastAsia="Calibri" w:hAnsi="Calibri"/>
          <w:b/>
          <w:bCs/>
          <w:color w:val="1E3A5F"/>
          <w:sz w:val="24"/>
          <w:szCs w:val="24"/>
        </w:rPr>
        <w:t xml:space="preserve">2.1  Data Engineering</w:t>
      </w:r>
    </w:p>
    <w:p>
      <w:pPr>
        <w:pStyle w:val="ListParagraph"/>
        <w:numPr>
          <w:ilvl w:val="0"/>
          <w:numId w:val="2"/>
        </w:numPr>
        <w:spacing w:after="60" w:before="60"/>
      </w:pPr>
      <w:r>
        <w:rPr>
          <w:rFonts w:ascii="Calibri" w:cs="Calibri" w:eastAsia="Calibri" w:hAnsi="Calibri"/>
          <w:b/>
          <w:bCs/>
          <w:color w:val="0F172A"/>
          <w:sz w:val="22"/>
          <w:szCs w:val="22"/>
        </w:rPr>
        <w:t xml:space="preserve">Roles</w:t>
      </w:r>
      <w:r>
        <w:rPr>
          <w:rFonts w:ascii="Calibri" w:cs="Calibri" w:eastAsia="Calibri" w:hAnsi="Calibri"/>
          <w:color w:val="1E293B"/>
          <w:sz w:val="22"/>
          <w:szCs w:val="22"/>
        </w:rPr>
        <w:t xml:space="preserve"> — Data Pipeline Architects, ETL/ELT Engineers, Data Platform Engineers</w:t>
      </w:r>
    </w:p>
    <w:p>
      <w:pPr>
        <w:pStyle w:val="ListParagraph"/>
        <w:numPr>
          <w:ilvl w:val="0"/>
          <w:numId w:val="2"/>
        </w:numPr>
        <w:spacing w:after="60" w:before="60"/>
      </w:pPr>
      <w:r>
        <w:rPr>
          <w:rFonts w:ascii="Calibri" w:cs="Calibri" w:eastAsia="Calibri" w:hAnsi="Calibri"/>
          <w:b/>
          <w:bCs/>
          <w:color w:val="0F172A"/>
          <w:sz w:val="22"/>
          <w:szCs w:val="22"/>
        </w:rPr>
        <w:t xml:space="preserve">Technologies</w:t>
      </w:r>
      <w:r>
        <w:rPr>
          <w:rFonts w:ascii="Calibri" w:cs="Calibri" w:eastAsia="Calibri" w:hAnsi="Calibri"/>
          <w:color w:val="1E293B"/>
          <w:sz w:val="22"/>
          <w:szCs w:val="22"/>
        </w:rPr>
        <w:t xml:space="preserve"> — Apache Spark, Kafka, Airflow, dbt, Snowflake, Azure Data Factory, AWS Glue, Databricks</w:t>
      </w:r>
    </w:p>
    <w:p>
      <w:pPr>
        <w:pStyle w:val="ListParagraph"/>
        <w:numPr>
          <w:ilvl w:val="0"/>
          <w:numId w:val="2"/>
        </w:numPr>
        <w:spacing w:after="60" w:before="60"/>
      </w:pPr>
      <w:r>
        <w:rPr>
          <w:rFonts w:ascii="Calibri" w:cs="Calibri" w:eastAsia="Calibri" w:hAnsi="Calibri"/>
          <w:b/>
          <w:bCs/>
          <w:color w:val="0F172A"/>
          <w:sz w:val="22"/>
          <w:szCs w:val="22"/>
        </w:rPr>
        <w:t xml:space="preserve">Healthcare/Insurance Use Cases</w:t>
      </w:r>
      <w:r>
        <w:rPr>
          <w:rFonts w:ascii="Calibri" w:cs="Calibri" w:eastAsia="Calibri" w:hAnsi="Calibri"/>
          <w:color w:val="1E293B"/>
          <w:sz w:val="22"/>
          <w:szCs w:val="22"/>
        </w:rPr>
        <w:t xml:space="preserve"> — Claims data pipelines, member data integration, EDI 837/835 processing, FHIR data lakes</w:t>
      </w:r>
    </w:p>
    <w:p>
      <w:pPr>
        <w:spacing w:after="60" w:before="0"/>
      </w:pPr>
    </w:p>
    <w:p>
      <w:pPr>
        <w:pStyle w:val="Heading2"/>
        <w:spacing w:after="80" w:before="240"/>
      </w:pPr>
      <w:r>
        <w:rPr>
          <w:rFonts w:ascii="Calibri" w:cs="Calibri" w:eastAsia="Calibri" w:hAnsi="Calibri"/>
          <w:b/>
          <w:bCs/>
          <w:color w:val="1E3A5F"/>
          <w:sz w:val="24"/>
          <w:szCs w:val="24"/>
        </w:rPr>
        <w:t xml:space="preserve">2.2  Data Science &amp; Analytics</w:t>
      </w:r>
    </w:p>
    <w:p>
      <w:pPr>
        <w:pStyle w:val="ListParagraph"/>
        <w:numPr>
          <w:ilvl w:val="0"/>
          <w:numId w:val="2"/>
        </w:numPr>
        <w:spacing w:after="60" w:before="60"/>
      </w:pPr>
      <w:r>
        <w:rPr>
          <w:rFonts w:ascii="Calibri" w:cs="Calibri" w:eastAsia="Calibri" w:hAnsi="Calibri"/>
          <w:b/>
          <w:bCs/>
          <w:color w:val="0F172A"/>
          <w:sz w:val="22"/>
          <w:szCs w:val="22"/>
        </w:rPr>
        <w:t xml:space="preserve">Roles</w:t>
      </w:r>
      <w:r>
        <w:rPr>
          <w:rFonts w:ascii="Calibri" w:cs="Calibri" w:eastAsia="Calibri" w:hAnsi="Calibri"/>
          <w:color w:val="1E293B"/>
          <w:sz w:val="22"/>
          <w:szCs w:val="22"/>
        </w:rPr>
        <w:t xml:space="preserve"> — Data Scientists, ML Engineers, Statistical Analysts, BI Developers</w:t>
      </w:r>
    </w:p>
    <w:p>
      <w:pPr>
        <w:pStyle w:val="ListParagraph"/>
        <w:numPr>
          <w:ilvl w:val="0"/>
          <w:numId w:val="2"/>
        </w:numPr>
        <w:spacing w:after="60" w:before="60"/>
      </w:pPr>
      <w:r>
        <w:rPr>
          <w:rFonts w:ascii="Calibri" w:cs="Calibri" w:eastAsia="Calibri" w:hAnsi="Calibri"/>
          <w:b/>
          <w:bCs/>
          <w:color w:val="0F172A"/>
          <w:sz w:val="22"/>
          <w:szCs w:val="22"/>
        </w:rPr>
        <w:t xml:space="preserve">Technologies</w:t>
      </w:r>
      <w:r>
        <w:rPr>
          <w:rFonts w:ascii="Calibri" w:cs="Calibri" w:eastAsia="Calibri" w:hAnsi="Calibri"/>
          <w:color w:val="1E293B"/>
          <w:sz w:val="22"/>
          <w:szCs w:val="22"/>
        </w:rPr>
        <w:t xml:space="preserve"> — Python, R, SQL, Tableau, Power BI, SAS, scikit-learn, TensorFlow</w:t>
      </w:r>
    </w:p>
    <w:p>
      <w:pPr>
        <w:pStyle w:val="ListParagraph"/>
        <w:numPr>
          <w:ilvl w:val="0"/>
          <w:numId w:val="2"/>
        </w:numPr>
        <w:spacing w:after="60" w:before="60"/>
      </w:pPr>
      <w:r>
        <w:rPr>
          <w:rFonts w:ascii="Calibri" w:cs="Calibri" w:eastAsia="Calibri" w:hAnsi="Calibri"/>
          <w:b/>
          <w:bCs/>
          <w:color w:val="0F172A"/>
          <w:sz w:val="22"/>
          <w:szCs w:val="22"/>
        </w:rPr>
        <w:t xml:space="preserve">Use Cases</w:t>
      </w:r>
      <w:r>
        <w:rPr>
          <w:rFonts w:ascii="Calibri" w:cs="Calibri" w:eastAsia="Calibri" w:hAnsi="Calibri"/>
          <w:color w:val="1E293B"/>
          <w:sz w:val="22"/>
          <w:szCs w:val="22"/>
        </w:rPr>
        <w:t xml:space="preserve"> — Predictive risk modeling, fraud detection, actuarial analytics, member churn analysis</w:t>
      </w:r>
    </w:p>
    <w:p>
      <w:pPr>
        <w:spacing w:after="60" w:before="0"/>
      </w:pPr>
    </w:p>
    <w:p>
      <w:pPr>
        <w:pStyle w:val="Heading2"/>
        <w:spacing w:after="80" w:before="240"/>
      </w:pPr>
      <w:r>
        <w:rPr>
          <w:rFonts w:ascii="Calibri" w:cs="Calibri" w:eastAsia="Calibri" w:hAnsi="Calibri"/>
          <w:b/>
          <w:bCs/>
          <w:color w:val="1E3A5F"/>
          <w:sz w:val="24"/>
          <w:szCs w:val="24"/>
        </w:rPr>
        <w:t xml:space="preserve">2.3  Artificial Intelligence &amp; Machine Learning (AI/ML)</w:t>
      </w:r>
    </w:p>
    <w:p>
      <w:pPr>
        <w:pStyle w:val="ListParagraph"/>
        <w:numPr>
          <w:ilvl w:val="0"/>
          <w:numId w:val="2"/>
        </w:numPr>
        <w:spacing w:after="60" w:before="60"/>
      </w:pPr>
      <w:r>
        <w:rPr>
          <w:rFonts w:ascii="Calibri" w:cs="Calibri" w:eastAsia="Calibri" w:hAnsi="Calibri"/>
          <w:b/>
          <w:bCs/>
          <w:color w:val="0F172A"/>
          <w:sz w:val="22"/>
          <w:szCs w:val="22"/>
        </w:rPr>
        <w:t xml:space="preserve">Roles</w:t>
      </w:r>
      <w:r>
        <w:rPr>
          <w:rFonts w:ascii="Calibri" w:cs="Calibri" w:eastAsia="Calibri" w:hAnsi="Calibri"/>
          <w:color w:val="1E293B"/>
          <w:sz w:val="22"/>
          <w:szCs w:val="22"/>
        </w:rPr>
        <w:t xml:space="preserve"> — AI Engineers, ML Platform Engineers, NLP Engineers, Computer Vision Engineers</w:t>
      </w:r>
    </w:p>
    <w:p>
      <w:pPr>
        <w:pStyle w:val="ListParagraph"/>
        <w:numPr>
          <w:ilvl w:val="0"/>
          <w:numId w:val="2"/>
        </w:numPr>
        <w:spacing w:after="60" w:before="60"/>
      </w:pPr>
      <w:r>
        <w:rPr>
          <w:rFonts w:ascii="Calibri" w:cs="Calibri" w:eastAsia="Calibri" w:hAnsi="Calibri"/>
          <w:b/>
          <w:bCs/>
          <w:color w:val="0F172A"/>
          <w:sz w:val="22"/>
          <w:szCs w:val="22"/>
        </w:rPr>
        <w:t xml:space="preserve">Technologies</w:t>
      </w:r>
      <w:r>
        <w:rPr>
          <w:rFonts w:ascii="Calibri" w:cs="Calibri" w:eastAsia="Calibri" w:hAnsi="Calibri"/>
          <w:color w:val="1E293B"/>
          <w:sz w:val="22"/>
          <w:szCs w:val="22"/>
        </w:rPr>
        <w:t xml:space="preserve"> — PyTorch, TensorFlow, Hugging Face, LangChain, AWS SageMaker, Azure ML, OpenAI APIs</w:t>
      </w:r>
    </w:p>
    <w:p>
      <w:pPr>
        <w:pStyle w:val="ListParagraph"/>
        <w:numPr>
          <w:ilvl w:val="0"/>
          <w:numId w:val="2"/>
        </w:numPr>
        <w:spacing w:after="60" w:before="60"/>
      </w:pPr>
      <w:r>
        <w:rPr>
          <w:rFonts w:ascii="Calibri" w:cs="Calibri" w:eastAsia="Calibri" w:hAnsi="Calibri"/>
          <w:b/>
          <w:bCs/>
          <w:color w:val="0F172A"/>
          <w:sz w:val="22"/>
          <w:szCs w:val="22"/>
        </w:rPr>
        <w:t xml:space="preserve">Use Cases</w:t>
      </w:r>
      <w:r>
        <w:rPr>
          <w:rFonts w:ascii="Calibri" w:cs="Calibri" w:eastAsia="Calibri" w:hAnsi="Calibri"/>
          <w:color w:val="1E293B"/>
          <w:sz w:val="22"/>
          <w:szCs w:val="22"/>
        </w:rPr>
        <w:t xml:space="preserve"> — Automated claims adjudication, prior authorization AI, clinical NLP, chatbot/virtual agents for member services</w:t>
      </w:r>
    </w:p>
    <w:p>
      <w:pPr>
        <w:spacing w:after="60" w:before="0"/>
      </w:pPr>
    </w:p>
    <w:p>
      <w:pPr>
        <w:pStyle w:val="Heading2"/>
        <w:spacing w:after="80" w:before="240"/>
      </w:pPr>
      <w:r>
        <w:rPr>
          <w:rFonts w:ascii="Calibri" w:cs="Calibri" w:eastAsia="Calibri" w:hAnsi="Calibri"/>
          <w:b/>
          <w:bCs/>
          <w:color w:val="1E3A5F"/>
          <w:sz w:val="24"/>
          <w:szCs w:val="24"/>
        </w:rPr>
        <w:t xml:space="preserve">2.4  Cybersecurity Engineering</w:t>
      </w:r>
    </w:p>
    <w:p>
      <w:pPr>
        <w:pStyle w:val="ListParagraph"/>
        <w:numPr>
          <w:ilvl w:val="0"/>
          <w:numId w:val="2"/>
        </w:numPr>
        <w:spacing w:after="60" w:before="60"/>
      </w:pPr>
      <w:r>
        <w:rPr>
          <w:rFonts w:ascii="Calibri" w:cs="Calibri" w:eastAsia="Calibri" w:hAnsi="Calibri"/>
          <w:b/>
          <w:bCs/>
          <w:color w:val="0F172A"/>
          <w:sz w:val="22"/>
          <w:szCs w:val="22"/>
        </w:rPr>
        <w:t xml:space="preserve">Roles</w:t>
      </w:r>
      <w:r>
        <w:rPr>
          <w:rFonts w:ascii="Calibri" w:cs="Calibri" w:eastAsia="Calibri" w:hAnsi="Calibri"/>
          <w:color w:val="1E293B"/>
          <w:sz w:val="22"/>
          <w:szCs w:val="22"/>
        </w:rPr>
        <w:t xml:space="preserve"> — Security Engineers, Cloud Security Architects, Penetration Testers, SOC Analysts, Compliance Engineers</w:t>
      </w:r>
    </w:p>
    <w:p>
      <w:pPr>
        <w:pStyle w:val="ListParagraph"/>
        <w:numPr>
          <w:ilvl w:val="0"/>
          <w:numId w:val="2"/>
        </w:numPr>
        <w:spacing w:after="60" w:before="60"/>
      </w:pPr>
      <w:r>
        <w:rPr>
          <w:rFonts w:ascii="Calibri" w:cs="Calibri" w:eastAsia="Calibri" w:hAnsi="Calibri"/>
          <w:b/>
          <w:bCs/>
          <w:color w:val="0F172A"/>
          <w:sz w:val="22"/>
          <w:szCs w:val="22"/>
        </w:rPr>
        <w:t xml:space="preserve">Technologies</w:t>
      </w:r>
      <w:r>
        <w:rPr>
          <w:rFonts w:ascii="Calibri" w:cs="Calibri" w:eastAsia="Calibri" w:hAnsi="Calibri"/>
          <w:color w:val="1E293B"/>
          <w:sz w:val="22"/>
          <w:szCs w:val="22"/>
        </w:rPr>
        <w:t xml:space="preserve"> — SIEM (Splunk, Microsoft Sentinel), SAST/DAST tools, CrowdStrike, Palo Alto, Zero Trust frameworks</w:t>
      </w:r>
    </w:p>
    <w:p>
      <w:pPr>
        <w:pStyle w:val="ListParagraph"/>
        <w:numPr>
          <w:ilvl w:val="0"/>
          <w:numId w:val="2"/>
        </w:numPr>
        <w:spacing w:after="60" w:before="60"/>
      </w:pPr>
      <w:r>
        <w:rPr>
          <w:rFonts w:ascii="Calibri" w:cs="Calibri" w:eastAsia="Calibri" w:hAnsi="Calibri"/>
          <w:b/>
          <w:bCs/>
          <w:color w:val="0F172A"/>
          <w:sz w:val="22"/>
          <w:szCs w:val="22"/>
        </w:rPr>
        <w:t xml:space="preserve">Regulatory Expertise</w:t>
      </w:r>
      <w:r>
        <w:rPr>
          <w:rFonts w:ascii="Calibri" w:cs="Calibri" w:eastAsia="Calibri" w:hAnsi="Calibri"/>
          <w:color w:val="1E293B"/>
          <w:sz w:val="22"/>
          <w:szCs w:val="22"/>
        </w:rPr>
        <w:t xml:space="preserve"> — HIPAA, HITECH, NIST 800-53, SOC 2, FedRAMP, PCI-DSS</w:t>
      </w:r>
    </w:p>
    <w:p>
      <w:pPr>
        <w:pStyle w:val="ListParagraph"/>
        <w:numPr>
          <w:ilvl w:val="0"/>
          <w:numId w:val="2"/>
        </w:numPr>
        <w:spacing w:after="60" w:before="60"/>
      </w:pPr>
      <w:r>
        <w:rPr>
          <w:rFonts w:ascii="Calibri" w:cs="Calibri" w:eastAsia="Calibri" w:hAnsi="Calibri"/>
          <w:b/>
          <w:bCs/>
          <w:color w:val="0F172A"/>
          <w:sz w:val="22"/>
          <w:szCs w:val="22"/>
        </w:rPr>
        <w:t xml:space="preserve">Use Cases</w:t>
      </w:r>
      <w:r>
        <w:rPr>
          <w:rFonts w:ascii="Calibri" w:cs="Calibri" w:eastAsia="Calibri" w:hAnsi="Calibri"/>
          <w:color w:val="1E293B"/>
          <w:sz w:val="22"/>
          <w:szCs w:val="22"/>
        </w:rPr>
        <w:t xml:space="preserve"> — Security operations, vulnerability management, PHI/PII data protection, identity and access management</w:t>
      </w:r>
    </w:p>
    <w:p>
      <w:pPr>
        <w:spacing w:after="60" w:before="0"/>
      </w:pPr>
    </w:p>
    <w:p>
      <w:pPr>
        <w:pStyle w:val="Heading2"/>
        <w:spacing w:after="80" w:before="240"/>
      </w:pPr>
      <w:r>
        <w:rPr>
          <w:rFonts w:ascii="Calibri" w:cs="Calibri" w:eastAsia="Calibri" w:hAnsi="Calibri"/>
          <w:b/>
          <w:bCs/>
          <w:color w:val="1E3A5F"/>
          <w:sz w:val="24"/>
          <w:szCs w:val="24"/>
        </w:rPr>
        <w:t xml:space="preserve">2.5  Software Engineering</w:t>
      </w:r>
    </w:p>
    <w:p>
      <w:pPr>
        <w:pStyle w:val="ListParagraph"/>
        <w:numPr>
          <w:ilvl w:val="0"/>
          <w:numId w:val="2"/>
        </w:numPr>
        <w:spacing w:after="60" w:before="60"/>
      </w:pPr>
      <w:r>
        <w:rPr>
          <w:rFonts w:ascii="Calibri" w:cs="Calibri" w:eastAsia="Calibri" w:hAnsi="Calibri"/>
          <w:b/>
          <w:bCs/>
          <w:color w:val="0F172A"/>
          <w:sz w:val="22"/>
          <w:szCs w:val="22"/>
        </w:rPr>
        <w:t xml:space="preserve">Roles</w:t>
      </w:r>
      <w:r>
        <w:rPr>
          <w:rFonts w:ascii="Calibri" w:cs="Calibri" w:eastAsia="Calibri" w:hAnsi="Calibri"/>
          <w:color w:val="1E293B"/>
          <w:sz w:val="22"/>
          <w:szCs w:val="22"/>
        </w:rPr>
        <w:t xml:space="preserve"> — Full Stack Engineers, Backend Engineers, Frontend Engineers, API Developers, DevOps/SRE Engineers</w:t>
      </w:r>
    </w:p>
    <w:p>
      <w:pPr>
        <w:pStyle w:val="ListParagraph"/>
        <w:numPr>
          <w:ilvl w:val="0"/>
          <w:numId w:val="2"/>
        </w:numPr>
        <w:spacing w:after="60" w:before="60"/>
      </w:pPr>
      <w:r>
        <w:rPr>
          <w:rFonts w:ascii="Calibri" w:cs="Calibri" w:eastAsia="Calibri" w:hAnsi="Calibri"/>
          <w:b/>
          <w:bCs/>
          <w:color w:val="0F172A"/>
          <w:sz w:val="22"/>
          <w:szCs w:val="22"/>
        </w:rPr>
        <w:t xml:space="preserve">Technologies</w:t>
      </w:r>
      <w:r>
        <w:rPr>
          <w:rFonts w:ascii="Calibri" w:cs="Calibri" w:eastAsia="Calibri" w:hAnsi="Calibri"/>
          <w:color w:val="1E293B"/>
          <w:sz w:val="22"/>
          <w:szCs w:val="22"/>
        </w:rPr>
        <w:t xml:space="preserve"> — Java, Python, Node.js, React, Angular, .NET, Spring Boot, REST/GraphQL APIs, Kubernetes, Terraform, CI/CD</w:t>
      </w:r>
    </w:p>
    <w:p>
      <w:pPr>
        <w:pStyle w:val="ListParagraph"/>
        <w:numPr>
          <w:ilvl w:val="0"/>
          <w:numId w:val="2"/>
        </w:numPr>
        <w:spacing w:after="60" w:before="60"/>
      </w:pPr>
      <w:r>
        <w:rPr>
          <w:rFonts w:ascii="Calibri" w:cs="Calibri" w:eastAsia="Calibri" w:hAnsi="Calibri"/>
          <w:b/>
          <w:bCs/>
          <w:color w:val="0F172A"/>
          <w:sz w:val="22"/>
          <w:szCs w:val="22"/>
        </w:rPr>
        <w:t xml:space="preserve">Use Cases</w:t>
      </w:r>
      <w:r>
        <w:rPr>
          <w:rFonts w:ascii="Calibri" w:cs="Calibri" w:eastAsia="Calibri" w:hAnsi="Calibri"/>
          <w:color w:val="1E293B"/>
          <w:sz w:val="22"/>
          <w:szCs w:val="22"/>
        </w:rPr>
        <w:t xml:space="preserve"> — Claims processing systems, member portals, provider portals, interoperability (FHIR/HL7), cloud migration</w:t>
      </w:r>
    </w:p>
    <w:p>
      <w:pPr>
        <w:spacing w:after="60" w:before="0"/>
      </w:pPr>
    </w:p>
    <w:p>
      <w:pPr>
        <w:pStyle w:val="Heading2"/>
        <w:spacing w:after="80" w:before="240"/>
      </w:pPr>
      <w:r>
        <w:rPr>
          <w:rFonts w:ascii="Calibri" w:cs="Calibri" w:eastAsia="Calibri" w:hAnsi="Calibri"/>
          <w:b/>
          <w:bCs/>
          <w:color w:val="1E3A5F"/>
          <w:sz w:val="24"/>
          <w:szCs w:val="24"/>
        </w:rPr>
        <w:t xml:space="preserve">2.6  Software Architecture</w:t>
      </w:r>
    </w:p>
    <w:p>
      <w:pPr>
        <w:pStyle w:val="ListParagraph"/>
        <w:numPr>
          <w:ilvl w:val="0"/>
          <w:numId w:val="2"/>
        </w:numPr>
        <w:spacing w:after="60" w:before="60"/>
      </w:pPr>
      <w:r>
        <w:rPr>
          <w:rFonts w:ascii="Calibri" w:cs="Calibri" w:eastAsia="Calibri" w:hAnsi="Calibri"/>
          <w:b/>
          <w:bCs/>
          <w:color w:val="0F172A"/>
          <w:sz w:val="22"/>
          <w:szCs w:val="22"/>
        </w:rPr>
        <w:t xml:space="preserve">Roles</w:t>
      </w:r>
      <w:r>
        <w:rPr>
          <w:rFonts w:ascii="Calibri" w:cs="Calibri" w:eastAsia="Calibri" w:hAnsi="Calibri"/>
          <w:color w:val="1E293B"/>
          <w:sz w:val="22"/>
          <w:szCs w:val="22"/>
        </w:rPr>
        <w:t xml:space="preserve"> — Enterprise Architects, Solution Architects, Cloud Architects, Integration Architects</w:t>
      </w:r>
    </w:p>
    <w:p>
      <w:pPr>
        <w:pStyle w:val="ListParagraph"/>
        <w:numPr>
          <w:ilvl w:val="0"/>
          <w:numId w:val="2"/>
        </w:numPr>
        <w:spacing w:after="60" w:before="60"/>
      </w:pPr>
      <w:r>
        <w:rPr>
          <w:rFonts w:ascii="Calibri" w:cs="Calibri" w:eastAsia="Calibri" w:hAnsi="Calibri"/>
          <w:b/>
          <w:bCs/>
          <w:color w:val="0F172A"/>
          <w:sz w:val="22"/>
          <w:szCs w:val="22"/>
        </w:rPr>
        <w:t xml:space="preserve">Technologies</w:t>
      </w:r>
      <w:r>
        <w:rPr>
          <w:rFonts w:ascii="Calibri" w:cs="Calibri" w:eastAsia="Calibri" w:hAnsi="Calibri"/>
          <w:color w:val="1E293B"/>
          <w:sz w:val="22"/>
          <w:szCs w:val="22"/>
        </w:rPr>
        <w:t xml:space="preserve"> — AWS, Azure, GCP, microservices, event-driven architecture, API gateway design, SOA</w:t>
      </w:r>
    </w:p>
    <w:p>
      <w:pPr>
        <w:pStyle w:val="ListParagraph"/>
        <w:numPr>
          <w:ilvl w:val="0"/>
          <w:numId w:val="2"/>
        </w:numPr>
        <w:spacing w:after="60" w:before="60"/>
      </w:pPr>
      <w:r>
        <w:rPr>
          <w:rFonts w:ascii="Calibri" w:cs="Calibri" w:eastAsia="Calibri" w:hAnsi="Calibri"/>
          <w:b/>
          <w:bCs/>
          <w:color w:val="0F172A"/>
          <w:sz w:val="22"/>
          <w:szCs w:val="22"/>
        </w:rPr>
        <w:t xml:space="preserve">Use Cases</w:t>
      </w:r>
      <w:r>
        <w:rPr>
          <w:rFonts w:ascii="Calibri" w:cs="Calibri" w:eastAsia="Calibri" w:hAnsi="Calibri"/>
          <w:color w:val="1E293B"/>
          <w:sz w:val="22"/>
          <w:szCs w:val="22"/>
        </w:rPr>
        <w:t xml:space="preserve"> — Core platform modernization, cloud-native transformation, enterprise integration strategy, scalability design</w:t>
      </w:r>
    </w:p>
    <w:p>
      <w:pPr>
        <w:spacing w:after="120" w:before="0"/>
      </w:pPr>
    </w:p>
    <w:p>
      <w:pPr>
        <w:pStyle w:val="Heading1"/>
        <w:pBdr>
          <w:bottom w:val="single" w:color="2563EB" w:sz="6" w:space="4"/>
        </w:pBdr>
        <w:spacing w:after="120" w:before="360"/>
      </w:pPr>
      <w:r>
        <w:rPr>
          <w:rFonts w:ascii="Calibri" w:cs="Calibri" w:eastAsia="Calibri" w:hAnsi="Calibri"/>
          <w:b/>
          <w:bCs/>
          <w:color w:val="0F172A"/>
          <w:sz w:val="28"/>
          <w:szCs w:val="28"/>
        </w:rPr>
        <w:t xml:space="preserve">3.  Insurance Domain Staffing  (Secondary — 20%)</w:t>
      </w:r>
    </w:p>
    <w:p>
      <w:pPr>
        <w:spacing w:after="80" w:before="80"/>
      </w:pPr>
      <w:r>
        <w:rPr>
          <w:rFonts w:ascii="Calibri" w:cs="Calibri" w:eastAsia="Calibri" w:hAnsi="Calibri"/>
          <w:color w:val="1E293B"/>
          <w:sz w:val="22"/>
          <w:szCs w:val="22"/>
        </w:rPr>
        <w:t xml:space="preserve">Complementing our IT capabilities, we place experienced non-IT professionals with deep insurance and healthcare domain knowledge:</w:t>
      </w:r>
    </w:p>
    <w:p>
      <w:pPr>
        <w:spacing w:after="60" w:before="0"/>
      </w:pPr>
    </w:p>
    <w:p>
      <w:pPr>
        <w:pStyle w:val="ListParagraph"/>
        <w:numPr>
          <w:ilvl w:val="0"/>
          <w:numId w:val="2"/>
        </w:numPr>
        <w:spacing w:after="60" w:before="60"/>
      </w:pPr>
      <w:r>
        <w:rPr>
          <w:rFonts w:ascii="Calibri" w:cs="Calibri" w:eastAsia="Calibri" w:hAnsi="Calibri"/>
          <w:b/>
          <w:bCs/>
          <w:color w:val="0F172A"/>
          <w:sz w:val="22"/>
          <w:szCs w:val="22"/>
        </w:rPr>
        <w:t xml:space="preserve">Healthcare/Insurance Business Analysts</w:t>
      </w:r>
      <w:r>
        <w:rPr>
          <w:rFonts w:ascii="Calibri" w:cs="Calibri" w:eastAsia="Calibri" w:hAnsi="Calibri"/>
          <w:color w:val="1E293B"/>
          <w:sz w:val="22"/>
          <w:szCs w:val="22"/>
        </w:rPr>
        <w:t xml:space="preserve"> — Requirements gathering, process improvement, system documentation</w:t>
      </w:r>
    </w:p>
    <w:p>
      <w:pPr>
        <w:pStyle w:val="ListParagraph"/>
        <w:numPr>
          <w:ilvl w:val="0"/>
          <w:numId w:val="2"/>
        </w:numPr>
        <w:spacing w:after="60" w:before="60"/>
      </w:pPr>
      <w:r>
        <w:rPr>
          <w:rFonts w:ascii="Calibri" w:cs="Calibri" w:eastAsia="Calibri" w:hAnsi="Calibri"/>
          <w:b/>
          <w:bCs/>
          <w:color w:val="0F172A"/>
          <w:sz w:val="22"/>
          <w:szCs w:val="22"/>
        </w:rPr>
        <w:t xml:space="preserve">Claims Analysts &amp; Adjusters</w:t>
      </w:r>
      <w:r>
        <w:rPr>
          <w:rFonts w:ascii="Calibri" w:cs="Calibri" w:eastAsia="Calibri" w:hAnsi="Calibri"/>
          <w:color w:val="1E293B"/>
          <w:sz w:val="22"/>
          <w:szCs w:val="22"/>
        </w:rPr>
        <w:t xml:space="preserve"> — Medical, dental, and vision claims review and adjudication</w:t>
      </w:r>
    </w:p>
    <w:p>
      <w:pPr>
        <w:pStyle w:val="ListParagraph"/>
        <w:numPr>
          <w:ilvl w:val="0"/>
          <w:numId w:val="2"/>
        </w:numPr>
        <w:spacing w:after="60" w:before="60"/>
      </w:pPr>
      <w:r>
        <w:rPr>
          <w:rFonts w:ascii="Calibri" w:cs="Calibri" w:eastAsia="Calibri" w:hAnsi="Calibri"/>
          <w:b/>
          <w:bCs/>
          <w:color w:val="0F172A"/>
          <w:sz w:val="22"/>
          <w:szCs w:val="22"/>
        </w:rPr>
        <w:t xml:space="preserve">Compliance &amp; Regulatory Analysts</w:t>
      </w:r>
      <w:r>
        <w:rPr>
          <w:rFonts w:ascii="Calibri" w:cs="Calibri" w:eastAsia="Calibri" w:hAnsi="Calibri"/>
          <w:color w:val="1E293B"/>
          <w:sz w:val="22"/>
          <w:szCs w:val="22"/>
        </w:rPr>
        <w:t xml:space="preserve"> — ACA, ERISA, Medicare/Medicaid, state insurance regulations</w:t>
      </w:r>
    </w:p>
    <w:p>
      <w:pPr>
        <w:pStyle w:val="ListParagraph"/>
        <w:numPr>
          <w:ilvl w:val="0"/>
          <w:numId w:val="2"/>
        </w:numPr>
        <w:spacing w:after="60" w:before="60"/>
      </w:pPr>
      <w:r>
        <w:rPr>
          <w:rFonts w:ascii="Calibri" w:cs="Calibri" w:eastAsia="Calibri" w:hAnsi="Calibri"/>
          <w:color w:val="1E293B"/>
          <w:sz w:val="22"/>
          <w:szCs w:val="22"/>
        </w:rPr>
        <w:t xml:space="preserve">Utilization Management / Care Management Coordinators</w:t>
      </w:r>
    </w:p>
    <w:p>
      <w:pPr>
        <w:pStyle w:val="ListParagraph"/>
        <w:numPr>
          <w:ilvl w:val="0"/>
          <w:numId w:val="2"/>
        </w:numPr>
        <w:spacing w:after="60" w:before="60"/>
      </w:pPr>
      <w:r>
        <w:rPr>
          <w:rFonts w:ascii="Calibri" w:cs="Calibri" w:eastAsia="Calibri" w:hAnsi="Calibri"/>
          <w:b/>
          <w:bCs/>
          <w:color w:val="0F172A"/>
          <w:sz w:val="22"/>
          <w:szCs w:val="22"/>
        </w:rPr>
        <w:t xml:space="preserve">Health Informatics Specialists</w:t>
      </w:r>
      <w:r>
        <w:rPr>
          <w:rFonts w:ascii="Calibri" w:cs="Calibri" w:eastAsia="Calibri" w:hAnsi="Calibri"/>
          <w:color w:val="1E293B"/>
          <w:sz w:val="22"/>
          <w:szCs w:val="22"/>
        </w:rPr>
        <w:t xml:space="preserve"> — Clinical coding (ICD-10, CPT, HCPCS), medical records management</w:t>
      </w:r>
    </w:p>
    <w:p>
      <w:pPr>
        <w:pStyle w:val="ListParagraph"/>
        <w:numPr>
          <w:ilvl w:val="0"/>
          <w:numId w:val="2"/>
        </w:numPr>
        <w:spacing w:after="60" w:before="60"/>
      </w:pPr>
      <w:r>
        <w:rPr>
          <w:rFonts w:ascii="Calibri" w:cs="Calibri" w:eastAsia="Calibri" w:hAnsi="Calibri"/>
          <w:b/>
          <w:bCs/>
          <w:color w:val="0F172A"/>
          <w:sz w:val="22"/>
          <w:szCs w:val="22"/>
        </w:rPr>
        <w:t xml:space="preserve">Project Managers (PMPs)</w:t>
      </w:r>
      <w:r>
        <w:rPr>
          <w:rFonts w:ascii="Calibri" w:cs="Calibri" w:eastAsia="Calibri" w:hAnsi="Calibri"/>
          <w:color w:val="1E293B"/>
          <w:sz w:val="22"/>
          <w:szCs w:val="22"/>
        </w:rPr>
        <w:t xml:space="preserve"> — Healthcare IT implementations, go-live support, vendor management</w:t>
      </w:r>
    </w:p>
    <w:p>
      <w:pPr>
        <w:spacing w:after="120" w:before="0"/>
      </w:pPr>
    </w:p>
    <w:p>
      <w:pPr>
        <w:pStyle w:val="Heading1"/>
        <w:pBdr>
          <w:bottom w:val="single" w:color="2563EB" w:sz="6" w:space="4"/>
        </w:pBdr>
        <w:spacing w:after="120" w:before="360"/>
      </w:pPr>
      <w:r>
        <w:rPr>
          <w:rFonts w:ascii="Calibri" w:cs="Calibri" w:eastAsia="Calibri" w:hAnsi="Calibri"/>
          <w:b/>
          <w:bCs/>
          <w:color w:val="0F172A"/>
          <w:sz w:val="28"/>
          <w:szCs w:val="28"/>
        </w:rPr>
        <w:t xml:space="preserve">4.  Technical Expertise Summary</w:t>
      </w:r>
    </w:p>
    <w:p>
      <w:pPr>
        <w:spacing w:after="80" w:before="80"/>
      </w:pPr>
      <w:r>
        <w:rPr>
          <w:rFonts w:ascii="Calibri" w:cs="Calibri" w:eastAsia="Calibri" w:hAnsi="Calibri"/>
          <w:color w:val="1E293B"/>
          <w:sz w:val="22"/>
          <w:szCs w:val="22"/>
        </w:rPr>
        <w:t xml:space="preserve">The table below summarizes our staffing competencies across all seven practice areas: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Domain</w:t>
            </w:r>
          </w:p>
        </w:tc>
        <w:tc>
          <w:tcPr>
            <w:tcW w:type="dxa" w:w="38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Key Technologies &amp; Skills</w:t>
            </w:r>
          </w:p>
        </w:tc>
        <w:tc>
          <w:tcPr>
            <w:tcW w:type="dxa" w:w="29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Healthcare / Insurance Applications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Calibri" w:cs="Calibri" w:eastAsia="Calibri" w:hAnsi="Calibri"/>
                <w:color w:val="1E293B"/>
                <w:sz w:val="20"/>
                <w:szCs w:val="20"/>
              </w:rPr>
              <w:t xml:space="preserve">Data Engineering</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Calibri" w:cs="Calibri" w:eastAsia="Calibri" w:hAnsi="Calibri"/>
                <w:color w:val="1E293B"/>
                <w:sz w:val="20"/>
                <w:szCs w:val="20"/>
              </w:rPr>
              <w:t xml:space="preserve">Apache Spark, Kafka, Airflow, dbt, Snowflake, AWS Glue, Azure Data Factory, Databricks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Calibri" w:cs="Calibri" w:eastAsia="Calibri" w:hAnsi="Calibri"/>
                <w:color w:val="1E293B"/>
                <w:sz w:val="20"/>
                <w:szCs w:val="20"/>
              </w:rPr>
              <w:t xml:space="preserve">Claims pipelines, EDI 837/835, FHIR data lakes, member data integration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Calibri" w:cs="Calibri" w:eastAsia="Calibri" w:hAnsi="Calibri"/>
                <w:color w:val="1E293B"/>
                <w:sz w:val="20"/>
                <w:szCs w:val="20"/>
              </w:rPr>
              <w:t xml:space="preserve">Data Science &amp; Analytics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Calibri" w:cs="Calibri" w:eastAsia="Calibri" w:hAnsi="Calibri"/>
                <w:color w:val="1E293B"/>
                <w:sz w:val="20"/>
                <w:szCs w:val="20"/>
              </w:rPr>
              <w:t xml:space="preserve">Python, R, SQL, Tableau, Power BI, SAS, scikit-learn, TensorFlow</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Calibri" w:cs="Calibri" w:eastAsia="Calibri" w:hAnsi="Calibri"/>
                <w:color w:val="1E293B"/>
                <w:sz w:val="20"/>
                <w:szCs w:val="20"/>
              </w:rPr>
              <w:t xml:space="preserve">Risk modeling, fraud detection, actuarial analytics, member churn analysis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Calibri" w:cs="Calibri" w:eastAsia="Calibri" w:hAnsi="Calibri"/>
                <w:color w:val="1E293B"/>
                <w:sz w:val="20"/>
                <w:szCs w:val="20"/>
              </w:rPr>
              <w:t xml:space="preserve">AI / Machine Learning</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Calibri" w:cs="Calibri" w:eastAsia="Calibri" w:hAnsi="Calibri"/>
                <w:color w:val="1E293B"/>
                <w:sz w:val="20"/>
                <w:szCs w:val="20"/>
              </w:rPr>
              <w:t xml:space="preserve">PyTorch, Hugging Face, LangChain, AWS SageMaker, Azure ML, OpenAI APIs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Calibri" w:cs="Calibri" w:eastAsia="Calibri" w:hAnsi="Calibri"/>
                <w:color w:val="1E293B"/>
                <w:sz w:val="20"/>
                <w:szCs w:val="20"/>
              </w:rPr>
              <w:t xml:space="preserve">Claims adjudication AI, prior auth, clinical NLP, member chatbots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Calibri" w:cs="Calibri" w:eastAsia="Calibri" w:hAnsi="Calibri"/>
                <w:color w:val="1E293B"/>
                <w:sz w:val="20"/>
                <w:szCs w:val="20"/>
              </w:rPr>
              <w:t xml:space="preserve">Cybersecurity Engineering</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Calibri" w:cs="Calibri" w:eastAsia="Calibri" w:hAnsi="Calibri"/>
                <w:color w:val="1E293B"/>
                <w:sz w:val="20"/>
                <w:szCs w:val="20"/>
              </w:rPr>
              <w:t xml:space="preserve">Splunk, MS Sentinel, CrowdStrike, Palo Alto, Zero Trust, NIST 800-53</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Calibri" w:cs="Calibri" w:eastAsia="Calibri" w:hAnsi="Calibri"/>
                <w:color w:val="1E293B"/>
                <w:sz w:val="20"/>
                <w:szCs w:val="20"/>
              </w:rPr>
              <w:t xml:space="preserve">PHI/PII protection, SOC operations, IAM, HIPAA/HITECH compliance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Calibri" w:cs="Calibri" w:eastAsia="Calibri" w:hAnsi="Calibri"/>
                <w:color w:val="1E293B"/>
                <w:sz w:val="20"/>
                <w:szCs w:val="20"/>
              </w:rPr>
              <w:t xml:space="preserve">Software Engineering</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Calibri" w:cs="Calibri" w:eastAsia="Calibri" w:hAnsi="Calibri"/>
                <w:color w:val="1E293B"/>
                <w:sz w:val="20"/>
                <w:szCs w:val="20"/>
              </w:rPr>
              <w:t xml:space="preserve">Java, Python, Node.js, React, .NET, Kubernetes, Terraform, FHIR/HL7 APIs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Calibri" w:cs="Calibri" w:eastAsia="Calibri" w:hAnsi="Calibri"/>
                <w:color w:val="1E293B"/>
                <w:sz w:val="20"/>
                <w:szCs w:val="20"/>
              </w:rPr>
              <w:t xml:space="preserve">Claims systems, member/provider portals, cloud migration, interoperability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Calibri" w:cs="Calibri" w:eastAsia="Calibri" w:hAnsi="Calibri"/>
                <w:color w:val="1E293B"/>
                <w:sz w:val="20"/>
                <w:szCs w:val="20"/>
              </w:rPr>
              <w:t xml:space="preserve">Software Architecture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Calibri" w:cs="Calibri" w:eastAsia="Calibri" w:hAnsi="Calibri"/>
                <w:color w:val="1E293B"/>
                <w:sz w:val="20"/>
                <w:szCs w:val="20"/>
              </w:rPr>
              <w:t xml:space="preserve">AWS, Azure, GCP, microservices, event-driven arch, API gateways, SOA</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Calibri" w:cs="Calibri" w:eastAsia="Calibri" w:hAnsi="Calibri"/>
                <w:color w:val="1E293B"/>
                <w:sz w:val="20"/>
                <w:szCs w:val="20"/>
              </w:rPr>
              <w:t xml:space="preserve">Platform modernization, cloud-native transformation, enterprise integration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Calibri" w:cs="Calibri" w:eastAsia="Calibri" w:hAnsi="Calibri"/>
                <w:color w:val="1E293B"/>
                <w:sz w:val="20"/>
                <w:szCs w:val="20"/>
              </w:rPr>
              <w:t xml:space="preserve">Insurance Domain (Non-IT)</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Calibri" w:cs="Calibri" w:eastAsia="Calibri" w:hAnsi="Calibri"/>
                <w:color w:val="1E293B"/>
                <w:sz w:val="20"/>
                <w:szCs w:val="20"/>
              </w:rPr>
              <w:t xml:space="preserve">ICD-10, CPT, HCPCS, ACA, ERISA, Medicare/Medicaid, UM/CM workflows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Calibri" w:cs="Calibri" w:eastAsia="Calibri" w:hAnsi="Calibri"/>
                <w:color w:val="1E293B"/>
                <w:sz w:val="20"/>
                <w:szCs w:val="20"/>
              </w:rPr>
              <w:t xml:space="preserve">Claims adjudication, compliance audits, care management, health informatics</w:t>
            </w:r>
          </w:p>
        </w:tc>
      </w:tr>
    </w:tbl>
    <w:p>
      <w:pPr>
        <w:spacing w:after="120" w:before="0"/>
      </w:pPr>
    </w:p>
    <w:p>
      <w:pPr>
        <w:pStyle w:val="Heading1"/>
        <w:pBdr>
          <w:bottom w:val="single" w:color="2563EB" w:sz="6" w:space="4"/>
        </w:pBdr>
        <w:spacing w:after="120" w:before="360"/>
      </w:pPr>
      <w:r>
        <w:rPr>
          <w:rFonts w:ascii="Calibri" w:cs="Calibri" w:eastAsia="Calibri" w:hAnsi="Calibri"/>
          <w:b/>
          <w:bCs/>
          <w:color w:val="0F172A"/>
          <w:sz w:val="28"/>
          <w:szCs w:val="28"/>
        </w:rPr>
        <w:t xml:space="preserve">5.  Staffing Service Delivery Model</w:t>
      </w:r>
    </w:p>
    <w:p>
      <w:pPr>
        <w:spacing w:after="80" w:before="80"/>
      </w:pPr>
      <w:r>
        <w:rPr>
          <w:rFonts w:ascii="Calibri" w:cs="Calibri" w:eastAsia="Calibri" w:hAnsi="Calibri"/>
          <w:b/>
          <w:bCs/>
          <w:color w:val="0F172A"/>
          <w:sz w:val="22"/>
          <w:szCs w:val="22"/>
        </w:rPr>
        <w:t xml:space="preserve">Engagement Types: </w:t>
      </w:r>
      <w:r>
        <w:rPr>
          <w:rFonts w:ascii="Calibri" w:cs="Calibri" w:eastAsia="Calibri" w:hAnsi="Calibri"/>
          <w:color w:val="1E293B"/>
          <w:sz w:val="22"/>
          <w:szCs w:val="22"/>
        </w:rPr>
        <w:t xml:space="preserve">Contract, Contract-to-Hire, Direct Placement, Staff Augmentation</w:t>
      </w:r>
    </w:p>
    <w:p>
      <w:pPr>
        <w:spacing w:after="30" w:before="0"/>
      </w:pPr>
    </w:p>
    <w:p>
      <w:pPr>
        <w:spacing w:after="80" w:before="80"/>
      </w:pPr>
      <w:r>
        <w:rPr>
          <w:rFonts w:ascii="Calibri" w:cs="Calibri" w:eastAsia="Calibri" w:hAnsi="Calibri"/>
          <w:b/>
          <w:bCs/>
          <w:color w:val="0F172A"/>
          <w:sz w:val="22"/>
          <w:szCs w:val="22"/>
        </w:rPr>
        <w:t xml:space="preserve">Sourcing Methodology: </w:t>
      </w:r>
      <w:r>
        <w:rPr>
          <w:rFonts w:ascii="Calibri" w:cs="Calibri" w:eastAsia="Calibri" w:hAnsi="Calibri"/>
          <w:color w:val="1E293B"/>
          <w:sz w:val="22"/>
          <w:szCs w:val="22"/>
        </w:rPr>
        <w:t xml:space="preserve">Active talent pipeline, passive candidate engagement, technical screening, behavioral assessment</w:t>
      </w:r>
    </w:p>
    <w:p>
      <w:pPr>
        <w:spacing w:after="30" w:before="0"/>
      </w:pPr>
    </w:p>
    <w:p>
      <w:pPr>
        <w:spacing w:after="80" w:before="80"/>
      </w:pPr>
      <w:r>
        <w:rPr>
          <w:rFonts w:ascii="Calibri" w:cs="Calibri" w:eastAsia="Calibri" w:hAnsi="Calibri"/>
          <w:b/>
          <w:bCs/>
          <w:color w:val="1E293B"/>
          <w:sz w:val="22"/>
          <w:szCs w:val="22"/>
        </w:rPr>
        <w:t xml:space="preserve">Vetting Process:</w:t>
      </w:r>
    </w:p>
    <w:p>
      <w:pPr>
        <w:pStyle w:val="ListParagraph"/>
        <w:numPr>
          <w:ilvl w:val="0"/>
          <w:numId w:val="2"/>
        </w:numPr>
        <w:spacing w:after="60" w:before="60"/>
      </w:pPr>
      <w:r>
        <w:rPr>
          <w:rFonts w:ascii="Calibri" w:cs="Calibri" w:eastAsia="Calibri" w:hAnsi="Calibri"/>
          <w:color w:val="1E293B"/>
          <w:sz w:val="22"/>
          <w:szCs w:val="22"/>
        </w:rPr>
        <w:t xml:space="preserve">Technical skills assessment</w:t>
      </w:r>
    </w:p>
    <w:p>
      <w:pPr>
        <w:pStyle w:val="ListParagraph"/>
        <w:numPr>
          <w:ilvl w:val="0"/>
          <w:numId w:val="2"/>
        </w:numPr>
        <w:spacing w:after="60" w:before="60"/>
      </w:pPr>
      <w:r>
        <w:rPr>
          <w:rFonts w:ascii="Calibri" w:cs="Calibri" w:eastAsia="Calibri" w:hAnsi="Calibri"/>
          <w:color w:val="1E293B"/>
          <w:sz w:val="22"/>
          <w:szCs w:val="22"/>
        </w:rPr>
        <w:t xml:space="preserve">Background verification</w:t>
      </w:r>
    </w:p>
    <w:p>
      <w:pPr>
        <w:pStyle w:val="ListParagraph"/>
        <w:numPr>
          <w:ilvl w:val="0"/>
          <w:numId w:val="2"/>
        </w:numPr>
        <w:spacing w:after="60" w:before="60"/>
      </w:pPr>
      <w:r>
        <w:rPr>
          <w:rFonts w:ascii="Calibri" w:cs="Calibri" w:eastAsia="Calibri" w:hAnsi="Calibri"/>
          <w:color w:val="1E293B"/>
          <w:sz w:val="22"/>
          <w:szCs w:val="22"/>
        </w:rPr>
        <w:t xml:space="preserve">Reference checks</w:t>
      </w:r>
    </w:p>
    <w:p>
      <w:pPr>
        <w:pStyle w:val="ListParagraph"/>
        <w:numPr>
          <w:ilvl w:val="0"/>
          <w:numId w:val="2"/>
        </w:numPr>
        <w:spacing w:after="60" w:before="60"/>
      </w:pPr>
      <w:r>
        <w:rPr>
          <w:rFonts w:ascii="Calibri" w:cs="Calibri" w:eastAsia="Calibri" w:hAnsi="Calibri"/>
          <w:color w:val="1E293B"/>
          <w:sz w:val="22"/>
          <w:szCs w:val="22"/>
        </w:rPr>
        <w:t xml:space="preserve">Compliance screening (drug test, I-9, E-Verify)</w:t>
      </w:r>
    </w:p>
    <w:p>
      <w:pPr>
        <w:spacing w:after="30" w:before="0"/>
      </w:pPr>
    </w:p>
    <w:p>
      <w:pPr>
        <w:spacing w:after="80" w:before="80"/>
      </w:pPr>
      <w:r>
        <w:rPr>
          <w:rFonts w:ascii="Calibri" w:cs="Calibri" w:eastAsia="Calibri" w:hAnsi="Calibri"/>
          <w:b/>
          <w:bCs/>
          <w:color w:val="0F172A"/>
          <w:sz w:val="22"/>
          <w:szCs w:val="22"/>
        </w:rPr>
        <w:t xml:space="preserve">Compliance Readiness: </w:t>
      </w:r>
      <w:r>
        <w:rPr>
          <w:rFonts w:ascii="Calibri" w:cs="Calibri" w:eastAsia="Calibri" w:hAnsi="Calibri"/>
          <w:color w:val="1E293B"/>
          <w:sz w:val="22"/>
          <w:szCs w:val="22"/>
        </w:rPr>
        <w:t xml:space="preserve">All placed professionals are onboarded with client-specific NDAs, HIPAA training, and security awareness training as required</w:t>
      </w:r>
    </w:p>
    <w:p>
      <w:pPr>
        <w:spacing w:after="30" w:before="0"/>
      </w:pPr>
    </w:p>
    <w:p>
      <w:pPr>
        <w:spacing w:after="80" w:before="80"/>
      </w:pPr>
      <w:r>
        <w:rPr>
          <w:rFonts w:ascii="Calibri" w:cs="Calibri" w:eastAsia="Calibri" w:hAnsi="Calibri"/>
          <w:b/>
          <w:bCs/>
          <w:color w:val="0F172A"/>
          <w:sz w:val="22"/>
          <w:szCs w:val="22"/>
        </w:rPr>
        <w:t xml:space="preserve">Time-to-Fill: </w:t>
      </w:r>
      <w:r>
        <w:rPr>
          <w:rFonts w:ascii="Calibri" w:cs="Calibri" w:eastAsia="Calibri" w:hAnsi="Calibri"/>
          <w:color w:val="1E293B"/>
          <w:sz w:val="22"/>
          <w:szCs w:val="22"/>
        </w:rPr>
        <w:t xml:space="preserve">Average 5–10 business days for contract roles; 15–20 business days for direct hire</w:t>
      </w:r>
    </w:p>
    <w:p>
      <w:pPr>
        <w:spacing w:after="120" w:before="0"/>
      </w:pPr>
    </w:p>
    <w:p>
      <w:pPr>
        <w:pStyle w:val="Heading1"/>
        <w:pBdr>
          <w:bottom w:val="single" w:color="2563EB" w:sz="6" w:space="4"/>
        </w:pBdr>
        <w:spacing w:after="120" w:before="360"/>
      </w:pPr>
      <w:r>
        <w:rPr>
          <w:rFonts w:ascii="Calibri" w:cs="Calibri" w:eastAsia="Calibri" w:hAnsi="Calibri"/>
          <w:b/>
          <w:bCs/>
          <w:color w:val="0F172A"/>
          <w:sz w:val="28"/>
          <w:szCs w:val="28"/>
        </w:rPr>
        <w:t xml:space="preserve">6.  Regulatory &amp; Compliance Posture</w:t>
      </w:r>
    </w:p>
    <w:p>
      <w:pPr>
        <w:pStyle w:val="ListParagraph"/>
        <w:numPr>
          <w:ilvl w:val="0"/>
          <w:numId w:val="2"/>
        </w:numPr>
        <w:spacing w:after="60" w:before="60"/>
      </w:pPr>
      <w:r>
        <w:rPr>
          <w:rFonts w:ascii="Calibri" w:cs="Calibri" w:eastAsia="Calibri" w:hAnsi="Calibri"/>
          <w:b/>
          <w:bCs/>
          <w:color w:val="0F172A"/>
          <w:sz w:val="22"/>
          <w:szCs w:val="22"/>
        </w:rPr>
        <w:t xml:space="preserve">HIPAA Compliance</w:t>
      </w:r>
      <w:r>
        <w:rPr>
          <w:rFonts w:ascii="Calibri" w:cs="Calibri" w:eastAsia="Calibri" w:hAnsi="Calibri"/>
          <w:color w:val="1E293B"/>
          <w:sz w:val="22"/>
          <w:szCs w:val="22"/>
        </w:rPr>
        <w:t xml:space="preserve"> — Business Associate Agreements (BAA) executed with all healthcare clients</w:t>
      </w:r>
    </w:p>
    <w:p>
      <w:pPr>
        <w:pStyle w:val="ListParagraph"/>
        <w:numPr>
          <w:ilvl w:val="0"/>
          <w:numId w:val="2"/>
        </w:numPr>
        <w:spacing w:after="60" w:before="60"/>
      </w:pPr>
      <w:r>
        <w:rPr>
          <w:rFonts w:ascii="Calibri" w:cs="Calibri" w:eastAsia="Calibri" w:hAnsi="Calibri"/>
          <w:b/>
          <w:bCs/>
          <w:color w:val="0F172A"/>
          <w:sz w:val="22"/>
          <w:szCs w:val="22"/>
        </w:rPr>
        <w:t xml:space="preserve">Equal Opportunity Employer</w:t>
      </w:r>
      <w:r>
        <w:rPr>
          <w:rFonts w:ascii="Calibri" w:cs="Calibri" w:eastAsia="Calibri" w:hAnsi="Calibri"/>
          <w:color w:val="1E293B"/>
          <w:sz w:val="22"/>
          <w:szCs w:val="22"/>
        </w:rPr>
        <w:t xml:space="preserve"> — Fully EEO and ADA compliant</w:t>
      </w:r>
    </w:p>
    <w:p>
      <w:pPr>
        <w:pStyle w:val="ListParagraph"/>
        <w:numPr>
          <w:ilvl w:val="0"/>
          <w:numId w:val="2"/>
        </w:numPr>
        <w:spacing w:after="60" w:before="60"/>
      </w:pPr>
      <w:r>
        <w:rPr>
          <w:rFonts w:ascii="Calibri" w:cs="Calibri" w:eastAsia="Calibri" w:hAnsi="Calibri"/>
          <w:b/>
          <w:bCs/>
          <w:color w:val="0F172A"/>
          <w:sz w:val="22"/>
          <w:szCs w:val="22"/>
        </w:rPr>
        <w:t xml:space="preserve">Employment Verification</w:t>
      </w:r>
      <w:r>
        <w:rPr>
          <w:rFonts w:ascii="Calibri" w:cs="Calibri" w:eastAsia="Calibri" w:hAnsi="Calibri"/>
          <w:color w:val="1E293B"/>
          <w:sz w:val="22"/>
          <w:szCs w:val="22"/>
        </w:rPr>
        <w:t xml:space="preserve"> — E-Verify enrolled; I-9 compliant for all placements</w:t>
      </w:r>
    </w:p>
    <w:p>
      <w:pPr>
        <w:pStyle w:val="ListParagraph"/>
        <w:numPr>
          <w:ilvl w:val="0"/>
          <w:numId w:val="2"/>
        </w:numPr>
        <w:spacing w:after="60" w:before="60"/>
      </w:pPr>
      <w:r>
        <w:rPr>
          <w:rFonts w:ascii="Calibri" w:cs="Calibri" w:eastAsia="Calibri" w:hAnsi="Calibri"/>
          <w:b/>
          <w:bCs/>
          <w:color w:val="0F172A"/>
          <w:sz w:val="22"/>
          <w:szCs w:val="22"/>
        </w:rPr>
        <w:t xml:space="preserve">Data Security</w:t>
      </w:r>
      <w:r>
        <w:rPr>
          <w:rFonts w:ascii="Calibri" w:cs="Calibri" w:eastAsia="Calibri" w:hAnsi="Calibri"/>
          <w:color w:val="1E293B"/>
          <w:sz w:val="22"/>
          <w:szCs w:val="22"/>
        </w:rPr>
        <w:t xml:space="preserve"> — Candidate PII handled in accordance with applicable data privacy laws (CCPA, state equivalents)</w:t>
      </w:r>
    </w:p>
    <w:p>
      <w:pPr>
        <w:pStyle w:val="ListParagraph"/>
        <w:numPr>
          <w:ilvl w:val="0"/>
          <w:numId w:val="2"/>
        </w:numPr>
        <w:spacing w:after="60" w:before="60"/>
      </w:pPr>
      <w:r>
        <w:rPr>
          <w:rFonts w:ascii="Calibri" w:cs="Calibri" w:eastAsia="Calibri" w:hAnsi="Calibri"/>
          <w:b/>
          <w:bCs/>
          <w:color w:val="0F172A"/>
          <w:sz w:val="22"/>
          <w:szCs w:val="22"/>
        </w:rPr>
        <w:t xml:space="preserve">Insurance Coverage</w:t>
      </w:r>
      <w:r>
        <w:rPr>
          <w:rFonts w:ascii="Calibri" w:cs="Calibri" w:eastAsia="Calibri" w:hAnsi="Calibri"/>
          <w:color w:val="1E293B"/>
          <w:sz w:val="22"/>
          <w:szCs w:val="22"/>
        </w:rPr>
        <w:t xml:space="preserve"> — General Liability, Professional Liability (E&amp;O), Workers’ Compensation — certificates available upon request</w:t>
      </w:r>
    </w:p>
    <w:p>
      <w:pPr>
        <w:spacing w:after="120" w:before="0"/>
      </w:pPr>
    </w:p>
    <w:p>
      <w:pPr>
        <w:pStyle w:val="Heading1"/>
        <w:pBdr>
          <w:bottom w:val="single" w:color="2563EB" w:sz="6" w:space="4"/>
        </w:pBdr>
        <w:spacing w:after="120" w:before="360"/>
      </w:pPr>
      <w:r>
        <w:rPr>
          <w:rFonts w:ascii="Calibri" w:cs="Calibri" w:eastAsia="Calibri" w:hAnsi="Calibri"/>
          <w:b/>
          <w:bCs/>
          <w:color w:val="0F172A"/>
          <w:sz w:val="28"/>
          <w:szCs w:val="28"/>
        </w:rPr>
        <w:t xml:space="preserve">7.  Why Zinoit Tech LLC for BCBSA</w:t>
      </w:r>
    </w:p>
    <w:p>
      <w:pPr>
        <w:pStyle w:val="ListParagraph"/>
        <w:numPr>
          <w:ilvl w:val="0"/>
          <w:numId w:val="2"/>
        </w:numPr>
        <w:spacing w:after="60" w:before="60"/>
      </w:pPr>
      <w:r>
        <w:rPr>
          <w:rFonts w:ascii="Calibri" w:cs="Calibri" w:eastAsia="Calibri" w:hAnsi="Calibri"/>
          <w:color w:val="1E293B"/>
          <w:sz w:val="22"/>
          <w:szCs w:val="22"/>
        </w:rPr>
        <w:t xml:space="preserve">Deep healthcare and insurance industry domain expertise combined with cutting-edge IT staffing capabilities</w:t>
      </w:r>
    </w:p>
    <w:p>
      <w:pPr>
        <w:pStyle w:val="ListParagraph"/>
        <w:numPr>
          <w:ilvl w:val="0"/>
          <w:numId w:val="2"/>
        </w:numPr>
        <w:spacing w:after="60" w:before="60"/>
      </w:pPr>
      <w:r>
        <w:rPr>
          <w:rFonts w:ascii="Calibri" w:cs="Calibri" w:eastAsia="Calibri" w:hAnsi="Calibri"/>
          <w:color w:val="1E293B"/>
          <w:sz w:val="22"/>
          <w:szCs w:val="22"/>
        </w:rPr>
        <w:t xml:space="preserve">Proven ability to place compliance-ready professionals with HIPAA, NIST, and SOC 2 familiarity</w:t>
      </w:r>
    </w:p>
    <w:p>
      <w:pPr>
        <w:pStyle w:val="ListParagraph"/>
        <w:numPr>
          <w:ilvl w:val="0"/>
          <w:numId w:val="2"/>
        </w:numPr>
        <w:spacing w:after="60" w:before="60"/>
      </w:pPr>
      <w:r>
        <w:rPr>
          <w:rFonts w:ascii="Calibri" w:cs="Calibri" w:eastAsia="Calibri" w:hAnsi="Calibri"/>
          <w:color w:val="1E293B"/>
          <w:sz w:val="22"/>
          <w:szCs w:val="22"/>
        </w:rPr>
        <w:t xml:space="preserve">Specialized talent pools in high-demand areas: AI/ML, Cybersecurity, Data Engineering</w:t>
      </w:r>
    </w:p>
    <w:p>
      <w:pPr>
        <w:pStyle w:val="ListParagraph"/>
        <w:numPr>
          <w:ilvl w:val="0"/>
          <w:numId w:val="2"/>
        </w:numPr>
        <w:spacing w:after="60" w:before="60"/>
      </w:pPr>
      <w:r>
        <w:rPr>
          <w:rFonts w:ascii="Calibri" w:cs="Calibri" w:eastAsia="Calibri" w:hAnsi="Calibri"/>
          <w:color w:val="1E293B"/>
          <w:sz w:val="22"/>
          <w:szCs w:val="22"/>
        </w:rPr>
        <w:t xml:space="preserve">Flexible engagement models tailored to project-based or long-term staffing needs</w:t>
      </w:r>
    </w:p>
    <w:p>
      <w:pPr>
        <w:pStyle w:val="ListParagraph"/>
        <w:numPr>
          <w:ilvl w:val="0"/>
          <w:numId w:val="2"/>
        </w:numPr>
        <w:spacing w:after="60" w:before="60"/>
      </w:pPr>
      <w:r>
        <w:rPr>
          <w:rFonts w:ascii="Calibri" w:cs="Calibri" w:eastAsia="Calibri" w:hAnsi="Calibri"/>
          <w:color w:val="1E293B"/>
          <w:sz w:val="22"/>
          <w:szCs w:val="22"/>
        </w:rPr>
        <w:t xml:space="preserve">Rapid response and short time-to-fill metrics to minimize operational downtime</w:t>
      </w:r>
    </w:p>
    <w:p>
      <w:pPr>
        <w:pStyle w:val="ListParagraph"/>
        <w:numPr>
          <w:ilvl w:val="0"/>
          <w:numId w:val="2"/>
        </w:numPr>
        <w:spacing w:after="60" w:before="60"/>
      </w:pPr>
      <w:r>
        <w:rPr>
          <w:rFonts w:ascii="Calibri" w:cs="Calibri" w:eastAsia="Calibri" w:hAnsi="Calibri"/>
          <w:color w:val="1E293B"/>
          <w:sz w:val="22"/>
          <w:szCs w:val="22"/>
        </w:rPr>
        <w:t xml:space="preserve">Committed to diversity, equity, and inclusion in all talent sourcing practices</w:t>
      </w:r>
    </w:p>
    <w:p>
      <w:pPr>
        <w:spacing w:after="120" w:before="0"/>
      </w:pPr>
    </w:p>
    <w:p>
      <w:pPr>
        <w:pStyle w:val="Heading1"/>
        <w:pBdr>
          <w:bottom w:val="single" w:color="2563EB" w:sz="6" w:space="4"/>
        </w:pBdr>
        <w:spacing w:after="120" w:before="360"/>
      </w:pPr>
      <w:r>
        <w:rPr>
          <w:rFonts w:ascii="Calibri" w:cs="Calibri" w:eastAsia="Calibri" w:hAnsi="Calibri"/>
          <w:b/>
          <w:bCs/>
          <w:color w:val="0F172A"/>
          <w:sz w:val="28"/>
          <w:szCs w:val="28"/>
        </w:rPr>
        <w:t xml:space="preserve">Closing Statement</w:t>
      </w:r>
    </w:p>
    <w:p>
      <w:pPr>
        <w:spacing w:after="80" w:before="80"/>
      </w:pPr>
      <w:r>
        <w:rPr>
          <w:rFonts w:ascii="Calibri" w:cs="Calibri" w:eastAsia="Calibri" w:hAnsi="Calibri"/>
          <w:color w:val="1E293B"/>
          <w:sz w:val="22"/>
          <w:szCs w:val="22"/>
        </w:rPr>
        <w:t xml:space="preserve">Zinoit Tech LLC looks forward to establishing a trusted, long-term partnership with Blue Cross Blue Shield Association. We are fully prepared to provide any additional documentation, certifications, references, or compliance materials required as part of the empanelment process.</w:t>
      </w:r>
    </w:p>
    <w:p>
      <w:pPr>
        <w:spacing w:after="60" w:before="0"/>
      </w:pPr>
    </w:p>
    <w:p>
      <w:pPr>
        <w:spacing w:after="80" w:before="80"/>
      </w:pPr>
      <w:r>
        <w:rPr>
          <w:rFonts w:ascii="Calibri" w:cs="Calibri" w:eastAsia="Calibri" w:hAnsi="Calibri"/>
          <w:color w:val="1E293B"/>
          <w:sz w:val="22"/>
          <w:szCs w:val="22"/>
        </w:rPr>
        <w:t xml:space="preserve">For any questions or follow-up, please contact:</w:t>
      </w:r>
    </w:p>
    <w:p>
      <w:pPr>
        <w:spacing w:after="60" w:before="0"/>
      </w:pPr>
    </w:p>
    <w:p>
      <w:pPr>
        <w:spacing w:after="80" w:before="80"/>
      </w:pPr>
      <w:r>
        <w:rPr>
          <w:rFonts w:ascii="Calibri" w:cs="Calibri" w:eastAsia="Calibri" w:hAnsi="Calibri"/>
          <w:b/>
          <w:bCs/>
          <w:color w:val="0F172A"/>
          <w:sz w:val="22"/>
          <w:szCs w:val="22"/>
        </w:rPr>
        <w:t xml:space="preserve">Company: </w:t>
      </w:r>
      <w:r>
        <w:rPr>
          <w:rFonts w:ascii="Calibri" w:cs="Calibri" w:eastAsia="Calibri" w:hAnsi="Calibri"/>
          <w:color w:val="1E293B"/>
          <w:sz w:val="22"/>
          <w:szCs w:val="22"/>
        </w:rPr>
        <w:t xml:space="preserve">Zinoit Tech LLC</w:t>
      </w:r>
    </w:p>
    <w:p>
      <w:pPr>
        <w:spacing w:after="80" w:before="80"/>
      </w:pPr>
      <w:r>
        <w:rPr>
          <w:rFonts w:ascii="Calibri" w:cs="Calibri" w:eastAsia="Calibri" w:hAnsi="Calibri"/>
          <w:b/>
          <w:bCs/>
          <w:color w:val="0F172A"/>
          <w:sz w:val="22"/>
          <w:szCs w:val="22"/>
        </w:rPr>
        <w:t xml:space="preserve">Contact Name: </w:t>
      </w:r>
      <w:r>
        <w:rPr>
          <w:rFonts w:ascii="Calibri" w:cs="Calibri" w:eastAsia="Calibri" w:hAnsi="Calibri"/>
          <w:color w:val="1E293B"/>
          <w:sz w:val="22"/>
          <w:szCs w:val="22"/>
        </w:rPr>
        <w:t xml:space="preserve">[To be filled by Zinoit]</w:t>
      </w:r>
    </w:p>
    <w:p>
      <w:pPr>
        <w:spacing w:after="80" w:before="80"/>
      </w:pPr>
      <w:r>
        <w:rPr>
          <w:rFonts w:ascii="Calibri" w:cs="Calibri" w:eastAsia="Calibri" w:hAnsi="Calibri"/>
          <w:b/>
          <w:bCs/>
          <w:color w:val="0F172A"/>
          <w:sz w:val="22"/>
          <w:szCs w:val="22"/>
        </w:rPr>
        <w:t xml:space="preserve">Email: </w:t>
      </w:r>
      <w:r>
        <w:rPr>
          <w:rFonts w:ascii="Calibri" w:cs="Calibri" w:eastAsia="Calibri" w:hAnsi="Calibri"/>
          <w:color w:val="1E293B"/>
          <w:sz w:val="22"/>
          <w:szCs w:val="22"/>
        </w:rPr>
        <w:t xml:space="preserve">[To be filled by Zinoit]</w:t>
      </w:r>
    </w:p>
    <w:p>
      <w:pPr>
        <w:spacing w:after="80" w:before="80"/>
      </w:pPr>
      <w:r>
        <w:rPr>
          <w:rFonts w:ascii="Calibri" w:cs="Calibri" w:eastAsia="Calibri" w:hAnsi="Calibri"/>
          <w:b/>
          <w:bCs/>
          <w:color w:val="0F172A"/>
          <w:sz w:val="22"/>
          <w:szCs w:val="22"/>
        </w:rPr>
        <w:t xml:space="preserve">Phone: </w:t>
      </w:r>
      <w:r>
        <w:rPr>
          <w:rFonts w:ascii="Calibri" w:cs="Calibri" w:eastAsia="Calibri" w:hAnsi="Calibri"/>
          <w:color w:val="1E293B"/>
          <w:sz w:val="22"/>
          <w:szCs w:val="22"/>
        </w:rPr>
        <w:t xml:space="preserve">[To be filled by Zinoit]</w:t>
      </w:r>
    </w:p>
    <w:p>
      <w:pPr>
        <w:spacing w:after="80" w:before="80"/>
      </w:pPr>
      <w:r>
        <w:rPr>
          <w:rFonts w:ascii="Calibri" w:cs="Calibri" w:eastAsia="Calibri" w:hAnsi="Calibri"/>
          <w:b/>
          <w:bCs/>
          <w:color w:val="0F172A"/>
          <w:sz w:val="22"/>
          <w:szCs w:val="22"/>
        </w:rPr>
        <w:t xml:space="preserve">Website: </w:t>
      </w:r>
      <w:r>
        <w:rPr>
          <w:rFonts w:ascii="Calibri" w:cs="Calibri" w:eastAsia="Calibri" w:hAnsi="Calibri"/>
          <w:color w:val="1E293B"/>
          <w:sz w:val="22"/>
          <w:szCs w:val="22"/>
        </w:rPr>
        <w:t xml:space="preserve">[To be filled by Zinoit]</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Calibri" w:cs="Calibri" w:eastAsia="Calibri" w:hAnsi="Calibri"/>
        <w:color w:val="94A3B8"/>
        <w:sz w:val="18"/>
        <w:szCs w:val="18"/>
      </w:rPr>
      <w:t xml:space="preserve">Page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of </w:t>
    </w:r>
    <w:r>
      <w:rPr>
        <w:rFonts w:ascii="Calibri" w:cs="Calibri" w:eastAsia="Calibri" w:hAnsi="Calibri"/>
        <w:color w:val="94A3B8"/>
        <w:sz w:val="18"/>
        <w:szCs w:val="18"/>
      </w:rPr>
      <w:fldChar w:fldCharType="begin"/>
      <w:instrText xml:space="preserve">NUMPAGES</w:instrText>
      <w:fldChar w:fldCharType="separate"/>
      <w:fldChar w:fldCharType="end"/>
    </w:r>
    <w:r>
      <w:rPr>
        <w:rFonts w:ascii="Calibri" w:cs="Calibri" w:eastAsia="Calibri" w:hAnsi="Calibri"/>
        <w:color w:val="94A3B8"/>
        <w:sz w:val="18"/>
        <w:szCs w:val="18"/>
      </w:rPr>
      <w:t xml:space="preserve">     |     Zinoit Tech LLC  |     BCBSA Vendor Empanelment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spacing w:after="0"/>
      <w:jc w:val="right"/>
    </w:pPr>
    <w:r>
      <w:rPr>
        <w:rFonts w:ascii="Calibri" w:cs="Calibri" w:eastAsia="Calibri" w:hAnsi="Calibri"/>
        <w:color w:val="64748B"/>
        <w:sz w:val="18"/>
        <w:szCs w:val="18"/>
      </w:rPr>
      <w:t xml:space="preserve">Zinoit Tech LLC  |  Confidential — Vendor Empanelment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0F172A"/>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2026-04-27T16:45:11.667Z</dcterms:created>
  <dcterms:modified xsi:type="dcterms:W3CDTF">2026-04-27T16:45:11.668Z</dcterms:modified>
</cp:coreProperties>
</file>

<file path=docProps/custom.xml><?xml version="1.0" encoding="utf-8"?>
<Properties xmlns="http://schemas.openxmlformats.org/officeDocument/2006/custom-properties" xmlns:vt="http://schemas.openxmlformats.org/officeDocument/2006/docPropsVTypes"/>
</file>