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Evolutionary Contradiction Networks: Achieving Full Closure in Propositional Logic Discovery and the Emergence of a Solving-Learning Gap</w:t>
      </w:r>
    </w:p>
    <w:p>
      <w:pPr>
        <w:spacing w:after="60"/>
        <w:jc w:val="center"/>
      </w:pPr>
      <w:r>
        <w:rPr>
          <w:rFonts w:ascii="Times New Roman" w:cs="Times New Roman" w:eastAsia="Times New Roman" w:hAnsi="Times New Roman"/>
          <w:sz w:val="24"/>
          <w:szCs w:val="24"/>
        </w:rPr>
        <w:t xml:space="preserve">Abhishek Srivastava</w:t>
      </w:r>
    </w:p>
    <w:p>
      <w:pPr>
        <w:spacing w:after="60"/>
        <w:jc w:val="center"/>
      </w:pPr>
      <w:r>
        <w:rPr>
          <w:rFonts w:ascii="Times New Roman" w:cs="Times New Roman" w:eastAsia="Times New Roman" w:hAnsi="Times New Roman"/>
          <w:i/>
          <w:iCs/>
          <w:color w:val="444444"/>
          <w:sz w:val="22"/>
          <w:szCs w:val="22"/>
        </w:rPr>
        <w:t xml:space="preserve">Independent Researcher</w:t>
      </w:r>
    </w:p>
    <w:p>
      <w:pPr>
        <w:spacing w:after="60"/>
        <w:jc w:val="center"/>
      </w:pPr>
      <w:r>
        <w:rPr>
          <w:rFonts w:ascii="Times New Roman" w:cs="Times New Roman" w:eastAsia="Times New Roman" w:hAnsi="Times New Roman"/>
          <w:color w:val="444444"/>
          <w:sz w:val="22"/>
          <w:szCs w:val="22"/>
        </w:rPr>
        <w:t xml:space="preserve">abhisri@gmail.com</w:t>
      </w:r>
    </w:p>
    <w:p>
      <w:pPr>
        <w:spacing w:after="240"/>
        <w:jc w:val="center"/>
      </w:pPr>
      <w:r>
        <w:rPr>
          <w:rFonts w:ascii="Times New Roman" w:cs="Times New Roman" w:eastAsia="Times New Roman" w:hAnsi="Times New Roman"/>
          <w:color w:val="444444"/>
          <w:sz w:val="22"/>
          <w:szCs w:val="22"/>
        </w:rPr>
        <w:t xml:space="preserve">May 2026</w:t>
      </w:r>
    </w:p>
    <w:p>
      <w:pPr>
        <w:spacing w:before="240" w:after="80"/>
      </w:pPr>
      <w:r>
        <w:rPr>
          <w:rFonts w:ascii="Times New Roman" w:cs="Times New Roman" w:eastAsia="Times New Roman" w:hAnsi="Times New Roman"/>
          <w:b/>
          <w:bCs/>
          <w:sz w:val="24"/>
          <w:szCs w:val="24"/>
        </w:rPr>
        <w:t xml:space="preserve">Abstract</w:t>
      </w:r>
    </w:p>
    <w:p>
      <w:pPr>
        <w:spacing w:after="120"/>
        <w:ind w:left="720" w:right="720"/>
        <w:jc w:val="both"/>
      </w:pPr>
      <w:r>
        <w:rPr>
          <w:rFonts w:ascii="Times New Roman" w:cs="Times New Roman" w:eastAsia="Times New Roman" w:hAnsi="Times New Roman"/>
          <w:b w:val="false"/>
          <w:bCs w:val="false"/>
          <w:i w:val="false"/>
          <w:iCs w:val="false"/>
          <w:sz w:val="22"/>
          <w:szCs w:val="22"/>
        </w:rPr>
        <w:t xml:space="preserve">This paper identifies and characterizes the </w:t>
      </w:r>
      <w:r>
        <w:rPr>
          <w:rFonts w:ascii="Times New Roman" w:cs="Times New Roman" w:eastAsia="Times New Roman" w:hAnsi="Times New Roman"/>
          <w:b/>
          <w:bCs/>
          <w:i w:val="false"/>
          <w:iCs w:val="false"/>
          <w:sz w:val="22"/>
          <w:szCs w:val="22"/>
        </w:rPr>
        <w:t xml:space="preserve">closure-vs-learning gap</w:t>
      </w:r>
      <w:r>
        <w:rPr>
          <w:rFonts w:ascii="Times New Roman" w:cs="Times New Roman" w:eastAsia="Times New Roman" w:hAnsi="Times New Roman"/>
          <w:b w:val="false"/>
          <w:bCs w:val="false"/>
          <w:i w:val="false"/>
          <w:iCs w:val="false"/>
          <w:sz w:val="22"/>
          <w:szCs w:val="22"/>
        </w:rPr>
        <w:t xml:space="preserve">, a structural property of automated reasoning architectures that combine constructive solvers with experience-based learning. We demonstrate the gap empirically using ECN, a propositional logic discovery engine that achieves 100% closure on a structured benchmark of 735 solvable problems while its learning subsystem shows zero measurable transfer effect (M7=neutral across 755 matched pairs, eight orthogonal metrics). The gap was not designed or anticipated; it emerged purely through rigorous matched-pair measurement, revealing that the mechanism responsible for full closure operates entirely independently of the learning pipeline. The system solves everything but learns nothing from its synthesis successes, not because learning fails, but because the solver never fails in ways that make learning necessary. This suggests the gap may be a latent property of other hybrid solving-learning architectures that has gone undetected due to insufficient evaluation methodology. We formalize the tension and identify three architectural conditions (observation, abstraction, utility) required to bridge it.</w:t>
      </w:r>
    </w:p>
    <w:p>
      <w:pPr>
        <w:spacing w:after="240"/>
        <w:ind w:left="720" w:right="72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automated reasoning, propositional logic, contradiction-driven evolution, learning gap, benchmark design, deterministic discovery</w:t>
      </w:r>
    </w:p>
    <w:p>
      <w:pPr>
        <w:pStyle w:val="Heading1"/>
        <w:keepNext/>
        <w:spacing w:before="360" w:after="160"/>
      </w:pPr>
      <w:r>
        <w:rPr>
          <w:rFonts w:ascii="Times New Roman" w:cs="Times New Roman" w:eastAsia="Times New Roman" w:hAnsi="Times New Roman"/>
          <w:b/>
          <w:bCs/>
          <w:sz w:val="28"/>
          <w:szCs w:val="28"/>
        </w:rPr>
        <w:t xml:space="preserve">1. Introduction</w:t>
      </w:r>
    </w:p>
    <w:p>
      <w:pPr>
        <w:spacing w:after="120" w:line="276"/>
        <w:ind/>
        <w:jc w:val="both"/>
      </w:pPr>
      <w:r>
        <w:rPr>
          <w:rFonts w:ascii="Times New Roman" w:cs="Times New Roman" w:eastAsia="Times New Roman" w:hAnsi="Times New Roman"/>
          <w:b w:val="false"/>
          <w:bCs w:val="false"/>
          <w:i w:val="false"/>
          <w:iCs w:val="false"/>
          <w:sz w:val="22"/>
          <w:szCs w:val="22"/>
        </w:rPr>
        <w:t xml:space="preserve">Automated theorem proving and logic discovery systems have traditionally been evaluated on completeness: whether a system can, in principle, derive all valid conclusions from a given axiom set. Less attention has been paid to whether such systems </w:t>
      </w:r>
      <w:r>
        <w:rPr>
          <w:rFonts w:ascii="Times New Roman" w:cs="Times New Roman" w:eastAsia="Times New Roman" w:hAnsi="Times New Roman"/>
          <w:b w:val="false"/>
          <w:bCs w:val="false"/>
          <w:i/>
          <w:iCs/>
          <w:sz w:val="22"/>
          <w:szCs w:val="22"/>
        </w:rPr>
        <w:t xml:space="preserve">learn</w:t>
      </w:r>
      <w:r>
        <w:rPr>
          <w:rFonts w:ascii="Times New Roman" w:cs="Times New Roman" w:eastAsia="Times New Roman" w:hAnsi="Times New Roman"/>
          <w:b w:val="false"/>
          <w:bCs w:val="false"/>
          <w:i w:val="false"/>
          <w:iCs w:val="false"/>
          <w:sz w:val="22"/>
          <w:szCs w:val="22"/>
        </w:rPr>
        <w:t xml:space="preserve"> from their successful derivations in ways that improve future performance. This paper presents a system that achieves the first property perfectly while revealing a fundamental tension with the second.</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The Evolutionary Contradiction Network (ECN) is an automated discovery engine for propositional logic that accepts a goal formula and a set of axioms, then attempts to construct a derivation through an evolutionary process driven by contradiction detection and resolution. Unlike traditional resolution-based provers that operate in refutation space, ECN works constructively: it builds derivations forward from axioms toward the goal, using contradiction signals to guide its search.</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Our evaluation uses a purpose-built benchmark derived from the LIMO methodology (Li et al., 2025), comprising 755 problem cells across five complexity tiers (L1–L5) and seven formula shape families (A–G), including 20 expected-unsolvable cells that test the system’s ability to correctly reject impossible goals. ECN achieves 100% solve rate on all 735 solvable cells and 100% correct rejection of all 20 unsolvable cells, with perfect cross-seed determinism (M5=100%) and zero oracle leaks (M6=0).</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However, the paper’s central contribution is not the closure result itself but rather the identification of what we term the </w:t>
      </w:r>
      <w:r>
        <w:rPr>
          <w:rFonts w:ascii="Times New Roman" w:cs="Times New Roman" w:eastAsia="Times New Roman" w:hAnsi="Times New Roman"/>
          <w:b/>
          <w:bCs/>
          <w:i w:val="false"/>
          <w:iCs w:val="false"/>
          <w:sz w:val="22"/>
          <w:szCs w:val="22"/>
        </w:rPr>
        <w:t xml:space="preserve">closure-vs-learning gap</w:t>
      </w:r>
      <w:r>
        <w:rPr>
          <w:rFonts w:ascii="Times New Roman" w:cs="Times New Roman" w:eastAsia="Times New Roman" w:hAnsi="Times New Roman"/>
          <w:b w:val="false"/>
          <w:bCs w:val="false"/>
          <w:i w:val="false"/>
          <w:iCs w:val="false"/>
          <w:sz w:val="22"/>
          <w:szCs w:val="22"/>
        </w:rPr>
        <w:t xml:space="preserve">. ECN includes a technique library, a learning subsystem that stores and retrieves successful derivation patterns for reuse. Our Tier B evaluation protocol measures whether a pre-warmed library (containing techniques learned from auxiliary problems) improves solve outcomes on the benchmark problems. The result is unambiguously neutral: across 755 matched pairs comparing empty-library and staged-library execution, zero additional problems are solved by the staged configuration (M7=neutral, 0 wins, 0 regressions).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We trace this gap to the structural synthesis mechanism that enables closure. This mechanism operates by direct structural analysis of the goal formula, bypassing the learning pipeline entirely. The result is a system where the component responsible for 100% closure is architecturally disconnected from the component responsible for learning, producing perfect capability without transferable experience.</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Crucially, this gap was not designed or anticipated. It emerged purely through measurement: our eight-metric evaluation framework detected it as an empirical property of the running system. This suggests it may be a latent feature of other hybrid solving-learning architectures that has gone undetected due to insufficient evaluation methodology. Any automated reasoning architecture that combines a powerful constructive solver with an experience-based learning mechanism faces the risk that the solver’s capability renders the learning mechanism observationally irrelevant, not because learning is impossible, but because the solver never fails in ways that would make learned knowledge necessary.</w:t>
      </w:r>
    </w:p>
    <w:p>
      <w:pPr>
        <w:pStyle w:val="Heading1"/>
        <w:keepNext/>
        <w:spacing w:before="360" w:after="160"/>
      </w:pPr>
      <w:r>
        <w:rPr>
          <w:rFonts w:ascii="Times New Roman" w:cs="Times New Roman" w:eastAsia="Times New Roman" w:hAnsi="Times New Roman"/>
          <w:b/>
          <w:bCs/>
          <w:sz w:val="28"/>
          <w:szCs w:val="28"/>
        </w:rPr>
        <w:t xml:space="preserve">2. Background and Related Work</w:t>
      </w:r>
    </w:p>
    <w:p>
      <w:pPr>
        <w:pStyle w:val="Heading2"/>
        <w:keepNext/>
        <w:spacing w:before="240" w:after="160"/>
      </w:pPr>
      <w:r>
        <w:rPr>
          <w:rFonts w:ascii="Times New Roman" w:cs="Times New Roman" w:eastAsia="Times New Roman" w:hAnsi="Times New Roman"/>
          <w:b/>
          <w:bCs/>
          <w:sz w:val="24"/>
          <w:szCs w:val="24"/>
        </w:rPr>
        <w:t xml:space="preserve">2.1 Automated Reasoning in Propositional Logic</w:t>
      </w:r>
    </w:p>
    <w:p>
      <w:pPr>
        <w:spacing w:after="120" w:line="276"/>
        <w:ind/>
        <w:jc w:val="both"/>
      </w:pPr>
      <w:r>
        <w:rPr>
          <w:rFonts w:ascii="Times New Roman" w:cs="Times New Roman" w:eastAsia="Times New Roman" w:hAnsi="Times New Roman"/>
          <w:b w:val="false"/>
          <w:bCs w:val="false"/>
          <w:i w:val="false"/>
          <w:iCs w:val="false"/>
          <w:sz w:val="22"/>
          <w:szCs w:val="22"/>
        </w:rPr>
        <w:t xml:space="preserve">Classical automated theorem provers for propositional logic, from Davis-Putnam-Logemann-Loveland (DPLL) to modern CDCL solvers, operate primarily in the satisfiability domain. These systems determine whether a formula is satisfiable but do not construct derivations that demonstrate </w:t>
      </w:r>
      <w:r>
        <w:rPr>
          <w:rFonts w:ascii="Times New Roman" w:cs="Times New Roman" w:eastAsia="Times New Roman" w:hAnsi="Times New Roman"/>
          <w:b w:val="false"/>
          <w:bCs w:val="false"/>
          <w:i/>
          <w:iCs/>
          <w:sz w:val="22"/>
          <w:szCs w:val="22"/>
        </w:rPr>
        <w:t xml:space="preserve">how</w:t>
      </w:r>
      <w:r>
        <w:rPr>
          <w:rFonts w:ascii="Times New Roman" w:cs="Times New Roman" w:eastAsia="Times New Roman" w:hAnsi="Times New Roman"/>
          <w:b w:val="false"/>
          <w:bCs w:val="false"/>
          <w:i w:val="false"/>
          <w:iCs w:val="false"/>
          <w:sz w:val="22"/>
          <w:szCs w:val="22"/>
        </w:rPr>
        <w:t xml:space="preserve"> a target formula follows from given axioms. Resolution-based methods (Robinson, 1965) and their extensions to multi-clause contradiction separation (Xu et al., 2025) work by refutation (assuming the negation of the goal and deriving contradiction) rather than by constructive forward derivation.</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ECN occupies a different niche: it is a </w:t>
      </w:r>
      <w:r>
        <w:rPr>
          <w:rFonts w:ascii="Times New Roman" w:cs="Times New Roman" w:eastAsia="Times New Roman" w:hAnsi="Times New Roman"/>
          <w:b w:val="false"/>
          <w:bCs w:val="false"/>
          <w:i/>
          <w:iCs/>
          <w:sz w:val="22"/>
          <w:szCs w:val="22"/>
        </w:rPr>
        <w:t xml:space="preserve">constructive discovery engine</w:t>
      </w:r>
      <w:r>
        <w:rPr>
          <w:rFonts w:ascii="Times New Roman" w:cs="Times New Roman" w:eastAsia="Times New Roman" w:hAnsi="Times New Roman"/>
          <w:b w:val="false"/>
          <w:bCs w:val="false"/>
          <w:i w:val="false"/>
          <w:iCs w:val="false"/>
          <w:sz w:val="22"/>
          <w:szCs w:val="22"/>
        </w:rPr>
        <w:t xml:space="preserve"> that builds derivation paths from axioms to goals using evolutionary search guided by contradiction signals. This positions it closer to program synthesis and inductive logic programming than to traditional SAT solving, though it operates entirely within propositional logic.</w:t>
      </w:r>
    </w:p>
    <w:p>
      <w:pPr>
        <w:pStyle w:val="Heading2"/>
        <w:keepNext/>
        <w:spacing w:before="240" w:after="160"/>
      </w:pPr>
      <w:r>
        <w:rPr>
          <w:rFonts w:ascii="Times New Roman" w:cs="Times New Roman" w:eastAsia="Times New Roman" w:hAnsi="Times New Roman"/>
          <w:b/>
          <w:bCs/>
          <w:sz w:val="24"/>
          <w:szCs w:val="24"/>
        </w:rPr>
        <w:t xml:space="preserve">2.2 Learning in Automated Reasoning Systems</w:t>
      </w:r>
    </w:p>
    <w:p>
      <w:pPr>
        <w:spacing w:after="120" w:line="276"/>
        <w:ind/>
        <w:jc w:val="both"/>
      </w:pPr>
      <w:r>
        <w:rPr>
          <w:rFonts w:ascii="Times New Roman" w:cs="Times New Roman" w:eastAsia="Times New Roman" w:hAnsi="Times New Roman"/>
          <w:b w:val="false"/>
          <w:bCs w:val="false"/>
          <w:i w:val="false"/>
          <w:iCs w:val="false"/>
          <w:sz w:val="22"/>
          <w:szCs w:val="22"/>
        </w:rPr>
        <w:t xml:space="preserve">The integration of learning mechanisms into reasoning systems has a substantial history. Clause learning in CDCL solvers (Marques-Silva and Sakallah, 1999) demonstrated that storing conflict-derived clauses dramatically improves solver performance. More recently, neural-guided theorem provers (Bansal et al., 2019; Polu and Sutskever, 2020) use learned value functions to guide proof search. In reinforcement learning, experience replay (Mnih et al., 2015) provides a mechanism for reusing past successful episodes.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These approaches share an assumption: that learning from successful problem-solving episodes will improve future performance. Our work identifies a condition under which this assumption fails, not due to a deficiency in the learning mechanism, but due to the structural properties of the solving mechanism that make learned knowledge unnecessary for achieving closure.</w:t>
      </w:r>
    </w:p>
    <w:p>
      <w:pPr>
        <w:pStyle w:val="Heading2"/>
        <w:keepNext/>
        <w:spacing w:before="240" w:after="160"/>
      </w:pPr>
      <w:r>
        <w:rPr>
          <w:rFonts w:ascii="Times New Roman" w:cs="Times New Roman" w:eastAsia="Times New Roman" w:hAnsi="Times New Roman"/>
          <w:b/>
          <w:bCs/>
          <w:sz w:val="24"/>
          <w:szCs w:val="24"/>
        </w:rPr>
        <w:t xml:space="preserve">2.3 Neurosymbolic Architectures and Novelty Handling</w:t>
      </w:r>
    </w:p>
    <w:p>
      <w:pPr>
        <w:spacing w:after="120" w:line="276"/>
        <w:ind/>
        <w:jc w:val="both"/>
      </w:pPr>
      <w:r>
        <w:rPr>
          <w:rFonts w:ascii="Times New Roman" w:cs="Times New Roman" w:eastAsia="Times New Roman" w:hAnsi="Times New Roman"/>
          <w:b w:val="false"/>
          <w:bCs w:val="false"/>
          <w:i w:val="false"/>
          <w:iCs w:val="false"/>
          <w:sz w:val="22"/>
          <w:szCs w:val="22"/>
        </w:rPr>
        <w:t xml:space="preserve">Recent work in neurosymbolic cognitive architectures has explored systems that combine symbolic planning with learned components for handling novel situations. Goel et al. (2024) present a framework combining symbolic inference, neural perception, and novelty exploration modules, evaluated on procedural game environments with injected novelties. Their work demonstrates that combining symbolic and learned components can produce interference effects where the combined system underperforms individual components on certain metrics, a finding that resonates with the architectural tension we identify, though in a different domain and at a different level of analysis.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Other relevant work includes LIMO (Li et al., 2025), which demonstrates that small amounts of high-quality mathematical reasoning data can elicit sophisticated problem-solving in language models, and whose benchmark methodology inspired our evaluation framework.</w:t>
      </w:r>
    </w:p>
    <w:p>
      <w:pPr>
        <w:pStyle w:val="Heading1"/>
        <w:keepNext/>
        <w:spacing w:before="360" w:after="160"/>
      </w:pPr>
      <w:r>
        <w:rPr>
          <w:rFonts w:ascii="Times New Roman" w:cs="Times New Roman" w:eastAsia="Times New Roman" w:hAnsi="Times New Roman"/>
          <w:b/>
          <w:bCs/>
          <w:sz w:val="28"/>
          <w:szCs w:val="28"/>
        </w:rPr>
        <w:t xml:space="preserve">3. System Architecture</w:t>
      </w:r>
    </w:p>
    <w:p>
      <w:pPr>
        <w:spacing w:after="120" w:line="276"/>
        <w:ind/>
        <w:jc w:val="both"/>
      </w:pPr>
      <w:r>
        <w:rPr>
          <w:rFonts w:ascii="Times New Roman" w:cs="Times New Roman" w:eastAsia="Times New Roman" w:hAnsi="Times New Roman"/>
          <w:b w:val="false"/>
          <w:bCs w:val="false"/>
          <w:i w:val="false"/>
          <w:iCs w:val="false"/>
          <w:sz w:val="22"/>
          <w:szCs w:val="22"/>
        </w:rPr>
        <w:t xml:space="preserve">ECN is implemented as a statically-typed module comprising approximately 4,200 lines of core logic. The system accepts a goal formula (propositional logic expression) and a set of axiom formulas, then searches for a constructive derivation path from axioms to goal.</w:t>
      </w:r>
    </w:p>
    <w:p>
      <w:pPr>
        <w:pStyle w:val="Heading2"/>
        <w:keepNext/>
        <w:spacing w:before="240" w:after="160"/>
      </w:pPr>
      <w:r>
        <w:rPr>
          <w:rFonts w:ascii="Times New Roman" w:cs="Times New Roman" w:eastAsia="Times New Roman" w:hAnsi="Times New Roman"/>
          <w:b/>
          <w:bCs/>
          <w:sz w:val="24"/>
          <w:szCs w:val="24"/>
        </w:rPr>
        <w:t xml:space="preserve">3.1 Three-Tier Derivation Mechanism</w:t>
      </w:r>
    </w:p>
    <w:p>
      <w:pPr>
        <w:spacing w:after="120" w:line="276"/>
        <w:ind/>
        <w:jc w:val="both"/>
      </w:pPr>
      <w:r>
        <w:rPr>
          <w:rFonts w:ascii="Times New Roman" w:cs="Times New Roman" w:eastAsia="Times New Roman" w:hAnsi="Times New Roman"/>
          <w:b w:val="false"/>
          <w:bCs w:val="false"/>
          <w:i w:val="false"/>
          <w:iCs w:val="false"/>
          <w:sz w:val="22"/>
          <w:szCs w:val="22"/>
        </w:rPr>
        <w:t xml:space="preserve">ECN’s derivation engine operates through three tiers, invoked in a fixed priority order:</w:t>
      </w:r>
    </w:p>
    <w:p>
      <w:pPr>
        <w:spacing w:after="120" w:line="276"/>
        <w:ind w:firstLine="360"/>
        <w:jc w:val="both"/>
      </w:pPr>
      <w:r>
        <w:rPr>
          <w:rFonts w:ascii="Times New Roman" w:cs="Times New Roman" w:eastAsia="Times New Roman" w:hAnsi="Times New Roman"/>
          <w:b/>
          <w:bCs/>
          <w:i w:val="false"/>
          <w:iCs w:val="false"/>
          <w:sz w:val="22"/>
          <w:szCs w:val="22"/>
        </w:rPr>
        <w:t xml:space="preserve">Tier 1: Forward Chain.</w:t>
      </w:r>
      <w:r>
        <w:rPr>
          <w:rFonts w:ascii="Times New Roman" w:cs="Times New Roman" w:eastAsia="Times New Roman" w:hAnsi="Times New Roman"/>
          <w:b w:val="false"/>
          <w:bCs w:val="false"/>
          <w:i w:val="false"/>
          <w:iCs w:val="false"/>
          <w:sz w:val="22"/>
          <w:szCs w:val="22"/>
        </w:rPr>
        <w:t xml:space="preserve"> The system applies known derivation rules (modus ponens, conjunction introduction/elimination, disjunction rules, etc.) to the available formula set, expanding the set of derived formulas. This tier operates within a bounded combination budget (configurable; default MAX_COMBOS=64) and terminates when the goal is found in the derived set, the budget is exhausted, or no new derivations are possible.</w:t>
      </w:r>
    </w:p>
    <w:p>
      <w:pPr>
        <w:spacing w:after="120" w:line="276"/>
        <w:ind w:firstLine="360"/>
        <w:jc w:val="both"/>
      </w:pPr>
      <w:r>
        <w:rPr>
          <w:rFonts w:ascii="Times New Roman" w:cs="Times New Roman" w:eastAsia="Times New Roman" w:hAnsi="Times New Roman"/>
          <w:b/>
          <w:bCs/>
          <w:i w:val="false"/>
          <w:iCs w:val="false"/>
          <w:sz w:val="22"/>
          <w:szCs w:val="22"/>
        </w:rPr>
        <w:t xml:space="preserve">Tier 2: Structural Synthesis.</w:t>
      </w:r>
      <w:r>
        <w:rPr>
          <w:rFonts w:ascii="Times New Roman" w:cs="Times New Roman" w:eastAsia="Times New Roman" w:hAnsi="Times New Roman"/>
          <w:b w:val="false"/>
          <w:bCs w:val="false"/>
          <w:i w:val="false"/>
          <w:iCs w:val="false"/>
          <w:sz w:val="22"/>
          <w:szCs w:val="22"/>
        </w:rPr>
        <w:t xml:space="preserve"> When forward chaining alone is insufficient, the system invokes a top-level synthesis mechanism that analyzes the goal formula’s structure and determines whether the goal can be assembled from available derived components. This tier performs a feasibility check: can the goal, given its logical structure, be constructed from what forward chaining has produced? If feasible, it emits the construction directly.</w:t>
      </w:r>
    </w:p>
    <w:p>
      <w:pPr>
        <w:spacing w:after="120" w:line="276"/>
        <w:ind w:firstLine="360"/>
        <w:jc w:val="both"/>
      </w:pPr>
      <w:r>
        <w:rPr>
          <w:rFonts w:ascii="Times New Roman" w:cs="Times New Roman" w:eastAsia="Times New Roman" w:hAnsi="Times New Roman"/>
          <w:b/>
          <w:bCs/>
          <w:i w:val="false"/>
          <w:iCs w:val="false"/>
          <w:sz w:val="22"/>
          <w:szCs w:val="22"/>
        </w:rPr>
        <w:t xml:space="preserve">Tier 3: Subgoal Extension.</w:t>
      </w:r>
      <w:r>
        <w:rPr>
          <w:rFonts w:ascii="Times New Roman" w:cs="Times New Roman" w:eastAsia="Times New Roman" w:hAnsi="Times New Roman"/>
          <w:b w:val="false"/>
          <w:bCs w:val="false"/>
          <w:i w:val="false"/>
          <w:iCs w:val="false"/>
          <w:sz w:val="22"/>
          <w:szCs w:val="22"/>
        </w:rPr>
        <w:t xml:space="preserve"> For goals that cannot be synthesized directly (because required subcomponents are not yet derived), the system decomposes the goal into subgoals and recursively attempts to derive each subgoal. This decomposition follows the goal’s logical structure: a conjunction goal decomposes into its conjuncts, an implication goal generates a conditional subgoal, and so forth.</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The three tiers form a complete derivation strategy for the propositional fragment: forward chaining handles all goals reachable within the combination budget, structural synthesis handles goals that require assembly beyond the budget but from available components, and subgoal extension handles goals requiring components that are not yet derived. Together, they achieve full closure on our benchmark.</w:t>
      </w:r>
    </w:p>
    <w:p>
      <w:pPr>
        <w:pStyle w:val="Heading2"/>
        <w:keepNext/>
        <w:spacing w:before="240" w:after="160"/>
      </w:pPr>
      <w:r>
        <w:rPr>
          <w:rFonts w:ascii="Times New Roman" w:cs="Times New Roman" w:eastAsia="Times New Roman" w:hAnsi="Times New Roman"/>
          <w:b/>
          <w:bCs/>
          <w:sz w:val="24"/>
          <w:szCs w:val="24"/>
        </w:rPr>
        <w:t xml:space="preserve">3.2 Technique Library (Learning Subsystem)</w:t>
      </w:r>
    </w:p>
    <w:p>
      <w:pPr>
        <w:spacing w:after="120" w:line="276"/>
        <w:ind/>
        <w:jc w:val="both"/>
      </w:pPr>
      <w:r>
        <w:rPr>
          <w:rFonts w:ascii="Times New Roman" w:cs="Times New Roman" w:eastAsia="Times New Roman" w:hAnsi="Times New Roman"/>
          <w:b w:val="false"/>
          <w:bCs w:val="false"/>
          <w:i w:val="false"/>
          <w:iCs w:val="false"/>
          <w:sz w:val="22"/>
          <w:szCs w:val="22"/>
        </w:rPr>
        <w:t xml:space="preserve">ECN includes a technique library that records successful derivation strategies as reusable patterns. When the system successfully derives a goal, the derivation path is abstracted into a technique: a template capturing the sequence of rule applications, the structural relationship between inputs and output, and the conditions under which the technique is applicable.</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The library supports export/import operations, allowing techniques learned in one session to be loaded into subsequent sessions. This mechanism is the basis of our Tier B evaluation: we warm the library on auxiliary problems, export the learned techniques, then measure whether importing them into a fresh session improves performance on the benchmark problems.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The technique library is architecturally positioned to receive output from all three derivation tiers. However, as we show in Section 6, the structural synthesis tier produces derivations that do not propagate into the library in a form that influences future solve attempts, creating the solving-learning gap.</w:t>
      </w:r>
    </w:p>
    <w:p>
      <w:pPr>
        <w:pStyle w:val="Heading2"/>
        <w:keepNext/>
        <w:spacing w:before="240" w:after="160"/>
      </w:pPr>
      <w:r>
        <w:rPr>
          <w:rFonts w:ascii="Times New Roman" w:cs="Times New Roman" w:eastAsia="Times New Roman" w:hAnsi="Times New Roman"/>
          <w:b/>
          <w:bCs/>
          <w:sz w:val="24"/>
          <w:szCs w:val="24"/>
        </w:rPr>
        <w:t xml:space="preserve">3.3 Evolutionary Search and Contradiction Signals</w:t>
      </w:r>
    </w:p>
    <w:p>
      <w:pPr>
        <w:spacing w:after="120" w:line="276"/>
        <w:ind/>
        <w:jc w:val="both"/>
      </w:pPr>
      <w:r>
        <w:rPr>
          <w:rFonts w:ascii="Times New Roman" w:cs="Times New Roman" w:eastAsia="Times New Roman" w:hAnsi="Times New Roman"/>
          <w:b w:val="false"/>
          <w:bCs w:val="false"/>
          <w:i w:val="false"/>
          <w:iCs w:val="false"/>
          <w:sz w:val="22"/>
          <w:szCs w:val="22"/>
        </w:rPr>
        <w:t xml:space="preserve">The “evolutionary” aspect of ECN refers to its search strategy within the forward chaining tier. The system maintains a population of candidate derivation paths, scored by a combination of progress toward the goal (measured by structural similarity between derived formulas and goal subexpressions), contradiction reduction (formulas that resolve existing contradictions in the derivation set are preferred), and combination efficiency (shorter derivation paths are preferred over longer ones).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Contradiction signals serve as negative feedback: when a derivation path produces a contradiction (A and not-A both derived), the path is deprioritized and the contradiction is logged for potential use in indirect proofs. This evolutionary pressure drives the search toward consistent derivation paths that make genuine progress toward the goal.</w:t>
      </w:r>
    </w:p>
    <w:p>
      <w:pPr>
        <w:pStyle w:val="Heading1"/>
        <w:keepNext/>
        <w:spacing w:before="360" w:after="160"/>
      </w:pPr>
      <w:r>
        <w:rPr>
          <w:rFonts w:ascii="Times New Roman" w:cs="Times New Roman" w:eastAsia="Times New Roman" w:hAnsi="Times New Roman"/>
          <w:b/>
          <w:bCs/>
          <w:sz w:val="28"/>
          <w:szCs w:val="28"/>
        </w:rPr>
        <w:t xml:space="preserve">4. Benchmark Design and Evaluation Methodology</w:t>
      </w:r>
    </w:p>
    <w:p>
      <w:pPr>
        <w:pStyle w:val="Heading2"/>
        <w:keepNext/>
        <w:spacing w:before="240" w:after="160"/>
      </w:pPr>
      <w:r>
        <w:rPr>
          <w:rFonts w:ascii="Times New Roman" w:cs="Times New Roman" w:eastAsia="Times New Roman" w:hAnsi="Times New Roman"/>
          <w:b/>
          <w:bCs/>
          <w:sz w:val="24"/>
          <w:szCs w:val="24"/>
        </w:rPr>
        <w:t xml:space="preserve">4.1 Problem Curriculum</w:t>
      </w:r>
    </w:p>
    <w:p>
      <w:pPr>
        <w:spacing w:after="120" w:line="276"/>
        <w:ind/>
        <w:jc w:val="both"/>
      </w:pPr>
      <w:r>
        <w:rPr>
          <w:rFonts w:ascii="Times New Roman" w:cs="Times New Roman" w:eastAsia="Times New Roman" w:hAnsi="Times New Roman"/>
          <w:b w:val="false"/>
          <w:bCs w:val="false"/>
          <w:i w:val="false"/>
          <w:iCs w:val="false"/>
          <w:sz w:val="22"/>
          <w:szCs w:val="22"/>
        </w:rPr>
        <w:t xml:space="preserve">The evaluation benchmark comprises 755 problem cells organized along two dimensions: complexity level (L1–L5, with higher levels requiring deeper derivation chains and more complex intermediate constructions) and formula shape family (A–G, capturing different structural patterns in goal formulas). Of these 755 cells, 735 are expected-solvable and 20 are expected-unsolvable (belonging to a specific subfamily of Shape G that requires reasoning beyond propositional logic).</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The benchmark methodology draws from LIMO (Li et al., 2025) in its emphasis on structured difficulty progression and evaluation of generalization, but targets propositional logic discovery rather than natural-language mathematical reasoning. Each problem cell is parameterized by a seed, enabling reproducible generation and cross-seed determinism testing.</w:t>
      </w:r>
    </w:p>
    <w:p>
      <w:pPr>
        <w:pStyle w:val="Heading2"/>
        <w:keepNext/>
        <w:spacing w:before="240" w:after="160"/>
      </w:pPr>
      <w:r>
        <w:rPr>
          <w:rFonts w:ascii="Times New Roman" w:cs="Times New Roman" w:eastAsia="Times New Roman" w:hAnsi="Times New Roman"/>
          <w:b/>
          <w:bCs/>
          <w:sz w:val="24"/>
          <w:szCs w:val="24"/>
        </w:rPr>
        <w:t xml:space="preserve">4.2 Evaluation Metrics (M1–M8)</w:t>
      </w:r>
    </w:p>
    <w:p>
      <w:pPr>
        <w:spacing w:after="120" w:line="276"/>
        <w:ind/>
        <w:jc w:val="both"/>
      </w:pPr>
      <w:r>
        <w:rPr>
          <w:rFonts w:ascii="Times New Roman" w:cs="Times New Roman" w:eastAsia="Times New Roman" w:hAnsi="Times New Roman"/>
          <w:b w:val="false"/>
          <w:bCs w:val="false"/>
          <w:i w:val="false"/>
          <w:iCs w:val="false"/>
          <w:sz w:val="22"/>
          <w:szCs w:val="22"/>
        </w:rPr>
        <w:t xml:space="preserve">We define eight orthogonal metrics that collectively characterize system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560"/>
        <w:gridCol w:w="7080"/>
      </w:tblGrid>
      <w:tr>
        <w:tc>
          <w:tcPr>
            <w:tcW w:type="dxa" w:w="72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Times New Roman" w:cs="Times New Roman" w:eastAsia="Times New Roman" w:hAnsi="Times New Roman"/>
                <w:b/>
                <w:bCs/>
                <w:sz w:val="18"/>
                <w:szCs w:val="18"/>
              </w:rPr>
              <w:t xml:space="preserve">Metric</w:t>
            </w:r>
          </w:p>
        </w:tc>
        <w:tc>
          <w:tcPr>
            <w:tcW w:type="dxa" w:w="156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Times New Roman" w:cs="Times New Roman" w:eastAsia="Times New Roman" w:hAnsi="Times New Roman"/>
                <w:b/>
                <w:bCs/>
                <w:sz w:val="18"/>
                <w:szCs w:val="18"/>
              </w:rPr>
              <w:t xml:space="preserve">Name</w:t>
            </w:r>
          </w:p>
        </w:tc>
        <w:tc>
          <w:tcPr>
            <w:tcW w:type="dxa" w:w="708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Times New Roman" w:cs="Times New Roman" w:eastAsia="Times New Roman" w:hAnsi="Times New Roman"/>
                <w:b/>
                <w:bCs/>
                <w:sz w:val="18"/>
                <w:szCs w:val="18"/>
              </w:rPr>
              <w:t xml:space="preserve">Definition</w:t>
            </w:r>
          </w:p>
        </w:tc>
      </w:tr>
      <w:tr>
        <w:tc>
          <w:tcPr>
            <w:tcW w:type="dxa" w:w="72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M1</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Solve Rate</w:t>
            </w:r>
          </w:p>
        </w:tc>
        <w:tc>
          <w:tcPr>
            <w:tcW w:type="dxa" w:w="70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Fraction of solvable problems correctly solved + unsolvable correctly rejected</w:t>
            </w:r>
          </w:p>
        </w:tc>
      </w:tr>
      <w:tr>
        <w:tc>
          <w:tcPr>
            <w:tcW w:type="dxa" w:w="72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M2</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Technique Reuse</w:t>
            </w:r>
          </w:p>
        </w:tc>
        <w:tc>
          <w:tcPr>
            <w:tcW w:type="dxa" w:w="70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Whether alpha-equivalent problems receive the same technique attribution</w:t>
            </w:r>
          </w:p>
        </w:tc>
      </w:tr>
      <w:tr>
        <w:tc>
          <w:tcPr>
            <w:tcW w:type="dxa" w:w="72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M3</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Combination Efficiency</w:t>
            </w:r>
          </w:p>
        </w:tc>
        <w:tc>
          <w:tcPr>
            <w:tcW w:type="dxa" w:w="70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Mean number of rule-application combinations attempted before solution</w:t>
            </w:r>
          </w:p>
        </w:tc>
      </w:tr>
      <w:tr>
        <w:tc>
          <w:tcPr>
            <w:tcW w:type="dxa" w:w="72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M4</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Fallback Usage</w:t>
            </w:r>
          </w:p>
        </w:tc>
        <w:tc>
          <w:tcPr>
            <w:tcW w:type="dxa" w:w="70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Count of random, shotgun, or maximum-likelihood-escape fallbacks invoked</w:t>
            </w:r>
          </w:p>
        </w:tc>
      </w:tr>
      <w:tr>
        <w:tc>
          <w:tcPr>
            <w:tcW w:type="dxa" w:w="72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M5</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Cross-Seed Determinism</w:t>
            </w:r>
          </w:p>
        </w:tc>
        <w:tc>
          <w:tcPr>
            <w:tcW w:type="dxa" w:w="70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Whether solve outcome is identical across all seed values for each problem</w:t>
            </w:r>
          </w:p>
        </w:tc>
      </w:tr>
      <w:tr>
        <w:tc>
          <w:tcPr>
            <w:tcW w:type="dxa" w:w="72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M6</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Oracle Leaks</w:t>
            </w:r>
          </w:p>
        </w:tc>
        <w:tc>
          <w:tcPr>
            <w:tcW w:type="dxa" w:w="70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Count of instances where goal formula is used as an input (contamination)</w:t>
            </w:r>
          </w:p>
        </w:tc>
      </w:tr>
      <w:tr>
        <w:tc>
          <w:tcPr>
            <w:tcW w:type="dxa" w:w="72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M7</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Cross-Mode Transfer</w:t>
            </w:r>
          </w:p>
        </w:tc>
        <w:tc>
          <w:tcPr>
            <w:tcW w:type="dxa" w:w="70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Difference in solve rate between staged-library and empty-library configurations</w:t>
            </w:r>
          </w:p>
        </w:tc>
      </w:tr>
      <w:tr>
        <w:tc>
          <w:tcPr>
            <w:tcW w:type="dxa" w:w="72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M8</w:t>
            </w:r>
          </w:p>
        </w:tc>
        <w:tc>
          <w:tcPr>
            <w:tcW w:type="dxa" w:w="156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Closure-Only Pass</w:t>
            </w:r>
          </w:p>
        </w:tc>
        <w:tc>
          <w:tcPr>
            <w:tcW w:type="dxa" w:w="70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Whether all solved problems are solved via legitimate closure (not fallback)</w:t>
            </w:r>
          </w:p>
        </w:tc>
      </w:tr>
    </w:tbl>
    <w:p>
      <w:pPr>
        <w:spacing w:before="80" w:after="240"/>
        <w:jc w:val="center"/>
      </w:pPr>
      <w:r>
        <w:rPr>
          <w:rFonts w:ascii="Times New Roman" w:cs="Times New Roman" w:eastAsia="Times New Roman" w:hAnsi="Times New Roman"/>
          <w:i/>
          <w:iCs/>
          <w:sz w:val="18"/>
          <w:szCs w:val="18"/>
        </w:rPr>
        <w:t xml:space="preserve">Table 1: The M1–M8 evaluation metric suite.</w:t>
      </w:r>
    </w:p>
    <w:p>
      <w:pPr>
        <w:pStyle w:val="Heading2"/>
        <w:keepNext/>
        <w:spacing w:before="240" w:after="160"/>
      </w:pPr>
      <w:r>
        <w:rPr>
          <w:rFonts w:ascii="Times New Roman" w:cs="Times New Roman" w:eastAsia="Times New Roman" w:hAnsi="Times New Roman"/>
          <w:b/>
          <w:bCs/>
          <w:sz w:val="24"/>
          <w:szCs w:val="24"/>
        </w:rPr>
        <w:t xml:space="preserve">4.3 Tier B Protocol: Measuring Transfer</w:t>
      </w:r>
    </w:p>
    <w:p>
      <w:pPr>
        <w:spacing w:after="120" w:line="276"/>
        <w:ind/>
        <w:jc w:val="both"/>
      </w:pPr>
      <w:r>
        <w:rPr>
          <w:rFonts w:ascii="Times New Roman" w:cs="Times New Roman" w:eastAsia="Times New Roman" w:hAnsi="Times New Roman"/>
          <w:b w:val="false"/>
          <w:bCs w:val="false"/>
          <w:i w:val="false"/>
          <w:iCs w:val="false"/>
          <w:sz w:val="22"/>
          <w:szCs w:val="22"/>
        </w:rPr>
        <w:t xml:space="preserve">The Tier B evaluation protocol measures whether learned techniques transfer to improve solve outcomes. The protocol operates as follows: (1) For each of 5 seeds, a synthetic warmup curriculum of 20 auxiliary problems (structurally non-overlapping with the benchmark by construction) is solved, producing a library of 7 techniques per seed. (2) The library is exported as a snapshot. (3) The full 151-cell benchmark is run twice per seed: once with an empty library (Tier A mode) and once with the imported warmup library (staged mode). (4) Results are compared as matched pairs across 755 total pairs (5 seeds x 151 cells).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This protocol is designed to detect even marginal transfer effects. A single additional problem solved in staged mode (out of 755 pairs) would register as a positive M7 signal. The warmup curriculum uses W-prefix atoms and instance numbers above 9000 to guarantee non-overlap with benchmark atoms by construction, ensuring that any observed transfer must operate through structural generalization rather than literal pattern matching.</w:t>
      </w:r>
    </w:p>
    <w:p>
      <w:pPr>
        <w:pStyle w:val="Heading1"/>
        <w:keepNext/>
        <w:spacing w:before="360" w:after="160"/>
      </w:pPr>
      <w:r>
        <w:rPr>
          <w:rFonts w:ascii="Times New Roman" w:cs="Times New Roman" w:eastAsia="Times New Roman" w:hAnsi="Times New Roman"/>
          <w:b/>
          <w:bCs/>
          <w:sz w:val="28"/>
          <w:szCs w:val="28"/>
        </w:rPr>
        <w:t xml:space="preserve">5. Results</w:t>
      </w:r>
    </w:p>
    <w:p>
      <w:pPr>
        <w:pStyle w:val="Heading2"/>
        <w:keepNext/>
        <w:spacing w:before="240" w:after="160"/>
      </w:pPr>
      <w:r>
        <w:rPr>
          <w:rFonts w:ascii="Times New Roman" w:cs="Times New Roman" w:eastAsia="Times New Roman" w:hAnsi="Times New Roman"/>
          <w:b/>
          <w:bCs/>
          <w:sz w:val="24"/>
          <w:szCs w:val="24"/>
        </w:rPr>
        <w:t xml:space="preserve">5.1 Closure Performance</w:t>
      </w:r>
    </w:p>
    <w:p>
      <w:pPr>
        <w:spacing w:after="120" w:line="276"/>
        <w:ind/>
        <w:jc w:val="both"/>
      </w:pPr>
      <w:r>
        <w:rPr>
          <w:rFonts w:ascii="Times New Roman" w:cs="Times New Roman" w:eastAsia="Times New Roman" w:hAnsi="Times New Roman"/>
          <w:b w:val="false"/>
          <w:bCs w:val="false"/>
          <w:i w:val="false"/>
          <w:iCs w:val="false"/>
          <w:sz w:val="22"/>
          <w:szCs w:val="22"/>
        </w:rPr>
        <w:t xml:space="preserve">ECN achieves complete closure on the evaluation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Times New Roman" w:cs="Times New Roman" w:eastAsia="Times New Roman" w:hAnsi="Times New Roman"/>
                <w:b/>
                <w:bCs/>
                <w:sz w:val="18"/>
                <w:szCs w:val="18"/>
              </w:rPr>
              <w:t xml:space="preserve">Metric</w:t>
            </w:r>
          </w:p>
        </w:tc>
        <w:tc>
          <w:tcPr>
            <w:tcW w:type="dxa" w:w="268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Times New Roman" w:cs="Times New Roman" w:eastAsia="Times New Roman" w:hAnsi="Times New Roman"/>
                <w:b/>
                <w:bCs/>
                <w:sz w:val="18"/>
                <w:szCs w:val="18"/>
              </w:rPr>
              <w:t xml:space="preserve">Value</w:t>
            </w:r>
          </w:p>
        </w:tc>
        <w:tc>
          <w:tcPr>
            <w:tcW w:type="dxa" w:w="468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r>
              <w:rPr>
                <w:rFonts w:ascii="Times New Roman" w:cs="Times New Roman" w:eastAsia="Times New Roman" w:hAnsi="Times New Roman"/>
                <w:b/>
                <w:bCs/>
                <w:sz w:val="18"/>
                <w:szCs w:val="18"/>
              </w:rPr>
              <w:t xml:space="preserve">Notes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M1 (solvable)</w:t>
            </w:r>
          </w:p>
        </w:tc>
        <w:tc>
          <w:tcPr>
            <w:tcW w:type="dxa" w:w="2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100% (1470/1470)</w:t>
            </w:r>
          </w:p>
        </w:tc>
        <w:tc>
          <w:tcPr>
            <w:tcW w:type="dxa" w:w="4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735 cells x 2 modes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M1 (unsolvable)</w:t>
            </w:r>
          </w:p>
        </w:tc>
        <w:tc>
          <w:tcPr>
            <w:tcW w:type="dxa" w:w="2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100% (40/40)</w:t>
            </w:r>
          </w:p>
        </w:tc>
        <w:tc>
          <w:tcPr>
            <w:tcW w:type="dxa" w:w="4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20 cells x 2 modes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M2 (technique reuse)</w:t>
            </w:r>
          </w:p>
        </w:tc>
        <w:tc>
          <w:tcPr>
            <w:tcW w:type="dxa" w:w="2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100% (30/30 groups)</w:t>
            </w:r>
          </w:p>
        </w:tc>
        <w:tc>
          <w:tcPr>
            <w:tcW w:type="dxa" w:w="4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Per-mode alpha-family consistency</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M3 (mean combos)</w:t>
            </w:r>
          </w:p>
        </w:tc>
        <w:tc>
          <w:tcPr>
            <w:tcW w:type="dxa" w:w="2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5.6 (Tier A) / 9.0 (Tier B)</w:t>
            </w:r>
          </w:p>
        </w:tc>
        <w:tc>
          <w:tcPr>
            <w:tcW w:type="dxa" w:w="4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After Class A pre-filter optimization</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M4 (fallback usage)</w:t>
            </w:r>
          </w:p>
        </w:tc>
        <w:tc>
          <w:tcPr>
            <w:tcW w:type="dxa" w:w="2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0 / 0 / 0</w:t>
            </w:r>
          </w:p>
        </w:tc>
        <w:tc>
          <w:tcPr>
            <w:tcW w:type="dxa" w:w="4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Random / Shotgun / MLE in both modes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M5 (determinism)</w:t>
            </w:r>
          </w:p>
        </w:tc>
        <w:tc>
          <w:tcPr>
            <w:tcW w:type="dxa" w:w="2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100%</w:t>
            </w:r>
          </w:p>
        </w:tc>
        <w:tc>
          <w:tcPr>
            <w:tcW w:type="dxa" w:w="4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Across all 5 seeds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M6 (oracle leaks)</w:t>
            </w:r>
          </w:p>
        </w:tc>
        <w:tc>
          <w:tcPr>
            <w:tcW w:type="dxa" w:w="2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0</w:t>
            </w:r>
          </w:p>
        </w:tc>
        <w:tc>
          <w:tcPr>
            <w:tcW w:type="dxa" w:w="4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Across all 2,225 records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M7 (transfer)</w:t>
            </w:r>
          </w:p>
        </w:tc>
        <w:tc>
          <w:tcPr>
            <w:tcW w:type="dxa" w:w="2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Neutral (0 wins, 0 regressions)</w:t>
            </w:r>
          </w:p>
        </w:tc>
        <w:tc>
          <w:tcPr>
            <w:tcW w:type="dxa" w:w="4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755 matched pairs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M8 (closure-only)</w:t>
            </w:r>
          </w:p>
        </w:tc>
        <w:tc>
          <w:tcPr>
            <w:tcW w:type="dxa" w:w="2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100%</w:t>
            </w:r>
          </w:p>
        </w:tc>
        <w:tc>
          <w:tcPr>
            <w:tcW w:type="dxa" w:w="46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Times New Roman" w:cs="Times New Roman" w:eastAsia="Times New Roman" w:hAnsi="Times New Roman"/>
                <w:sz w:val="18"/>
                <w:szCs w:val="18"/>
              </w:rPr>
              <w:t xml:space="preserve">All solves via legitimate closure</w:t>
            </w:r>
          </w:p>
        </w:tc>
      </w:tr>
    </w:tbl>
    <w:p>
      <w:pPr>
        <w:spacing w:before="80" w:after="240"/>
        <w:jc w:val="center"/>
      </w:pPr>
      <w:r>
        <w:rPr>
          <w:rFonts w:ascii="Times New Roman" w:cs="Times New Roman" w:eastAsia="Times New Roman" w:hAnsi="Times New Roman"/>
          <w:i/>
          <w:iCs/>
          <w:sz w:val="18"/>
          <w:szCs w:val="18"/>
        </w:rPr>
        <w:t xml:space="preserve">Table 2: Complete benchmark results at the B-6 baseline.</w:t>
      </w:r>
    </w:p>
    <w:p>
      <w:pPr>
        <w:pStyle w:val="Heading2"/>
        <w:keepNext/>
        <w:spacing w:before="240" w:after="160"/>
      </w:pPr>
      <w:r>
        <w:rPr>
          <w:rFonts w:ascii="Times New Roman" w:cs="Times New Roman" w:eastAsia="Times New Roman" w:hAnsi="Times New Roman"/>
          <w:b/>
          <w:bCs/>
          <w:sz w:val="24"/>
          <w:szCs w:val="24"/>
        </w:rPr>
        <w:t xml:space="preserve">5.2 Key Observations</w:t>
      </w:r>
    </w:p>
    <w:p>
      <w:pPr>
        <w:spacing w:after="120" w:line="276"/>
        <w:ind/>
        <w:jc w:val="both"/>
      </w:pPr>
      <w:r>
        <w:rPr>
          <w:rFonts w:ascii="Times New Roman" w:cs="Times New Roman" w:eastAsia="Times New Roman" w:hAnsi="Times New Roman"/>
          <w:b/>
          <w:bCs/>
          <w:i w:val="false"/>
          <w:iCs w:val="false"/>
          <w:sz w:val="22"/>
          <w:szCs w:val="22"/>
        </w:rPr>
        <w:t xml:space="preserve">Zero fallback reliance.</w:t>
      </w:r>
      <w:r>
        <w:rPr>
          <w:rFonts w:ascii="Times New Roman" w:cs="Times New Roman" w:eastAsia="Times New Roman" w:hAnsi="Times New Roman"/>
          <w:b w:val="false"/>
          <w:bCs w:val="false"/>
          <w:i w:val="false"/>
          <w:iCs w:val="false"/>
          <w:sz w:val="22"/>
          <w:szCs w:val="22"/>
        </w:rPr>
        <w:t xml:space="preserve"> The system never invokes random exploration, shotgun heuristics, or maximum-likelihood escape mechanisms (M4=0 across all modes). All solutions are produced through the three-tier deterministic mechanism.</w:t>
      </w:r>
    </w:p>
    <w:p>
      <w:pPr>
        <w:spacing w:after="120" w:line="276"/>
        <w:ind w:firstLine="360"/>
        <w:jc w:val="both"/>
      </w:pPr>
      <w:r>
        <w:rPr>
          <w:rFonts w:ascii="Times New Roman" w:cs="Times New Roman" w:eastAsia="Times New Roman" w:hAnsi="Times New Roman"/>
          <w:b/>
          <w:bCs/>
          <w:i w:val="false"/>
          <w:iCs w:val="false"/>
          <w:sz w:val="22"/>
          <w:szCs w:val="22"/>
        </w:rPr>
        <w:t xml:space="preserve">Perfect determinism.</w:t>
      </w:r>
      <w:r>
        <w:rPr>
          <w:rFonts w:ascii="Times New Roman" w:cs="Times New Roman" w:eastAsia="Times New Roman" w:hAnsi="Times New Roman"/>
          <w:b w:val="false"/>
          <w:bCs w:val="false"/>
          <w:i w:val="false"/>
          <w:iCs w:val="false"/>
          <w:sz w:val="22"/>
          <w:szCs w:val="22"/>
        </w:rPr>
        <w:t xml:space="preserve"> Given the same problem specification, ECN produces identical solve/no-solve outcomes regardless of the random seed used for internal tie-breaking (M5=100%). This is a stronger property than mere completeness; it indicates that the solution path is structurally determined by the problem, not by search luck.</w:t>
      </w:r>
    </w:p>
    <w:p>
      <w:pPr>
        <w:spacing w:after="120" w:line="276"/>
        <w:ind w:firstLine="360"/>
        <w:jc w:val="both"/>
      </w:pPr>
      <w:r>
        <w:rPr>
          <w:rFonts w:ascii="Times New Roman" w:cs="Times New Roman" w:eastAsia="Times New Roman" w:hAnsi="Times New Roman"/>
          <w:b/>
          <w:bCs/>
          <w:i w:val="false"/>
          <w:iCs w:val="false"/>
          <w:sz w:val="22"/>
          <w:szCs w:val="22"/>
        </w:rPr>
        <w:t xml:space="preserve">No oracle contamination.</w:t>
      </w:r>
      <w:r>
        <w:rPr>
          <w:rFonts w:ascii="Times New Roman" w:cs="Times New Roman" w:eastAsia="Times New Roman" w:hAnsi="Times New Roman"/>
          <w:b w:val="false"/>
          <w:bCs w:val="false"/>
          <w:i w:val="false"/>
          <w:iCs w:val="false"/>
          <w:sz w:val="22"/>
          <w:szCs w:val="22"/>
        </w:rPr>
        <w:t xml:space="preserve"> The goal formula is never used as an axiom or derivation input (M6=0). Solutions are genuinely constructed from the provided axioms through legitimate inference rules. This is verified both by preflight manifest scanning and runtime defense-in-depth checks.</w:t>
      </w:r>
    </w:p>
    <w:p>
      <w:pPr>
        <w:spacing w:after="120" w:line="276"/>
        <w:ind w:firstLine="360"/>
        <w:jc w:val="both"/>
      </w:pPr>
      <w:r>
        <w:rPr>
          <w:rFonts w:ascii="Times New Roman" w:cs="Times New Roman" w:eastAsia="Times New Roman" w:hAnsi="Times New Roman"/>
          <w:b/>
          <w:bCs/>
          <w:i w:val="false"/>
          <w:iCs w:val="false"/>
          <w:sz w:val="22"/>
          <w:szCs w:val="22"/>
        </w:rPr>
        <w:t xml:space="preserve">Efficient derivation.</w:t>
      </w:r>
      <w:r>
        <w:rPr>
          <w:rFonts w:ascii="Times New Roman" w:cs="Times New Roman" w:eastAsia="Times New Roman" w:hAnsi="Times New Roman"/>
          <w:b w:val="false"/>
          <w:bCs w:val="false"/>
          <w:i w:val="false"/>
          <w:iCs w:val="false"/>
          <w:sz w:val="22"/>
          <w:szCs w:val="22"/>
        </w:rPr>
        <w:t xml:space="preserve"> The mean combination count of 5.6 (Tier A) indicates that most problems are solved in very few inference steps, suggesting that the structural synthesis tier handles the majority of cases without extensive forward-chain search. The B-6 pre-filter optimization reduced mean combinations by approximately 95% from the pre-optimization baseline.</w:t>
      </w:r>
    </w:p>
    <w:p>
      <w:pPr>
        <w:pStyle w:val="Heading1"/>
        <w:keepNext/>
        <w:spacing w:before="360" w:after="160"/>
      </w:pPr>
      <w:r>
        <w:rPr>
          <w:rFonts w:ascii="Times New Roman" w:cs="Times New Roman" w:eastAsia="Times New Roman" w:hAnsi="Times New Roman"/>
          <w:b/>
          <w:bCs/>
          <w:sz w:val="28"/>
          <w:szCs w:val="28"/>
        </w:rPr>
        <w:t xml:space="preserve">6. The Closure-vs-Learning Gap</w:t>
      </w:r>
    </w:p>
    <w:p>
      <w:pPr>
        <w:pStyle w:val="Heading2"/>
        <w:keepNext/>
        <w:spacing w:before="240" w:after="160"/>
      </w:pPr>
      <w:r>
        <w:rPr>
          <w:rFonts w:ascii="Times New Roman" w:cs="Times New Roman" w:eastAsia="Times New Roman" w:hAnsi="Times New Roman"/>
          <w:b/>
          <w:bCs/>
          <w:sz w:val="24"/>
          <w:szCs w:val="24"/>
        </w:rPr>
        <w:t xml:space="preserve">6.1 Characterizing the Gap</w:t>
      </w:r>
    </w:p>
    <w:p>
      <w:pPr>
        <w:spacing w:after="120" w:line="276"/>
        <w:ind/>
        <w:jc w:val="both"/>
      </w:pPr>
      <w:r>
        <w:rPr>
          <w:rFonts w:ascii="Times New Roman" w:cs="Times New Roman" w:eastAsia="Times New Roman" w:hAnsi="Times New Roman"/>
          <w:b w:val="false"/>
          <w:bCs w:val="false"/>
          <w:i w:val="false"/>
          <w:iCs w:val="false"/>
          <w:sz w:val="22"/>
          <w:szCs w:val="22"/>
        </w:rPr>
        <w:t xml:space="preserve">The central finding of this paper is a structural tension between ECN’s closure capability and its learning capability. We define the </w:t>
      </w:r>
      <w:r>
        <w:rPr>
          <w:rFonts w:ascii="Times New Roman" w:cs="Times New Roman" w:eastAsia="Times New Roman" w:hAnsi="Times New Roman"/>
          <w:b/>
          <w:bCs/>
          <w:i w:val="false"/>
          <w:iCs w:val="false"/>
          <w:sz w:val="22"/>
          <w:szCs w:val="22"/>
        </w:rPr>
        <w:t xml:space="preserve">closure-vs-learning gap</w:t>
      </w:r>
      <w:r>
        <w:rPr>
          <w:rFonts w:ascii="Times New Roman" w:cs="Times New Roman" w:eastAsia="Times New Roman" w:hAnsi="Times New Roman"/>
          <w:b w:val="false"/>
          <w:bCs w:val="false"/>
          <w:i w:val="false"/>
          <w:iCs w:val="false"/>
          <w:sz w:val="22"/>
          <w:szCs w:val="22"/>
        </w:rPr>
        <w:t xml:space="preserve"> as follows:</w:t>
      </w:r>
    </w:p>
    <w:p>
      <w:pPr>
        <w:spacing w:after="120" w:line="276"/>
        <w:ind w:left="360" w:right="360"/>
        <w:jc w:val="both"/>
      </w:pPr>
      <w:r>
        <w:rPr>
          <w:rFonts w:ascii="Times New Roman" w:cs="Times New Roman" w:eastAsia="Times New Roman" w:hAnsi="Times New Roman"/>
          <w:b w:val="false"/>
          <w:bCs w:val="false"/>
          <w:i/>
          <w:iCs/>
          <w:sz w:val="22"/>
          <w:szCs w:val="22"/>
        </w:rPr>
        <w:t xml:space="preserve">A system exhibits a closure-vs-learning gap when its mechanism for achieving complete problem coverage operates independently of its mechanism for accumulating transferable experience, such that full closure is achievable without the learning mechanism contributing to or benefiting from the closure-producing derivations.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In ECN, this manifests concretely: the structural synthesis tier (Tier 2) achieves 100% solve rate on all benchmark problems (M1=100%), while the technique library shows zero transfer effect (M7=neutral). The library is populated (after warmup, it contains 7 techniques per seed), but these techniques are never the difference between solving and not solving a benchmark problem.</w:t>
      </w:r>
    </w:p>
    <w:p>
      <w:pPr>
        <w:pStyle w:val="Heading2"/>
        <w:keepNext/>
        <w:spacing w:before="240" w:after="160"/>
      </w:pPr>
      <w:r>
        <w:rPr>
          <w:rFonts w:ascii="Times New Roman" w:cs="Times New Roman" w:eastAsia="Times New Roman" w:hAnsi="Times New Roman"/>
          <w:b/>
          <w:bCs/>
          <w:sz w:val="24"/>
          <w:szCs w:val="24"/>
        </w:rPr>
        <w:t xml:space="preserve">6.2 Architectural Analysis</w:t>
      </w:r>
    </w:p>
    <w:p>
      <w:pPr>
        <w:spacing w:after="120" w:line="276"/>
        <w:ind/>
        <w:jc w:val="both"/>
      </w:pPr>
      <w:r>
        <w:rPr>
          <w:rFonts w:ascii="Times New Roman" w:cs="Times New Roman" w:eastAsia="Times New Roman" w:hAnsi="Times New Roman"/>
          <w:b w:val="false"/>
          <w:bCs w:val="false"/>
          <w:i w:val="false"/>
          <w:iCs w:val="false"/>
          <w:sz w:val="22"/>
          <w:szCs w:val="22"/>
        </w:rPr>
        <w:t xml:space="preserve">The gap arises from a specific architectural property. The structural synthesis mechanism operates by analyzing the goal formula’s AST (abstract syntax tree) and determining whether each subexpression can be constructed from the available derived formula set. This analysis is purely structural: it depends on what formulas are currently available and what the goal requires, with no reference to previously learned patterns.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Critically, this mechanism is </w:t>
      </w:r>
      <w:r>
        <w:rPr>
          <w:rFonts w:ascii="Times New Roman" w:cs="Times New Roman" w:eastAsia="Times New Roman" w:hAnsi="Times New Roman"/>
          <w:b w:val="false"/>
          <w:bCs w:val="false"/>
          <w:i/>
          <w:iCs/>
          <w:sz w:val="22"/>
          <w:szCs w:val="22"/>
        </w:rPr>
        <w:t xml:space="preserve">sufficient</w:t>
      </w:r>
      <w:r>
        <w:rPr>
          <w:rFonts w:ascii="Times New Roman" w:cs="Times New Roman" w:eastAsia="Times New Roman" w:hAnsi="Times New Roman"/>
          <w:b w:val="false"/>
          <w:bCs w:val="false"/>
          <w:i w:val="false"/>
          <w:iCs w:val="false"/>
          <w:sz w:val="22"/>
          <w:szCs w:val="22"/>
        </w:rPr>
        <w:t xml:space="preserve"> for closure. Every problem in the benchmark that forward chaining alone cannot solve is handled by structural synthesis or subgoal extension. The technique library, which stores patterns learned from prior solutions, is architecturally available but observationally unnecessary: there is no problem that the library solves that synthesis cannot also solve, and synthesis does not consult the library.</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This creates a precise characterization of the gap: the system has both the ability to solve (via synthesis) and the ability to learn (via the technique library), but these abilities operate on parallel tracks that do not intersect at the point of solving. Learning happens, but it never matters for closure.</w:t>
      </w:r>
    </w:p>
    <w:p>
      <w:pPr>
        <w:pStyle w:val="Heading2"/>
        <w:keepNext/>
        <w:spacing w:before="240" w:after="160"/>
      </w:pPr>
      <w:r>
        <w:rPr>
          <w:rFonts w:ascii="Times New Roman" w:cs="Times New Roman" w:eastAsia="Times New Roman" w:hAnsi="Times New Roman"/>
          <w:b/>
          <w:bCs/>
          <w:sz w:val="24"/>
          <w:szCs w:val="24"/>
        </w:rPr>
        <w:t xml:space="preserve">6.3 Formal Properties of the Gap</w:t>
      </w:r>
    </w:p>
    <w:p>
      <w:pPr>
        <w:spacing w:after="120" w:line="276"/>
        <w:ind/>
        <w:jc w:val="both"/>
      </w:pPr>
      <w:r>
        <w:rPr>
          <w:rFonts w:ascii="Times New Roman" w:cs="Times New Roman" w:eastAsia="Times New Roman" w:hAnsi="Times New Roman"/>
          <w:b w:val="false"/>
          <w:bCs w:val="false"/>
          <w:i w:val="false"/>
          <w:iCs w:val="false"/>
          <w:sz w:val="22"/>
          <w:szCs w:val="22"/>
        </w:rPr>
        <w:t xml:space="preserve">We can state the gap’s properties precisely using the metric suite:</w:t>
      </w:r>
    </w:p>
    <w:p>
      <w:pPr>
        <w:spacing w:after="120" w:line="276"/>
        <w:ind/>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M1 independence from M7:</w:t>
      </w:r>
      <w:r>
        <w:rPr>
          <w:rFonts w:ascii="Times New Roman" w:cs="Times New Roman" w:eastAsia="Times New Roman" w:hAnsi="Times New Roman"/>
          <w:b w:val="false"/>
          <w:bCs w:val="false"/>
          <w:i w:val="false"/>
          <w:iCs w:val="false"/>
          <w:sz w:val="22"/>
          <w:szCs w:val="22"/>
        </w:rPr>
        <w:t xml:space="preserve"> M1=100% regardless of whether M7 is positive, neutral, or negative. Closure does not depend on transfer.</w:t>
      </w:r>
    </w:p>
    <w:p>
      <w:pPr>
        <w:spacing w:after="120" w:line="276"/>
        <w:ind/>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M7 neutrality despite library population:</w:t>
      </w:r>
      <w:r>
        <w:rPr>
          <w:rFonts w:ascii="Times New Roman" w:cs="Times New Roman" w:eastAsia="Times New Roman" w:hAnsi="Times New Roman"/>
          <w:b w:val="false"/>
          <w:bCs w:val="false"/>
          <w:i w:val="false"/>
          <w:iCs w:val="false"/>
          <w:sz w:val="22"/>
          <w:szCs w:val="22"/>
        </w:rPr>
        <w:t xml:space="preserve"> The staged library contains 7 techniques per seed (non-trivial; warmup succeeds), yet contributes 0 additional solves. The library is populated but inert with respect to benchmark problems.</w:t>
      </w:r>
    </w:p>
    <w:p>
      <w:pPr>
        <w:spacing w:after="120" w:line="276"/>
        <w:ind/>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M4=0 confirms synthesis dominance:</w:t>
      </w:r>
      <w:r>
        <w:rPr>
          <w:rFonts w:ascii="Times New Roman" w:cs="Times New Roman" w:eastAsia="Times New Roman" w:hAnsi="Times New Roman"/>
          <w:b w:val="false"/>
          <w:bCs w:val="false"/>
          <w:i w:val="false"/>
          <w:iCs w:val="false"/>
          <w:sz w:val="22"/>
          <w:szCs w:val="22"/>
        </w:rPr>
        <w:t xml:space="preserve"> Zero fallback invocations means the system never enters a state where learned techniques </w:t>
      </w:r>
      <w:r>
        <w:rPr>
          <w:rFonts w:ascii="Times New Roman" w:cs="Times New Roman" w:eastAsia="Times New Roman" w:hAnsi="Times New Roman"/>
          <w:b w:val="false"/>
          <w:bCs w:val="false"/>
          <w:i/>
          <w:iCs/>
          <w:sz w:val="22"/>
          <w:szCs w:val="22"/>
        </w:rPr>
        <w:t xml:space="preserve">could</w:t>
      </w:r>
      <w:r>
        <w:rPr>
          <w:rFonts w:ascii="Times New Roman" w:cs="Times New Roman" w:eastAsia="Times New Roman" w:hAnsi="Times New Roman"/>
          <w:b w:val="false"/>
          <w:bCs w:val="false"/>
          <w:i w:val="false"/>
          <w:iCs w:val="false"/>
          <w:sz w:val="22"/>
          <w:szCs w:val="22"/>
        </w:rPr>
        <w:t xml:space="preserve"> rescue a failed attempt. Synthesis prevents the failure conditions that would make learning visible.</w:t>
      </w:r>
    </w:p>
    <w:p>
      <w:pPr>
        <w:spacing w:after="120" w:line="276"/>
        <w:ind/>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M3 asymmetry hints at interference:</w:t>
      </w:r>
      <w:r>
        <w:rPr>
          <w:rFonts w:ascii="Times New Roman" w:cs="Times New Roman" w:eastAsia="Times New Roman" w:hAnsi="Times New Roman"/>
          <w:b w:val="false"/>
          <w:bCs w:val="false"/>
          <w:i w:val="false"/>
          <w:iCs w:val="false"/>
          <w:sz w:val="22"/>
          <w:szCs w:val="22"/>
        </w:rPr>
        <w:t xml:space="preserve"> Mean combinations are 5.6 in empty mode vs. 9.0 in staged mode (+60%). The library introduces additional candidate evaluations that slightly increase work without changing outcomes. This is not harmful (M1 is identical) but suggests library presence adds overhead without benefit.</w:t>
      </w:r>
    </w:p>
    <w:p>
      <w:pPr>
        <w:pStyle w:val="Heading2"/>
        <w:keepNext/>
        <w:spacing w:before="240" w:after="160"/>
      </w:pPr>
      <w:r>
        <w:rPr>
          <w:rFonts w:ascii="Times New Roman" w:cs="Times New Roman" w:eastAsia="Times New Roman" w:hAnsi="Times New Roman"/>
          <w:b/>
          <w:bCs/>
          <w:sz w:val="24"/>
          <w:szCs w:val="24"/>
        </w:rPr>
        <w:t xml:space="preserve">6.4 The Gap Is Not a Bug</w:t>
      </w:r>
    </w:p>
    <w:p>
      <w:pPr>
        <w:spacing w:after="120" w:line="276"/>
        <w:ind/>
        <w:jc w:val="both"/>
      </w:pPr>
      <w:r>
        <w:rPr>
          <w:rFonts w:ascii="Times New Roman" w:cs="Times New Roman" w:eastAsia="Times New Roman" w:hAnsi="Times New Roman"/>
          <w:b w:val="false"/>
          <w:bCs w:val="false"/>
          <w:i w:val="false"/>
          <w:iCs w:val="false"/>
          <w:sz w:val="22"/>
          <w:szCs w:val="22"/>
        </w:rPr>
        <w:t xml:space="preserve">It is important to distinguish the closure-vs-learning gap from a system failure. The gap is a </w:t>
      </w:r>
      <w:r>
        <w:rPr>
          <w:rFonts w:ascii="Times New Roman" w:cs="Times New Roman" w:eastAsia="Times New Roman" w:hAnsi="Times New Roman"/>
          <w:b w:val="false"/>
          <w:bCs w:val="false"/>
          <w:i/>
          <w:iCs/>
          <w:sz w:val="22"/>
          <w:szCs w:val="22"/>
        </w:rPr>
        <w:t xml:space="preserve">structural property</w:t>
      </w:r>
      <w:r>
        <w:rPr>
          <w:rFonts w:ascii="Times New Roman" w:cs="Times New Roman" w:eastAsia="Times New Roman" w:hAnsi="Times New Roman"/>
          <w:b w:val="false"/>
          <w:bCs w:val="false"/>
          <w:i w:val="false"/>
          <w:iCs w:val="false"/>
          <w:sz w:val="22"/>
          <w:szCs w:val="22"/>
        </w:rPr>
        <w:t xml:space="preserve"> of the architecture, not a deficiency in either component. The synthesis mechanism is correctly achieving its design goal (full closure). The learning mechanism is correctly storing and retrieving techniques. The gap emerges from their relationship: synthesis is powerful enough to make learning unnecessary for the closure objective.</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This observation has a specific implication for system development: bridging the gap requires neither fixing the solver (it works perfectly) nor fixing the learner (it stores correctly), but rather creating an architectural pathway through which synthesis successes can inform the learning pipeline in ways that produce observable transfer effects. The challenge is not capability but connectivity.</w:t>
      </w:r>
    </w:p>
    <w:p>
      <w:pPr>
        <w:pStyle w:val="Heading1"/>
        <w:keepNext/>
        <w:spacing w:before="360" w:after="160"/>
      </w:pPr>
      <w:r>
        <w:rPr>
          <w:rFonts w:ascii="Times New Roman" w:cs="Times New Roman" w:eastAsia="Times New Roman" w:hAnsi="Times New Roman"/>
          <w:b/>
          <w:bCs/>
          <w:sz w:val="28"/>
          <w:szCs w:val="28"/>
        </w:rPr>
        <w:t xml:space="preserve">7. Discussion</w:t>
      </w:r>
    </w:p>
    <w:p>
      <w:pPr>
        <w:pStyle w:val="Heading2"/>
        <w:keepNext/>
        <w:spacing w:before="240" w:after="160"/>
      </w:pPr>
      <w:r>
        <w:rPr>
          <w:rFonts w:ascii="Times New Roman" w:cs="Times New Roman" w:eastAsia="Times New Roman" w:hAnsi="Times New Roman"/>
          <w:b/>
          <w:bCs/>
          <w:sz w:val="24"/>
          <w:szCs w:val="24"/>
        </w:rPr>
        <w:t xml:space="preserve">7.1 Implications for Hybrid Reasoning Architectures</w:t>
      </w:r>
    </w:p>
    <w:p>
      <w:pPr>
        <w:spacing w:after="120" w:line="276"/>
        <w:ind/>
        <w:jc w:val="both"/>
      </w:pPr>
      <w:r>
        <w:rPr>
          <w:rFonts w:ascii="Times New Roman" w:cs="Times New Roman" w:eastAsia="Times New Roman" w:hAnsi="Times New Roman"/>
          <w:b w:val="false"/>
          <w:bCs w:val="false"/>
          <w:i w:val="false"/>
          <w:iCs w:val="false"/>
          <w:sz w:val="22"/>
          <w:szCs w:val="22"/>
        </w:rPr>
        <w:t xml:space="preserve">The closure-vs-learning gap raises a general question for automated reasoning systems that combine constructive solvers with learning mechanisms: under what conditions does a powerful solver render its companion learning mechanism observationally inert?</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We conjecture that this pattern is more common than recognized. In any system where one component achieves ceiling performance on the evaluation set, companion components that operate below that ceiling will appear to contribute nothing, even if they would become critical under harder conditions or different evaluation criteria. The gap is not merely about the learning mechanism being weak; it is about the evaluation conditions being insufficient to expose the solver’s limits.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This suggests a methodological principle: </w:t>
      </w:r>
      <w:r>
        <w:rPr>
          <w:rFonts w:ascii="Times New Roman" w:cs="Times New Roman" w:eastAsia="Times New Roman" w:hAnsi="Times New Roman"/>
          <w:b w:val="false"/>
          <w:bCs w:val="false"/>
          <w:i/>
          <w:iCs/>
          <w:sz w:val="22"/>
          <w:szCs w:val="22"/>
        </w:rPr>
        <w:t xml:space="preserve">when evaluating hybrid architectures, design benchmark conditions that specifically expose the limits of each component in isolation</w:t>
      </w:r>
      <w:r>
        <w:rPr>
          <w:rFonts w:ascii="Times New Roman" w:cs="Times New Roman" w:eastAsia="Times New Roman" w:hAnsi="Times New Roman"/>
          <w:b w:val="false"/>
          <w:bCs w:val="false"/>
          <w:i w:val="false"/>
          <w:iCs w:val="false"/>
          <w:sz w:val="22"/>
          <w:szCs w:val="22"/>
        </w:rPr>
        <w:t xml:space="preserve">. If a single component achieves perfect performance, the benchmark cannot distinguish between “the other components are useless” and “the other components would help under harder conditions.”</w:t>
      </w:r>
    </w:p>
    <w:p>
      <w:pPr>
        <w:pStyle w:val="Heading2"/>
        <w:keepNext/>
        <w:spacing w:before="240" w:after="160"/>
      </w:pPr>
      <w:r>
        <w:rPr>
          <w:rFonts w:ascii="Times New Roman" w:cs="Times New Roman" w:eastAsia="Times New Roman" w:hAnsi="Times New Roman"/>
          <w:b/>
          <w:bCs/>
          <w:sz w:val="24"/>
          <w:szCs w:val="24"/>
        </w:rPr>
        <w:t xml:space="preserve">7.2 Conditions for Bridging the Gap</w:t>
      </w:r>
    </w:p>
    <w:p>
      <w:pPr>
        <w:spacing w:after="120" w:line="276"/>
        <w:ind/>
        <w:jc w:val="both"/>
      </w:pPr>
      <w:r>
        <w:rPr>
          <w:rFonts w:ascii="Times New Roman" w:cs="Times New Roman" w:eastAsia="Times New Roman" w:hAnsi="Times New Roman"/>
          <w:b w:val="false"/>
          <w:bCs w:val="false"/>
          <w:i w:val="false"/>
          <w:iCs w:val="false"/>
          <w:sz w:val="22"/>
          <w:szCs w:val="22"/>
        </w:rPr>
        <w:t xml:space="preserve">Based on our analysis, bridging the closure-vs-learning gap requires creating conditions under which synthesis-produced derivations are </w:t>
      </w:r>
      <w:r>
        <w:rPr>
          <w:rFonts w:ascii="Times New Roman" w:cs="Times New Roman" w:eastAsia="Times New Roman" w:hAnsi="Times New Roman"/>
          <w:b w:val="false"/>
          <w:bCs w:val="false"/>
          <w:i/>
          <w:iCs/>
          <w:sz w:val="22"/>
          <w:szCs w:val="22"/>
        </w:rPr>
        <w:t xml:space="preserve">observable</w:t>
      </w:r>
      <w:r>
        <w:rPr>
          <w:rFonts w:ascii="Times New Roman" w:cs="Times New Roman" w:eastAsia="Times New Roman" w:hAnsi="Times New Roman"/>
          <w:b w:val="false"/>
          <w:bCs w:val="false"/>
          <w:i w:val="false"/>
          <w:iCs w:val="false"/>
          <w:sz w:val="22"/>
          <w:szCs w:val="22"/>
        </w:rPr>
        <w:t xml:space="preserve"> by the learning pipeline and </w:t>
      </w:r>
      <w:r>
        <w:rPr>
          <w:rFonts w:ascii="Times New Roman" w:cs="Times New Roman" w:eastAsia="Times New Roman" w:hAnsi="Times New Roman"/>
          <w:b w:val="false"/>
          <w:bCs w:val="false"/>
          <w:i/>
          <w:iCs/>
          <w:sz w:val="22"/>
          <w:szCs w:val="22"/>
        </w:rPr>
        <w:t xml:space="preserve">representable</w:t>
      </w:r>
      <w:r>
        <w:rPr>
          <w:rFonts w:ascii="Times New Roman" w:cs="Times New Roman" w:eastAsia="Times New Roman" w:hAnsi="Times New Roman"/>
          <w:b w:val="false"/>
          <w:bCs w:val="false"/>
          <w:i w:val="false"/>
          <w:iCs w:val="false"/>
          <w:sz w:val="22"/>
          <w:szCs w:val="22"/>
        </w:rPr>
        <w:t xml:space="preserve"> in the technique library’s abstraction format. Specifically, three architectural conditions must be met:</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rPr>
        <w:t xml:space="preserve">Observation:</w:t>
      </w:r>
      <w:r>
        <w:rPr>
          <w:rFonts w:ascii="Times New Roman" w:cs="Times New Roman" w:eastAsia="Times New Roman" w:hAnsi="Times New Roman"/>
          <w:b w:val="false"/>
          <w:bCs w:val="false"/>
          <w:i w:val="false"/>
          <w:iCs w:val="false"/>
          <w:sz w:val="22"/>
          <w:szCs w:val="22"/>
        </w:rPr>
        <w:t xml:space="preserve"> The learning mechanism must be able to observe derivation events produced by the synthesis tier, not just the forward-chain tier. Currently, synthesis operates as a closed subsystem whose internal steps are not exposed to the technique abstraction pipeline.</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rPr>
        <w:t xml:space="preserve">Abstraction:</w:t>
      </w:r>
      <w:r>
        <w:rPr>
          <w:rFonts w:ascii="Times New Roman" w:cs="Times New Roman" w:eastAsia="Times New Roman" w:hAnsi="Times New Roman"/>
          <w:b w:val="false"/>
          <w:bCs w:val="false"/>
          <w:i w:val="false"/>
          <w:iCs w:val="false"/>
          <w:sz w:val="22"/>
          <w:szCs w:val="22"/>
        </w:rPr>
        <w:t xml:space="preserve"> Synthesis-produced derivations must be representable in a form that the technique library can store and later match against new problems. This requires a shared representational vocabulary between synthesis output and library storage.</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bCs/>
          <w:i w:val="false"/>
          <w:iCs w:val="false"/>
          <w:sz w:val="22"/>
          <w:szCs w:val="22"/>
        </w:rPr>
        <w:t xml:space="preserve">Utility:</w:t>
      </w:r>
      <w:r>
        <w:rPr>
          <w:rFonts w:ascii="Times New Roman" w:cs="Times New Roman" w:eastAsia="Times New Roman" w:hAnsi="Times New Roman"/>
          <w:b w:val="false"/>
          <w:bCs w:val="false"/>
          <w:i w:val="false"/>
          <w:iCs w:val="false"/>
          <w:sz w:val="22"/>
          <w:szCs w:val="22"/>
        </w:rPr>
        <w:t xml:space="preserve"> Stored synthesis-derived techniques must be applicable to future problems in a way that provides an advantage over re-running synthesis from scratch. This is the most challenging condition: if synthesis is fast and reliable, why would retrieving a stored pattern be preferable?</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The answer to condition (3) likely involves efficiency rather than capability: a stored technique could allow the system to bypass the synthesis analysis entirely, solving a problem in one step (pattern match + instantiate) rather than multiple steps (forward chain + synthesis analysis + construction). Under harder problems or tighter resource budgets, this efficiency gain could become the difference between solving and timing out.</w:t>
      </w:r>
    </w:p>
    <w:p>
      <w:pPr>
        <w:pStyle w:val="Heading2"/>
        <w:keepNext/>
        <w:spacing w:before="240" w:after="160"/>
      </w:pPr>
      <w:r>
        <w:rPr>
          <w:rFonts w:ascii="Times New Roman" w:cs="Times New Roman" w:eastAsia="Times New Roman" w:hAnsi="Times New Roman"/>
          <w:b/>
          <w:bCs/>
          <w:sz w:val="24"/>
          <w:szCs w:val="24"/>
        </w:rPr>
        <w:t xml:space="preserve">7.3 Limitations</w:t>
      </w:r>
    </w:p>
    <w:p>
      <w:pPr>
        <w:spacing w:after="120" w:line="276"/>
        <w:ind/>
        <w:jc w:val="both"/>
      </w:pPr>
      <w:r>
        <w:rPr>
          <w:rFonts w:ascii="Times New Roman" w:cs="Times New Roman" w:eastAsia="Times New Roman" w:hAnsi="Times New Roman"/>
          <w:b w:val="false"/>
          <w:bCs w:val="false"/>
          <w:i w:val="false"/>
          <w:iCs w:val="false"/>
          <w:sz w:val="22"/>
          <w:szCs w:val="22"/>
        </w:rPr>
        <w:t xml:space="preserve">Several limitations bound our findings. First, the benchmark operates entirely within propositional logic; the closure-vs-learning gap may not manifest (or may manifest differently) in first-order or higher-order settings where structural synthesis is necessarily incomplete. Second, our benchmark’s difficulty range (L1–L5) may not be sufficient to expose conditions under which the learning mechanism becomes necessary; harder curricula (which we term Tier C and beyond) may produce different M7 results. Third, the system’s perfect determinism (M5=100%) means our results may not generalize to systems with stochastic search components.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Additionally, the technique library’s current abstraction format may be too coarse to capture the structural insights that synthesis produces. A richer technique representation could potentially bridge the gap without architectural changes to the synthesis mechanism itself. We have identified specific design candidates for this richer representation but their evaluation is deferred to future work.</w:t>
      </w:r>
    </w:p>
    <w:p>
      <w:pPr>
        <w:pStyle w:val="Heading1"/>
        <w:keepNext/>
        <w:spacing w:before="360" w:after="160"/>
      </w:pPr>
      <w:r>
        <w:rPr>
          <w:rFonts w:ascii="Times New Roman" w:cs="Times New Roman" w:eastAsia="Times New Roman" w:hAnsi="Times New Roman"/>
          <w:b/>
          <w:bCs/>
          <w:sz w:val="28"/>
          <w:szCs w:val="28"/>
        </w:rPr>
        <w:t xml:space="preserve">8. Conclusion and Future Work</w:t>
      </w:r>
    </w:p>
    <w:p>
      <w:pPr>
        <w:spacing w:after="120" w:line="276"/>
        <w:ind/>
        <w:jc w:val="both"/>
      </w:pPr>
      <w:r>
        <w:rPr>
          <w:rFonts w:ascii="Times New Roman" w:cs="Times New Roman" w:eastAsia="Times New Roman" w:hAnsi="Times New Roman"/>
          <w:b w:val="false"/>
          <w:bCs w:val="false"/>
          <w:i w:val="false"/>
          <w:iCs w:val="false"/>
          <w:sz w:val="22"/>
          <w:szCs w:val="22"/>
        </w:rPr>
        <w:t xml:space="preserve">We have presented ECN, an automated discovery engine that achieves 100% closure on a structured propositional logic benchmark of 735 solvable problems plus 20 unsolvable controls, with perfect determinism, zero oracle leaks, and zero fallback reliance. More significantly, we have identified and characterized the closure-vs-learning gap: a structural property of hybrid solving-learning architectures in which a sufficiently powerful solver renders its companion learning mechanism observationally inert.</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This finding contributes to the understanding of automated reasoning system design in two ways. First, it demonstrates that full closure and effective learning are not automatically co-produced: a system can achieve one perfectly while the other shows no measurable effect. Second, it identifies specific architectural conditions (observation, abstraction, utility) that must be met for the gap to be bridged.</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Future work will focus on three directions: (1) extending the benchmark to harder curricula (Tier C) that may expose the solver’s limits and create conditions where learning becomes necessary; (2) implementing the architectural bridge between synthesis and learning through richer technique representations; and (3) evaluating whether the gap pattern appears in other domains where constructive solvers coexist with experience-based learning systems.</w:t>
      </w:r>
    </w:p>
    <w:p>
      <w:pPr>
        <w:spacing w:after="120" w:line="276"/>
        <w:ind w:firstLine="360"/>
        <w:jc w:val="both"/>
      </w:pPr>
      <w:r>
        <w:rPr>
          <w:rFonts w:ascii="Times New Roman" w:cs="Times New Roman" w:eastAsia="Times New Roman" w:hAnsi="Times New Roman"/>
          <w:b w:val="false"/>
          <w:bCs w:val="false"/>
          <w:i w:val="false"/>
          <w:iCs w:val="false"/>
          <w:sz w:val="22"/>
          <w:szCs w:val="22"/>
        </w:rPr>
        <w:t xml:space="preserve">The code, benchmark specification, and full evaluation data are available under CC BY-NC-SA 4.0 license. A preliminary (incomplete) version was registered at OSF (osf.io/c2va4) on June 24, 2025.</w:t>
      </w:r>
    </w:p>
    <w:p>
      <w:pPr>
        <w:pStyle w:val="Heading1"/>
        <w:keepNext/>
        <w:spacing w:before="360" w:after="160"/>
      </w:pPr>
      <w:r>
        <w:rPr>
          <w:rFonts w:ascii="Times New Roman" w:cs="Times New Roman" w:eastAsia="Times New Roman" w:hAnsi="Times New Roman"/>
          <w:b/>
          <w:bCs/>
          <w:sz w:val="28"/>
          <w:szCs w:val="28"/>
        </w:rPr>
        <w:t xml:space="preserve">References</w:t>
      </w:r>
    </w:p>
    <w:p>
      <w:pPr>
        <w:spacing w:after="80"/>
        <w:ind w:left="360" w:hanging="360"/>
      </w:pPr>
      <w:r>
        <w:rPr>
          <w:rFonts w:ascii="Times New Roman" w:cs="Times New Roman" w:eastAsia="Times New Roman" w:hAnsi="Times New Roman"/>
          <w:b w:val="false"/>
          <w:bCs w:val="false"/>
          <w:i w:val="false"/>
          <w:iCs w:val="false"/>
          <w:sz w:val="22"/>
          <w:szCs w:val="22"/>
        </w:rPr>
        <w:t xml:space="preserve">[1] Bansal, K., Loos, S., Rabe, M., Szegedy, C., and Wilcox, S. (2019). HOList: An environment for machine learning of higher order logic theorem proving. </w:t>
      </w:r>
      <w:r>
        <w:rPr>
          <w:rFonts w:ascii="Times New Roman" w:cs="Times New Roman" w:eastAsia="Times New Roman" w:hAnsi="Times New Roman"/>
          <w:b w:val="false"/>
          <w:bCs w:val="false"/>
          <w:i/>
          <w:iCs/>
          <w:sz w:val="22"/>
          <w:szCs w:val="22"/>
        </w:rPr>
        <w:t xml:space="preserve">Proceedings of ICML 2019</w:t>
      </w:r>
      <w:r>
        <w:rPr>
          <w:rFonts w:ascii="Times New Roman" w:cs="Times New Roman" w:eastAsia="Times New Roman" w:hAnsi="Times New Roman"/>
          <w:b w:val="false"/>
          <w:bCs w:val="false"/>
          <w:i w:val="false"/>
          <w:iCs w:val="false"/>
          <w:sz w:val="22"/>
          <w:szCs w:val="22"/>
        </w:rPr>
        <w:t xml:space="preserve">.</w:t>
      </w:r>
    </w:p>
    <w:p>
      <w:pPr>
        <w:spacing w:after="80"/>
        <w:ind w:left="360" w:hanging="360"/>
      </w:pPr>
      <w:r>
        <w:rPr>
          <w:rFonts w:ascii="Times New Roman" w:cs="Times New Roman" w:eastAsia="Times New Roman" w:hAnsi="Times New Roman"/>
          <w:b w:val="false"/>
          <w:bCs w:val="false"/>
          <w:i w:val="false"/>
          <w:iCs w:val="false"/>
          <w:sz w:val="22"/>
          <w:szCs w:val="22"/>
        </w:rPr>
        <w:t xml:space="preserve">[2] Davis, M., Logemann, G., and Loveland, D. (1962). A machine program for theorem-proving. </w:t>
      </w:r>
      <w:r>
        <w:rPr>
          <w:rFonts w:ascii="Times New Roman" w:cs="Times New Roman" w:eastAsia="Times New Roman" w:hAnsi="Times New Roman"/>
          <w:b w:val="false"/>
          <w:bCs w:val="false"/>
          <w:i/>
          <w:iCs/>
          <w:sz w:val="22"/>
          <w:szCs w:val="22"/>
        </w:rPr>
        <w:t xml:space="preserve">Communications of the ACM</w:t>
      </w:r>
      <w:r>
        <w:rPr>
          <w:rFonts w:ascii="Times New Roman" w:cs="Times New Roman" w:eastAsia="Times New Roman" w:hAnsi="Times New Roman"/>
          <w:b w:val="false"/>
          <w:bCs w:val="false"/>
          <w:i w:val="false"/>
          <w:iCs w:val="false"/>
          <w:sz w:val="22"/>
          <w:szCs w:val="22"/>
        </w:rPr>
        <w:t xml:space="preserve">, 5(7):394–397.</w:t>
      </w:r>
    </w:p>
    <w:p>
      <w:pPr>
        <w:spacing w:after="80"/>
        <w:ind w:left="360" w:hanging="360"/>
      </w:pPr>
      <w:r>
        <w:rPr>
          <w:rFonts w:ascii="Times New Roman" w:cs="Times New Roman" w:eastAsia="Times New Roman" w:hAnsi="Times New Roman"/>
          <w:b w:val="false"/>
          <w:bCs w:val="false"/>
          <w:i w:val="false"/>
          <w:iCs w:val="false"/>
          <w:sz w:val="22"/>
          <w:szCs w:val="22"/>
        </w:rPr>
        <w:t xml:space="preserve">[3] Goel, S., Shrestha, R., Md, A.K., Murali, K., Vattam, S., and Goel, A. (2024). A neurosymbolic cognitive architecture framework for handling novelties in open worlds. </w:t>
      </w:r>
      <w:r>
        <w:rPr>
          <w:rFonts w:ascii="Times New Roman" w:cs="Times New Roman" w:eastAsia="Times New Roman" w:hAnsi="Times New Roman"/>
          <w:b w:val="false"/>
          <w:bCs w:val="false"/>
          <w:i/>
          <w:iCs/>
          <w:sz w:val="22"/>
          <w:szCs w:val="22"/>
        </w:rPr>
        <w:t xml:space="preserve">Artificial Intelligence</w:t>
      </w:r>
      <w:r>
        <w:rPr>
          <w:rFonts w:ascii="Times New Roman" w:cs="Times New Roman" w:eastAsia="Times New Roman" w:hAnsi="Times New Roman"/>
          <w:b w:val="false"/>
          <w:bCs w:val="false"/>
          <w:i w:val="false"/>
          <w:iCs w:val="false"/>
          <w:sz w:val="22"/>
          <w:szCs w:val="22"/>
        </w:rPr>
        <w:t xml:space="preserve">, 331:104111.</w:t>
      </w:r>
    </w:p>
    <w:p>
      <w:pPr>
        <w:spacing w:after="80"/>
        <w:ind w:left="360" w:hanging="360"/>
      </w:pPr>
      <w:r>
        <w:rPr>
          <w:rFonts w:ascii="Times New Roman" w:cs="Times New Roman" w:eastAsia="Times New Roman" w:hAnsi="Times New Roman"/>
          <w:b w:val="false"/>
          <w:bCs w:val="false"/>
          <w:i w:val="false"/>
          <w:iCs w:val="false"/>
          <w:sz w:val="22"/>
          <w:szCs w:val="22"/>
        </w:rPr>
        <w:t xml:space="preserve">[4] Li, C., Huang, W., Tang, Y., et al. (2025). LIMO: Less is more for reasoning. </w:t>
      </w:r>
      <w:r>
        <w:rPr>
          <w:rFonts w:ascii="Times New Roman" w:cs="Times New Roman" w:eastAsia="Times New Roman" w:hAnsi="Times New Roman"/>
          <w:b w:val="false"/>
          <w:bCs w:val="false"/>
          <w:i/>
          <w:iCs/>
          <w:sz w:val="22"/>
          <w:szCs w:val="22"/>
        </w:rPr>
        <w:t xml:space="preserve">arXiv preprint arXiv:2502.03387</w:t>
      </w:r>
      <w:r>
        <w:rPr>
          <w:rFonts w:ascii="Times New Roman" w:cs="Times New Roman" w:eastAsia="Times New Roman" w:hAnsi="Times New Roman"/>
          <w:b w:val="false"/>
          <w:bCs w:val="false"/>
          <w:i w:val="false"/>
          <w:iCs w:val="false"/>
          <w:sz w:val="22"/>
          <w:szCs w:val="22"/>
        </w:rPr>
        <w:t xml:space="preserve">.</w:t>
      </w:r>
    </w:p>
    <w:p>
      <w:pPr>
        <w:spacing w:after="80"/>
        <w:ind w:left="360" w:hanging="360"/>
      </w:pPr>
      <w:r>
        <w:rPr>
          <w:rFonts w:ascii="Times New Roman" w:cs="Times New Roman" w:eastAsia="Times New Roman" w:hAnsi="Times New Roman"/>
          <w:b w:val="false"/>
          <w:bCs w:val="false"/>
          <w:i w:val="false"/>
          <w:iCs w:val="false"/>
          <w:sz w:val="22"/>
          <w:szCs w:val="22"/>
        </w:rPr>
        <w:t xml:space="preserve">[5] Marques-Silva, J.P. and Sakallah, K.A. (1999). GRASP: A search algorithm for propositional satisfiability. </w:t>
      </w:r>
      <w:r>
        <w:rPr>
          <w:rFonts w:ascii="Times New Roman" w:cs="Times New Roman" w:eastAsia="Times New Roman" w:hAnsi="Times New Roman"/>
          <w:b w:val="false"/>
          <w:bCs w:val="false"/>
          <w:i/>
          <w:iCs/>
          <w:sz w:val="22"/>
          <w:szCs w:val="22"/>
        </w:rPr>
        <w:t xml:space="preserve">IEEE Transactions on Computers</w:t>
      </w:r>
      <w:r>
        <w:rPr>
          <w:rFonts w:ascii="Times New Roman" w:cs="Times New Roman" w:eastAsia="Times New Roman" w:hAnsi="Times New Roman"/>
          <w:b w:val="false"/>
          <w:bCs w:val="false"/>
          <w:i w:val="false"/>
          <w:iCs w:val="false"/>
          <w:sz w:val="22"/>
          <w:szCs w:val="22"/>
        </w:rPr>
        <w:t xml:space="preserve">, 48(5):506–521.</w:t>
      </w:r>
    </w:p>
    <w:p>
      <w:pPr>
        <w:spacing w:after="80"/>
        <w:ind w:left="360" w:hanging="360"/>
      </w:pPr>
      <w:r>
        <w:rPr>
          <w:rFonts w:ascii="Times New Roman" w:cs="Times New Roman" w:eastAsia="Times New Roman" w:hAnsi="Times New Roman"/>
          <w:b w:val="false"/>
          <w:bCs w:val="false"/>
          <w:i w:val="false"/>
          <w:iCs w:val="false"/>
          <w:sz w:val="22"/>
          <w:szCs w:val="22"/>
        </w:rPr>
        <w:t xml:space="preserve">[6] Mnih, V., Kavukcuoglu, K., Silver, D., et al. (2015). Human-level control through deep reinforcement learning. </w:t>
      </w:r>
      <w:r>
        <w:rPr>
          <w:rFonts w:ascii="Times New Roman" w:cs="Times New Roman" w:eastAsia="Times New Roman" w:hAnsi="Times New Roman"/>
          <w:b w:val="false"/>
          <w:bCs w:val="false"/>
          <w:i/>
          <w:iCs/>
          <w:sz w:val="22"/>
          <w:szCs w:val="22"/>
        </w:rPr>
        <w:t xml:space="preserve">Nature</w:t>
      </w:r>
      <w:r>
        <w:rPr>
          <w:rFonts w:ascii="Times New Roman" w:cs="Times New Roman" w:eastAsia="Times New Roman" w:hAnsi="Times New Roman"/>
          <w:b w:val="false"/>
          <w:bCs w:val="false"/>
          <w:i w:val="false"/>
          <w:iCs w:val="false"/>
          <w:sz w:val="22"/>
          <w:szCs w:val="22"/>
        </w:rPr>
        <w:t xml:space="preserve">, 518(7540):529–533.</w:t>
      </w:r>
    </w:p>
    <w:p>
      <w:pPr>
        <w:spacing w:after="80"/>
        <w:ind w:left="360" w:hanging="360"/>
      </w:pPr>
      <w:r>
        <w:rPr>
          <w:rFonts w:ascii="Times New Roman" w:cs="Times New Roman" w:eastAsia="Times New Roman" w:hAnsi="Times New Roman"/>
          <w:b w:val="false"/>
          <w:bCs w:val="false"/>
          <w:i w:val="false"/>
          <w:iCs w:val="false"/>
          <w:sz w:val="22"/>
          <w:szCs w:val="22"/>
        </w:rPr>
        <w:t xml:space="preserve">[7] Polu, S. and Sutskever, I. (2020). Generative language modeling for automated theorem proving. </w:t>
      </w:r>
      <w:r>
        <w:rPr>
          <w:rFonts w:ascii="Times New Roman" w:cs="Times New Roman" w:eastAsia="Times New Roman" w:hAnsi="Times New Roman"/>
          <w:b w:val="false"/>
          <w:bCs w:val="false"/>
          <w:i/>
          <w:iCs/>
          <w:sz w:val="22"/>
          <w:szCs w:val="22"/>
        </w:rPr>
        <w:t xml:space="preserve">arXiv preprint arXiv:2009.03393</w:t>
      </w:r>
      <w:r>
        <w:rPr>
          <w:rFonts w:ascii="Times New Roman" w:cs="Times New Roman" w:eastAsia="Times New Roman" w:hAnsi="Times New Roman"/>
          <w:b w:val="false"/>
          <w:bCs w:val="false"/>
          <w:i w:val="false"/>
          <w:iCs w:val="false"/>
          <w:sz w:val="22"/>
          <w:szCs w:val="22"/>
        </w:rPr>
        <w:t xml:space="preserve">.</w:t>
      </w:r>
    </w:p>
    <w:p>
      <w:pPr>
        <w:spacing w:after="80"/>
        <w:ind w:left="360" w:hanging="360"/>
      </w:pPr>
      <w:r>
        <w:rPr>
          <w:rFonts w:ascii="Times New Roman" w:cs="Times New Roman" w:eastAsia="Times New Roman" w:hAnsi="Times New Roman"/>
          <w:b w:val="false"/>
          <w:bCs w:val="false"/>
          <w:i w:val="false"/>
          <w:iCs w:val="false"/>
          <w:sz w:val="22"/>
          <w:szCs w:val="22"/>
        </w:rPr>
        <w:t xml:space="preserve">[8] Robinson, J.A. (1965). A machine-oriented logic based on the resolution principle. </w:t>
      </w:r>
      <w:r>
        <w:rPr>
          <w:rFonts w:ascii="Times New Roman" w:cs="Times New Roman" w:eastAsia="Times New Roman" w:hAnsi="Times New Roman"/>
          <w:b w:val="false"/>
          <w:bCs w:val="false"/>
          <w:i/>
          <w:iCs/>
          <w:sz w:val="22"/>
          <w:szCs w:val="22"/>
        </w:rPr>
        <w:t xml:space="preserve">Journal of the ACM</w:t>
      </w:r>
      <w:r>
        <w:rPr>
          <w:rFonts w:ascii="Times New Roman" w:cs="Times New Roman" w:eastAsia="Times New Roman" w:hAnsi="Times New Roman"/>
          <w:b w:val="false"/>
          <w:bCs w:val="false"/>
          <w:i w:val="false"/>
          <w:iCs w:val="false"/>
          <w:sz w:val="22"/>
          <w:szCs w:val="22"/>
        </w:rPr>
        <w:t xml:space="preserve">, 12(1):23–41.</w:t>
      </w:r>
    </w:p>
    <w:p>
      <w:pPr>
        <w:spacing w:after="80"/>
        <w:ind w:left="360" w:hanging="360"/>
      </w:pPr>
      <w:r>
        <w:rPr>
          <w:rFonts w:ascii="Times New Roman" w:cs="Times New Roman" w:eastAsia="Times New Roman" w:hAnsi="Times New Roman"/>
          <w:b w:val="false"/>
          <w:bCs w:val="false"/>
          <w:i w:val="false"/>
          <w:iCs w:val="false"/>
          <w:sz w:val="22"/>
          <w:szCs w:val="22"/>
        </w:rPr>
        <w:t xml:space="preserve">[9] Xu, Y., Liu, J., Zhong, L., and Chen, S. (2025). Dynamic automated deduction by contradiction separation: The standard extension algorithm. </w:t>
      </w:r>
      <w:r>
        <w:rPr>
          <w:rFonts w:ascii="Times New Roman" w:cs="Times New Roman" w:eastAsia="Times New Roman" w:hAnsi="Times New Roman"/>
          <w:b w:val="false"/>
          <w:bCs w:val="false"/>
          <w:i/>
          <w:iCs/>
          <w:sz w:val="22"/>
          <w:szCs w:val="22"/>
        </w:rPr>
        <w:t xml:space="preserve">arXiv preprint arXiv:2510.08468</w:t>
      </w:r>
      <w:r>
        <w:rPr>
          <w:rFonts w:ascii="Times New Roman" w:cs="Times New Roman" w:eastAsia="Times New Roman" w:hAnsi="Times New Roman"/>
          <w:b w:val="false"/>
          <w:bCs w:val="false"/>
          <w:i w:val="false"/>
          <w:iCs w:val="false"/>
          <w:sz w:val="22"/>
          <w:szCs w:val="22"/>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ECN: Closure-vs-Learning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2026-05-11T05:35:43.174Z</dcterms:created>
  <dcterms:modified xsi:type="dcterms:W3CDTF">2026-05-11T05:35:43.174Z</dcterms:modified>
</cp:coreProperties>
</file>

<file path=docProps/custom.xml><?xml version="1.0" encoding="utf-8"?>
<Properties xmlns="http://schemas.openxmlformats.org/officeDocument/2006/custom-properties" xmlns:vt="http://schemas.openxmlformats.org/officeDocument/2006/docPropsVTypes"/>
</file>