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600" w:line="300"/>
        <w:jc w:val="center"/>
      </w:pPr>
      <w:r>
        <w:rPr>
          <w:rFonts w:ascii="Times New Roman" w:cs="Times New Roman" w:eastAsia="Times New Roman" w:hAnsi="Times New Roman"/>
          <w:b/>
          <w:bCs/>
          <w:sz w:val="36"/>
          <w:szCs w:val="36"/>
        </w:rPr>
        <w:t xml:space="preserve">PROGRESS REPORT</w:t>
      </w:r>
    </w:p>
    <w:p>
      <w:pPr>
        <w:spacing w:after="120" w:before="0" w:line="300"/>
        <w:jc w:val="center"/>
      </w:pPr>
      <w:r>
        <w:rPr>
          <w:rFonts w:ascii="Times New Roman" w:cs="Times New Roman" w:eastAsia="Times New Roman" w:hAnsi="Times New Roman"/>
          <w:b/>
          <w:bCs/>
          <w:sz w:val="32"/>
          <w:szCs w:val="32"/>
        </w:rPr>
        <w:t xml:space="preserve">Stock Market Analysis and Prediction</w:t>
      </w:r>
    </w:p>
    <w:p>
      <w:pPr>
        <w:spacing w:after="360" w:before="0" w:line="300"/>
        <w:jc w:val="center"/>
      </w:pPr>
      <w:r>
        <w:rPr>
          <w:rFonts w:ascii="Times New Roman" w:cs="Times New Roman" w:eastAsia="Times New Roman" w:hAnsi="Times New Roman"/>
          <w:b w:val="false"/>
          <w:bCs w:val="false"/>
          <w:i/>
          <w:iCs/>
          <w:sz w:val="26"/>
          <w:szCs w:val="26"/>
        </w:rPr>
        <w:t xml:space="preserve">AI-Based Decision Support Platform for the Indian Stock Market</w:t>
      </w:r>
    </w:p>
    <w:p>
      <w:pPr>
        <w:spacing w:after="480" w:before="0" w:line="300"/>
        <w:jc w:val="center"/>
      </w:pPr>
      <w:r>
        <w:rPr>
          <w:rFonts w:ascii="Times New Roman" w:cs="Times New Roman" w:eastAsia="Times New Roman" w:hAnsi="Times New Roman"/>
          <w:b/>
          <w:bCs/>
          <w:sz w:val="28"/>
          <w:szCs w:val="28"/>
        </w:rPr>
        <w:t xml:space="preserve">ECSP6007 — Project I</w:t>
      </w:r>
    </w:p>
    <w:p>
      <w:pPr>
        <w:spacing w:after="60" w:before="0" w:line="300"/>
        <w:jc w:val="center"/>
      </w:pPr>
      <w:r>
        <w:rPr>
          <w:rFonts w:ascii="Times New Roman" w:cs="Times New Roman" w:eastAsia="Times New Roman" w:hAnsi="Times New Roman"/>
          <w:b/>
          <w:bCs/>
          <w:sz w:val="28"/>
          <w:szCs w:val="28"/>
        </w:rPr>
        <w:t xml:space="preserve">Shri Ramdeobaba College of Engineering and Management, Nagpur</w:t>
      </w:r>
    </w:p>
    <w:p>
      <w:pPr>
        <w:spacing w:after="480" w:before="0" w:line="300"/>
        <w:jc w:val="center"/>
      </w:pPr>
      <w:r>
        <w:rPr>
          <w:rFonts w:ascii="Times New Roman" w:cs="Times New Roman" w:eastAsia="Times New Roman" w:hAnsi="Times New Roman"/>
          <w:b w:val="false"/>
          <w:bCs w:val="false"/>
          <w:sz w:val="22"/>
          <w:szCs w:val="22"/>
        </w:rPr>
        <w:t xml:space="preserve">(An Autonomous Institution Permanently Affiliated to Rashtrasant Tukdoji Maharaj Nagpur University)</w:t>
      </w:r>
    </w:p>
    <w:p>
      <w:pPr>
        <w:spacing w:after="120" w:before="0" w:line="300"/>
        <w:jc w:val="center"/>
      </w:pPr>
      <w:r>
        <w:rPr>
          <w:rFonts w:ascii="Times New Roman" w:cs="Times New Roman" w:eastAsia="Times New Roman" w:hAnsi="Times New Roman"/>
          <w:b/>
          <w:bCs/>
          <w:sz w:val="26"/>
          <w:szCs w:val="26"/>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4"/>
                <w:szCs w:val="24"/>
              </w:rPr>
              <w:t xml:space="preserve">Roll No.</w:t>
            </w:r>
          </w:p>
        </w:tc>
        <w:tc>
          <w:tcPr>
            <w:tcW w:type="dxa" w:w="67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4"/>
                <w:szCs w:val="24"/>
              </w:rPr>
              <w:t xml:space="preserve">Name of Student</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B-20</w:t>
            </w:r>
          </w:p>
        </w:tc>
        <w:tc>
          <w:tcPr>
            <w:tcW w:type="dxa" w:w="6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4"/>
                <w:szCs w:val="24"/>
              </w:rPr>
              <w:t xml:space="preserve">Rishikesh Chikhale</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B-26</w:t>
            </w:r>
          </w:p>
        </w:tc>
        <w:tc>
          <w:tcPr>
            <w:tcW w:type="dxa" w:w="6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4"/>
                <w:szCs w:val="24"/>
              </w:rPr>
              <w:t xml:space="preserve">Saie Amdhare</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B-52</w:t>
            </w:r>
          </w:p>
        </w:tc>
        <w:tc>
          <w:tcPr>
            <w:tcW w:type="dxa" w:w="6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4"/>
                <w:szCs w:val="24"/>
              </w:rPr>
              <w:t xml:space="preserve">Amogh Shukla</w:t>
            </w:r>
          </w:p>
        </w:tc>
      </w:tr>
      <w:tr>
        <w:trPr>
          <w:cantSplit/>
          <w:tblHeader w:val="false"/>
        </w:trPr>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4"/>
                <w:szCs w:val="24"/>
              </w:rPr>
              <w:t xml:space="preserve">A-56</w:t>
            </w:r>
          </w:p>
        </w:tc>
        <w:tc>
          <w:tcPr>
            <w:tcW w:type="dxa" w:w="6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4"/>
                <w:szCs w:val="24"/>
              </w:rPr>
              <w:t xml:space="preserve">Abhishek Malhotra</w:t>
            </w:r>
          </w:p>
        </w:tc>
      </w:tr>
    </w:tbl>
    <w:p>
      <w:pPr>
        <w:spacing w:after="160" w:line="240"/>
      </w:pPr>
    </w:p>
    <w:p>
      <w:pPr>
        <w:spacing w:after="60" w:before="240" w:line="300"/>
        <w:jc w:val="center"/>
      </w:pPr>
      <w:r>
        <w:rPr>
          <w:rFonts w:ascii="Times New Roman" w:cs="Times New Roman" w:eastAsia="Times New Roman" w:hAnsi="Times New Roman"/>
          <w:b/>
          <w:bCs/>
          <w:sz w:val="26"/>
          <w:szCs w:val="26"/>
        </w:rPr>
        <w:t xml:space="preserve">Under the Guidance of:</w:t>
      </w:r>
    </w:p>
    <w:p>
      <w:pPr>
        <w:spacing w:after="360" w:before="0" w:line="300"/>
        <w:jc w:val="center"/>
      </w:pPr>
      <w:r>
        <w:rPr>
          <w:rFonts w:ascii="Times New Roman" w:cs="Times New Roman" w:eastAsia="Times New Roman" w:hAnsi="Times New Roman"/>
          <w:b w:val="false"/>
          <w:bCs w:val="false"/>
          <w:sz w:val="26"/>
          <w:szCs w:val="26"/>
        </w:rPr>
        <w:t xml:space="preserve">Dr. Jayu Kalambe</w:t>
      </w:r>
    </w:p>
    <w:p>
      <w:pPr>
        <w:spacing w:after="60" w:before="0" w:line="300"/>
        <w:jc w:val="center"/>
      </w:pPr>
      <w:r>
        <w:rPr>
          <w:rFonts w:ascii="Times New Roman" w:cs="Times New Roman" w:eastAsia="Times New Roman" w:hAnsi="Times New Roman"/>
          <w:b w:val="false"/>
          <w:bCs w:val="false"/>
          <w:sz w:val="24"/>
          <w:szCs w:val="24"/>
        </w:rPr>
        <w:t xml:space="preserve">Programme: Bachelor of Technology (Electronics and Computer Science)</w:t>
      </w:r>
    </w:p>
    <w:p>
      <w:pPr>
        <w:spacing w:after="60" w:before="0" w:line="300"/>
        <w:jc w:val="center"/>
      </w:pPr>
      <w:r>
        <w:rPr>
          <w:rFonts w:ascii="Times New Roman" w:cs="Times New Roman" w:eastAsia="Times New Roman" w:hAnsi="Times New Roman"/>
          <w:b w:val="false"/>
          <w:bCs w:val="false"/>
          <w:sz w:val="24"/>
          <w:szCs w:val="24"/>
        </w:rPr>
        <w:t xml:space="preserve">Semester: VII</w:t>
      </w:r>
    </w:p>
    <w:p>
      <w:pPr>
        <w:spacing w:after="0" w:before="0" w:line="300"/>
        <w:jc w:val="center"/>
      </w:pPr>
      <w:r>
        <w:rPr>
          <w:rFonts w:ascii="Times New Roman" w:cs="Times New Roman" w:eastAsia="Times New Roman" w:hAnsi="Times New Roman"/>
          <w:b w:val="false"/>
          <w:bCs w:val="false"/>
          <w:sz w:val="24"/>
          <w:szCs w:val="24"/>
        </w:rPr>
        <w:t xml:space="preserve">Academic Year: 2026–2027</w:t>
      </w:r>
    </w:p>
    <w:p>
      <w:pPr>
        <w:sectPr>
          <w:pgSz w:w="11906" w:h="16838" w:orient="portrait"/>
          <w:pgMar w:top="1440" w:right="1440" w:bottom="1440" w:left="1440" w:header="708" w:footer="708" w:gutter="0"/>
          <w:pgNumType/>
          <w:docGrid w:linePitch="360"/>
        </w:sectPr>
      </w:pPr>
    </w:p>
    <w:p>
      <w:pPr>
        <w:pStyle w:val="FrontHeading"/>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b w:val="false"/>
          <w:bCs w:val="false"/>
          <w:sz w:val="24"/>
          <w:szCs w:val="24"/>
        </w:rPr>
        <w:t xml:space="preserve">The Indian stock market has emerged as one of the fastest growing capital markets in the world, with retail investor participation growing from 4 crore registered accounts in 2019 to over 15 crore by 2024. Despite this exponential growth, the vast majority of retail investors continue to lack access to intelligent, data-driven analytical tools. Existing free platforms provide raw price data and basic charting capabilities but offer no predictive intelligence, no automated technical analysis, and critically, no explanation of why a particular investment decision should be made.</w:t>
      </w:r>
    </w:p>
    <w:p>
      <w:pPr>
        <w:spacing w:after="120" w:before="0" w:line="360"/>
        <w:jc w:val="both"/>
      </w:pPr>
      <w:r>
        <w:rPr>
          <w:rFonts w:ascii="Times New Roman" w:cs="Times New Roman" w:eastAsia="Times New Roman" w:hAnsi="Times New Roman"/>
          <w:b w:val="false"/>
          <w:bCs w:val="false"/>
          <w:sz w:val="24"/>
          <w:szCs w:val="24"/>
        </w:rPr>
        <w:t xml:space="preserve">This progress report presents the design and partial implementation of an AI-Based Stock Market Analysis and Prediction Platform — an end-to-end decision support system specifically built for the Indian stock market. The platform targets three National Stock Exchange (NSE) listed companies across distinct sectors: TVS Motor Company (Automobile and EV), Solar Industries India (Defence and Industrials), and HDFC Bank (Banking and Finance). Using over seven years of historical end-of-day trading data sourced from Yahoo Finance via the yfinance Python library, the platform performs comprehensive data analytics, feature engineering with 27 technical indicators, and multi-model machine learning prediction.</w:t>
      </w:r>
    </w:p>
    <w:p>
      <w:pPr>
        <w:spacing w:after="120" w:before="0" w:line="360"/>
        <w:jc w:val="both"/>
      </w:pPr>
      <w:r>
        <w:rPr>
          <w:rFonts w:ascii="Times New Roman" w:cs="Times New Roman" w:eastAsia="Times New Roman" w:hAnsi="Times New Roman"/>
          <w:b w:val="false"/>
          <w:bCs w:val="false"/>
          <w:sz w:val="24"/>
          <w:szCs w:val="24"/>
        </w:rPr>
        <w:t xml:space="preserve">The core prediction engine employs three complementary models: a Gradient Boosting Classifier for binary UP/DOWN signal generation with BUY/HOLD/SELL recommendation output, an ARIMA(3,1,1) model for 7-day price forecasting, and an LSTM Neural Network for next-day price prediction. Additionally, a Linear Regression trend model provides 30-day price projection with progressive confidence intervals. The platform implements Explainable AI using SHAP (SHapley Additive exPlanations) to provide transparent, human-readable reasoning behind every recommendation.</w:t>
      </w:r>
    </w:p>
    <w:p>
      <w:pPr>
        <w:spacing w:after="120" w:before="0" w:line="360"/>
        <w:jc w:val="both"/>
      </w:pPr>
      <w:r>
        <w:rPr>
          <w:rFonts w:ascii="Times New Roman" w:cs="Times New Roman" w:eastAsia="Times New Roman" w:hAnsi="Times New Roman"/>
          <w:b w:val="false"/>
          <w:bCs w:val="false"/>
          <w:sz w:val="24"/>
          <w:szCs w:val="24"/>
        </w:rPr>
        <w:t xml:space="preserve">As of this progress report, Phases 2 through 8 are complete, encompassing data collection, cleaning, exploratory data analysis, feature engineering, model training, model evaluation, and interactive dashboard development. The Streamlit-based web dashboard is fully functional with live NSE data refresh, candlestick charts with forecast overlays, ML recommendation panels, RSI gauge, SHAP explanation panels, and portfolio overview. Phase 9 deployment on Streamlit Community Cloud remains in progress.</w:t>
      </w:r>
    </w:p>
    <w:p>
      <w:pPr>
        <w:spacing w:after="120" w:before="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b w:val="false"/>
          <w:bCs w:val="false"/>
          <w:sz w:val="24"/>
          <w:szCs w:val="24"/>
        </w:rPr>
        <w:t xml:space="preserve"> Stock Market Prediction, Gradient Boosting, LSTM, ARIMA, Technical Analysis, Explainable AI, SHAP, Streamlit, NSE, Indian Stock Market, Feature Engineering, Decision Support System</w:t>
      </w:r>
    </w:p>
    <w:p>
      <w:pPr>
        <w:pStyle w:val="FrontHeading"/>
      </w:pPr>
      <w:r>
        <w:rPr>
          <w:rFonts w:ascii="Times New Roman" w:cs="Times New Roman" w:eastAsia="Times New Roman" w:hAnsi="Times New Roman"/>
          <w:b/>
          <w:bCs/>
          <w:sz w:val="28"/>
          <w:szCs w:val="28"/>
        </w:rPr>
        <w:t xml:space="preserve">TABLE OF CONTENTS</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1.1</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Background and Motivation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1.2</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Problem Statement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1.3</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Objectives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1.4</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Scope of the Project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Literature Review</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4</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2.1</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Key Research Papers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4</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2.2</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Research Gap Identified</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5</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Methodology</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6</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3.1</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System Architecture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6</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3.2</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Dataset Description</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7</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3.3</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Feature Engineering</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8</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3.4</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Machine Learning Models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11</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3.5</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Evaluation Metrics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12</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Work Done So Far</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14</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4.1</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Phase Completion Status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14</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4.2</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Data Collection Results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14</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4.3</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Exploratory Data Analysis Results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15</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4.4</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Feature Engineering Results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18</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4.5</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Model Training Results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18</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4.6</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Model Evaluation and SHAP Analysis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20</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4.7</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Dashboard Development</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23</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Results and Discussion</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27</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5.1</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Model Performance Analysis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27</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5.2</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SHAP Feature Analysis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28</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5.3</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Backtesting Results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28</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5.4</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Difficulties Encountered and Resolutions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29</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Conclusion and Future Scope</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31</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6.1</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Summary of Work Done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31</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6.2</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Key Findings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31</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6.3</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Limitations</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32</w:t>
      </w:r>
    </w:p>
    <w:p>
      <w:pPr>
        <w:tabs>
          <w:tab w:val="left" w:pos="1500"/>
          <w:tab w:val="right" w:pos="9026" w:leader="dot"/>
        </w:tabs>
        <w:spacing w:after="30" w:before="0" w:line="300"/>
        <w:ind w:left="720"/>
      </w:pPr>
      <w:r>
        <w:rPr>
          <w:rFonts w:ascii="Times New Roman" w:cs="Times New Roman" w:eastAsia="Times New Roman" w:hAnsi="Times New Roman"/>
          <w:b w:val="false"/>
          <w:bCs w:val="false"/>
          <w:sz w:val="24"/>
          <w:szCs w:val="24"/>
        </w:rPr>
        <w:t xml:space="preserve">6.4</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Future Scope</w:t>
      </w:r>
      <w:r>
        <w:rPr>
          <w:rFonts w:ascii="Times New Roman" w:cs="Times New Roman" w:eastAsia="Times New Roman" w:hAnsi="Times New Roman"/>
          <w:sz w:val="24"/>
          <w:szCs w:val="24"/>
        </w:rPr>
        <w:tab/>
      </w:r>
      <w:r>
        <w:rPr>
          <w:rFonts w:ascii="Times New Roman" w:cs="Times New Roman" w:eastAsia="Times New Roman" w:hAnsi="Times New Roman"/>
          <w:b w:val="false"/>
          <w:bCs w:val="false"/>
          <w:sz w:val="24"/>
          <w:szCs w:val="24"/>
        </w:rPr>
        <w:t xml:space="preserve">32</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34</w:t>
      </w:r>
    </w:p>
    <w:p>
      <w:pPr>
        <w:tabs>
          <w:tab w:val="left" w:pos="720"/>
          <w:tab w:val="right" w:pos="9026" w:leader="dot"/>
        </w:tabs>
        <w:spacing w:after="30" w:before="120" w:line="300"/>
      </w:pPr>
      <w:r>
        <w:rPr>
          <w:rFonts w:ascii="Times New Roman" w:cs="Times New Roman" w:eastAsia="Times New Roman" w:hAnsi="Times New Roman"/>
          <w:b/>
          <w:bCs/>
          <w:sz w:val="24"/>
          <w:szCs w:val="24"/>
        </w:rPr>
        <w:t xml:space="preserve">Appendix — Key Source Code and Colab Outputs</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35</w:t>
      </w:r>
    </w:p>
    <w:p>
      <w:pPr>
        <w:pStyle w:val="FrontHeading"/>
      </w:pPr>
      <w:r>
        <w:rPr>
          <w:rFonts w:ascii="Times New Roman" w:cs="Times New Roman" w:eastAsia="Times New Roman" w:hAnsi="Times New Roman"/>
          <w:b/>
          <w:bCs/>
          <w:sz w:val="28"/>
          <w:szCs w:val="28"/>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2"/>
        <w:gridCol w:w="7164"/>
      </w:tblGrid>
      <w:tr>
        <w:trPr>
          <w:cantSplit/>
          <w:tblHeader/>
        </w:trPr>
        <w:tc>
          <w:tcPr>
            <w:tcW w:type="dxa" w:w="186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3"/>
                <w:szCs w:val="23"/>
              </w:rPr>
              <w:t xml:space="preserve">Figure No.</w:t>
            </w:r>
          </w:p>
        </w:tc>
        <w:tc>
          <w:tcPr>
            <w:tcW w:type="dxa" w:w="71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3"/>
                <w:szCs w:val="23"/>
              </w:rPr>
              <w:t xml:space="preserve">Title</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3.1</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System Architecture — 7-Layer Pipeline</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4.1</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Final Clean Data Summary — Colab Output</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4.2</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Closing Price Trend — All Three Stocks (2019–2026)</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4.3</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Cumulative Return Comparison — All Three Stocks</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4.4</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Daily Return Distribution Histogram</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4.5</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Volume Analysis with 20-Day Moving Average</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4.6</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Closing Price Correlation Heatmap</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4.7</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Random Forest Feature Importance — All Three Stocks</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4.8</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Confusion Matrices — All Three Stocks</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4.9</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ROC Curves with AUC Scores — All Three Stocks</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4.10</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SHAP Feature Importance — All Three Stocks</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4.11</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AI Stock Intelligence Platform — Main Dashboard View</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4.12</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Candlestick Chart with ARIMA and 30-Day Trend Forecast</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4.13</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ML Recommendation Panel with Confidence Score</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4.14</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RSI Gauge showing Neutral Zone</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4.15</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SHAP Explanation Panel — Bullish and Bearish Factors</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A.1</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Gradient Boosting Training Output — Colab (Appendix G)</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A.2</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LSTM Training Output — Colab (Appendix G)</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A.3</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ARIMA Training Output — Colab (Appendix G)</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A.4</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Backtesting Simulation Output — Colab (Appendix G)</w:t>
            </w:r>
          </w:p>
        </w:tc>
      </w:tr>
      <w:tr>
        <w:trPr>
          <w:cantSplit/>
          <w:tblHeader w:val="false"/>
        </w:trPr>
        <w:tc>
          <w:tcPr>
            <w:tcW w:type="dxa" w:w="18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Figure A.5</w:t>
            </w:r>
          </w:p>
        </w:tc>
        <w:tc>
          <w:tcPr>
            <w:tcW w:type="dxa" w:w="71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3"/>
                <w:szCs w:val="23"/>
              </w:rPr>
              <w:t xml:space="preserve">Phase 7 Complete Evaluation Summary — Colab (Appendix G)</w:t>
            </w:r>
          </w:p>
        </w:tc>
      </w:tr>
    </w:tbl>
    <w:p>
      <w:pPr>
        <w:spacing w:after="160" w:line="240"/>
      </w:pP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Pr>
      <w:r>
        <w:rPr>
          <w:rFonts w:ascii="Times New Roman" w:cs="Times New Roman" w:eastAsia="Times New Roman" w:hAnsi="Times New Roman"/>
          <w:b/>
          <w:bCs/>
          <w:sz w:val="28"/>
          <w:szCs w:val="28"/>
        </w:rPr>
        <w:t xml:space="preserve">CHAPTER 1 — INTRODUCTION</w:t>
      </w:r>
    </w:p>
    <w:p>
      <w:pPr>
        <w:pStyle w:val="Heading2"/>
      </w:pPr>
      <w:r>
        <w:rPr>
          <w:rFonts w:ascii="Times New Roman" w:cs="Times New Roman" w:eastAsia="Times New Roman" w:hAnsi="Times New Roman"/>
          <w:b/>
          <w:bCs/>
          <w:sz w:val="24"/>
          <w:szCs w:val="24"/>
        </w:rPr>
        <w:t xml:space="preserve">1.1 Background and Motivation</w:t>
      </w:r>
    </w:p>
    <w:p>
      <w:pPr>
        <w:spacing w:after="120" w:before="0" w:line="360"/>
        <w:jc w:val="both"/>
      </w:pPr>
      <w:r>
        <w:rPr>
          <w:rFonts w:ascii="Times New Roman" w:cs="Times New Roman" w:eastAsia="Times New Roman" w:hAnsi="Times New Roman"/>
          <w:b w:val="false"/>
          <w:bCs w:val="false"/>
          <w:sz w:val="24"/>
          <w:szCs w:val="24"/>
        </w:rPr>
        <w:t xml:space="preserve">The global financial market processes trillions of dollars in transactions every single day. At the heart of this activity lies the stock market — a complex, dynamic, and often unpredictable ecosystem where millions of investors, institutions, and traders interact simultaneously. For individual investors, navigating this ecosystem requires a deep understanding of financial theory, market behavior, technical analysis, and macroeconomic trends — knowledge that takes years to develop and is rarely accessible to the average person.</w:t>
      </w:r>
    </w:p>
    <w:p>
      <w:pPr>
        <w:spacing w:after="120" w:before="0" w:line="360"/>
        <w:jc w:val="both"/>
      </w:pPr>
      <w:r>
        <w:rPr>
          <w:rFonts w:ascii="Times New Roman" w:cs="Times New Roman" w:eastAsia="Times New Roman" w:hAnsi="Times New Roman"/>
          <w:b w:val="false"/>
          <w:bCs w:val="false"/>
          <w:sz w:val="24"/>
          <w:szCs w:val="24"/>
        </w:rPr>
        <w:t xml:space="preserve">In India, the National Stock Exchange (NSE) and the Bombay Stock Exchange (BSE) together represent one of the largest and fastest-growing capital markets in the world. With increasing financial literacy, growing middle-class participation in equity markets, and the rise of mobile trading platforms, the number of retail investors in India has grown from approximately 4 crore in 2019 to over 15 crore in 2024, a 275% increase in just five years. This exponential growth has brought with it an equally exponential demand for intelligent, data-driven tools that can help investors make better decisions.</w:t>
      </w:r>
    </w:p>
    <w:p>
      <w:pPr>
        <w:spacing w:after="120" w:before="0" w:line="360"/>
        <w:jc w:val="both"/>
      </w:pPr>
      <w:r>
        <w:rPr>
          <w:rFonts w:ascii="Times New Roman" w:cs="Times New Roman" w:eastAsia="Times New Roman" w:hAnsi="Times New Roman"/>
          <w:b w:val="false"/>
          <w:bCs w:val="false"/>
          <w:sz w:val="24"/>
          <w:szCs w:val="24"/>
        </w:rPr>
        <w:t xml:space="preserve">Simultaneously, the fields of Artificial Intelligence (AI) and Machine Learning (ML) have seen remarkable advancements. Algorithms can now process vast amounts of historical data, identify hidden patterns, and generate predictions with a level of speed and consistency that no human analyst can match. The intersection of these two worlds — financial markets and AI — has given rise to a new domain known as Quantitative Finance and Algorithmic Decision Support.</w:t>
      </w:r>
    </w:p>
    <w:p>
      <w:pPr>
        <w:spacing w:after="120" w:before="0" w:line="360"/>
        <w:jc w:val="both"/>
      </w:pPr>
      <w:r>
        <w:rPr>
          <w:rFonts w:ascii="Times New Roman" w:cs="Times New Roman" w:eastAsia="Times New Roman" w:hAnsi="Times New Roman"/>
          <w:b w:val="false"/>
          <w:bCs w:val="false"/>
          <w:sz w:val="24"/>
          <w:szCs w:val="24"/>
        </w:rPr>
        <w:t xml:space="preserve">This project is motivated by three core observations: first, that most retail investors in India lack access to sophisticated analytical tools; second, that existing free tools provide only raw data without intelligent interpretation; and third, that academic research in AI-based stock prediction rarely translates into practical, user-friendly systems. This platform aims to bridge that gap by building a complete, end-to-end AI-powered stock analysis and decision support system specifically tailored for the Indian market.</w:t>
      </w:r>
    </w:p>
    <w:p>
      <w:pPr>
        <w:pStyle w:val="Heading2"/>
      </w:pPr>
      <w:r>
        <w:rPr>
          <w:rFonts w:ascii="Times New Roman" w:cs="Times New Roman" w:eastAsia="Times New Roman" w:hAnsi="Times New Roman"/>
          <w:b/>
          <w:bCs/>
          <w:sz w:val="24"/>
          <w:szCs w:val="24"/>
        </w:rPr>
        <w:t xml:space="preserve">1.2 Problem Statement</w:t>
      </w:r>
    </w:p>
    <w:p>
      <w:pPr>
        <w:spacing w:after="120" w:before="0" w:line="360"/>
        <w:jc w:val="both"/>
      </w:pPr>
      <w:r>
        <w:rPr>
          <w:rFonts w:ascii="Times New Roman" w:cs="Times New Roman" w:eastAsia="Times New Roman" w:hAnsi="Times New Roman"/>
          <w:b w:val="false"/>
          <w:bCs w:val="false"/>
          <w:sz w:val="24"/>
          <w:szCs w:val="24"/>
        </w:rPr>
        <w:t xml:space="preserve">Despite the widespread availability of stock market data, retail investors in India continue to face the following critical problems:</w:t>
      </w:r>
    </w:p>
    <w:p>
      <w:pPr>
        <w:keepNext/>
        <w:spacing w:after="60" w:before="120" w:line="360"/>
        <w:jc w:val="left"/>
      </w:pPr>
      <w:r>
        <w:rPr>
          <w:rFonts w:ascii="Times New Roman" w:cs="Times New Roman" w:eastAsia="Times New Roman" w:hAnsi="Times New Roman"/>
          <w:b/>
          <w:bCs/>
          <w:sz w:val="24"/>
          <w:szCs w:val="24"/>
        </w:rPr>
        <w:t xml:space="preserve">Problem 1 — Information Overload:</w:t>
      </w:r>
    </w:p>
    <w:p>
      <w:pPr>
        <w:spacing w:after="120" w:before="0" w:line="360"/>
        <w:jc w:val="both"/>
      </w:pPr>
      <w:r>
        <w:rPr>
          <w:rFonts w:ascii="Times New Roman" w:cs="Times New Roman" w:eastAsia="Times New Roman" w:hAnsi="Times New Roman"/>
          <w:b w:val="false"/>
          <w:bCs w:val="false"/>
          <w:sz w:val="24"/>
          <w:szCs w:val="24"/>
        </w:rPr>
        <w:t xml:space="preserve">Investors are simultaneously exposed to live price movements, breaking news headlines, social media posts, quarterly earnings reports, and analyst recommendations that frequently contradict each other. There is no framework to prioritize, filter, or synthesize this information into a single coherent actionable signal. The result is decision paralysis or impulsive decisions driven by the most recent headline rather than underlying data patterns.</w:t>
      </w:r>
    </w:p>
    <w:p>
      <w:pPr>
        <w:keepNext/>
        <w:spacing w:after="60" w:before="120" w:line="360"/>
        <w:jc w:val="left"/>
      </w:pPr>
      <w:r>
        <w:rPr>
          <w:rFonts w:ascii="Times New Roman" w:cs="Times New Roman" w:eastAsia="Times New Roman" w:hAnsi="Times New Roman"/>
          <w:b/>
          <w:bCs/>
          <w:sz w:val="24"/>
          <w:szCs w:val="24"/>
        </w:rPr>
        <w:t xml:space="preserve">Problem 2 — No Predictive Intelligence in Free Tools:</w:t>
      </w:r>
    </w:p>
    <w:p>
      <w:pPr>
        <w:spacing w:after="120" w:before="0" w:line="360"/>
        <w:jc w:val="both"/>
      </w:pPr>
      <w:r>
        <w:rPr>
          <w:rFonts w:ascii="Times New Roman" w:cs="Times New Roman" w:eastAsia="Times New Roman" w:hAnsi="Times New Roman"/>
          <w:b w:val="false"/>
          <w:bCs w:val="false"/>
          <w:sz w:val="24"/>
          <w:szCs w:val="24"/>
        </w:rPr>
        <w:t xml:space="preserve">The most widely used free platforms available to Indian retail investors — including the NSE official website, Moneycontrol, Groww, and TradingView — provide data and basic charting capabilities. However, none of these platforms offer ML-based predictive analysis, trend classification, or actionable recommendations. They are tools for informed humans, not intelligent systems that augment human decision-making.</w:t>
      </w:r>
    </w:p>
    <w:p>
      <w:pPr>
        <w:keepNext/>
        <w:spacing w:after="60" w:before="120" w:line="360"/>
        <w:jc w:val="left"/>
      </w:pPr>
      <w:r>
        <w:rPr>
          <w:rFonts w:ascii="Times New Roman" w:cs="Times New Roman" w:eastAsia="Times New Roman" w:hAnsi="Times New Roman"/>
          <w:b/>
          <w:bCs/>
          <w:sz w:val="24"/>
          <w:szCs w:val="24"/>
        </w:rPr>
        <w:t xml:space="preserve">Problem 3 — Black Box AI:</w:t>
      </w:r>
    </w:p>
    <w:p>
      <w:pPr>
        <w:spacing w:after="120" w:before="0" w:line="360"/>
        <w:jc w:val="both"/>
      </w:pPr>
      <w:r>
        <w:rPr>
          <w:rFonts w:ascii="Times New Roman" w:cs="Times New Roman" w:eastAsia="Times New Roman" w:hAnsi="Times New Roman"/>
          <w:b w:val="false"/>
          <w:bCs w:val="false"/>
          <w:sz w:val="24"/>
          <w:szCs w:val="24"/>
        </w:rPr>
        <w:t xml:space="preserve">Even where AI-powered tools exist — typically expensive subscription services targeting institutional investors — they function as black boxes. They output a BUY or SELL signal without any explanation of the reasoning behind it. A recommendation without a reason is not intelligence; it is noise. Users cannot trust what they cannot understand.</w:t>
      </w:r>
    </w:p>
    <w:p>
      <w:pPr>
        <w:keepNext/>
        <w:spacing w:after="60" w:before="120" w:line="360"/>
        <w:jc w:val="left"/>
      </w:pPr>
      <w:r>
        <w:rPr>
          <w:rFonts w:ascii="Times New Roman" w:cs="Times New Roman" w:eastAsia="Times New Roman" w:hAnsi="Times New Roman"/>
          <w:b/>
          <w:bCs/>
          <w:sz w:val="24"/>
          <w:szCs w:val="24"/>
        </w:rPr>
        <w:t xml:space="preserve">Problem 4 — Manual and Error-Prone Technical Analysis:</w:t>
      </w:r>
    </w:p>
    <w:p>
      <w:pPr>
        <w:spacing w:after="120" w:before="0" w:line="360"/>
        <w:jc w:val="both"/>
      </w:pPr>
      <w:r>
        <w:rPr>
          <w:rFonts w:ascii="Times New Roman" w:cs="Times New Roman" w:eastAsia="Times New Roman" w:hAnsi="Times New Roman"/>
          <w:b w:val="false"/>
          <w:bCs w:val="false"/>
          <w:sz w:val="24"/>
          <w:szCs w:val="24"/>
        </w:rPr>
        <w:t xml:space="preserve">Computing technical indicators such as RSI, MACD, and Bollinger Bands manually is time-consuming, error-prone, and non-scalable. Analyzing even three stocks simultaneously across multiple indicators is practically impossible for an individual investor without automation.</w:t>
      </w:r>
    </w:p>
    <w:p>
      <w:pPr>
        <w:keepNext/>
        <w:spacing w:after="60" w:before="120" w:line="360"/>
        <w:jc w:val="left"/>
      </w:pPr>
      <w:r>
        <w:rPr>
          <w:rFonts w:ascii="Times New Roman" w:cs="Times New Roman" w:eastAsia="Times New Roman" w:hAnsi="Times New Roman"/>
          <w:b/>
          <w:bCs/>
          <w:sz w:val="24"/>
          <w:szCs w:val="24"/>
        </w:rPr>
        <w:t xml:space="preserve">Problem 5 — No Comparative Model Evaluation:</w:t>
      </w:r>
    </w:p>
    <w:p>
      <w:pPr>
        <w:spacing w:after="120" w:before="0" w:line="360"/>
        <w:jc w:val="both"/>
      </w:pPr>
      <w:r>
        <w:rPr>
          <w:rFonts w:ascii="Times New Roman" w:cs="Times New Roman" w:eastAsia="Times New Roman" w:hAnsi="Times New Roman"/>
          <w:b w:val="false"/>
          <w:bCs w:val="false"/>
          <w:sz w:val="24"/>
          <w:szCs w:val="24"/>
        </w:rPr>
        <w:t xml:space="preserve">Even among investors with some exposure to algorithmic trading concepts, decision-making typically relies on a single method. There is no accessible way for a retail investor to compare multiple prediction approaches, understand their relative strengths and weaknesses, and make an informed choice about which signal to trust in which market condition.</w:t>
      </w:r>
    </w:p>
    <w:p>
      <w:pPr>
        <w:pStyle w:val="Heading2"/>
      </w:pPr>
      <w:r>
        <w:rPr>
          <w:rFonts w:ascii="Times New Roman" w:cs="Times New Roman" w:eastAsia="Times New Roman" w:hAnsi="Times New Roman"/>
          <w:b/>
          <w:bCs/>
          <w:sz w:val="24"/>
          <w:szCs w:val="24"/>
        </w:rPr>
        <w:t xml:space="preserve">1.3 Objectives</w:t>
      </w:r>
    </w:p>
    <w:p>
      <w:pPr>
        <w:keepNext/>
        <w:spacing w:after="60" w:before="120" w:line="360"/>
        <w:jc w:val="left"/>
      </w:pPr>
      <w:r>
        <w:rPr>
          <w:rFonts w:ascii="Times New Roman" w:cs="Times New Roman" w:eastAsia="Times New Roman" w:hAnsi="Times New Roman"/>
          <w:b/>
          <w:bCs/>
          <w:sz w:val="24"/>
          <w:szCs w:val="24"/>
        </w:rPr>
        <w:t xml:space="preserve">Primary Objectives:</w:t>
      </w:r>
    </w:p>
    <w:p>
      <w:pPr>
        <w:pStyle w:val="ListParagraph"/>
        <w:numPr>
          <w:ilvl w:val="0"/>
          <w:numId w:val="2"/>
        </w:numPr>
        <w:spacing w:after="80" w:line="340"/>
        <w:jc w:val="both"/>
      </w:pPr>
      <w:r>
        <w:rPr>
          <w:rFonts w:ascii="Times New Roman" w:cs="Times New Roman" w:eastAsia="Times New Roman" w:hAnsi="Times New Roman"/>
          <w:b w:val="false"/>
          <w:bCs w:val="false"/>
          <w:sz w:val="24"/>
          <w:szCs w:val="24"/>
        </w:rPr>
        <w:t xml:space="preserve">To collect and clean historical OHLCV (Open, High, Low, Close, Volume) data for TVS Motor Company, Solar Industries India, and HDFC Bank from January 2019 to October 2026, spanning over seven years of NSE trading data.</w:t>
      </w:r>
    </w:p>
    <w:p>
      <w:pPr>
        <w:pStyle w:val="ListParagraph"/>
        <w:numPr>
          <w:ilvl w:val="0"/>
          <w:numId w:val="2"/>
        </w:numPr>
        <w:spacing w:after="80" w:line="340"/>
        <w:jc w:val="both"/>
      </w:pPr>
      <w:r>
        <w:rPr>
          <w:rFonts w:ascii="Times New Roman" w:cs="Times New Roman" w:eastAsia="Times New Roman" w:hAnsi="Times New Roman"/>
          <w:b w:val="false"/>
          <w:bCs w:val="false"/>
          <w:sz w:val="24"/>
          <w:szCs w:val="24"/>
        </w:rPr>
        <w:t xml:space="preserve">To perform comprehensive Exploratory Data Analysis (EDA) and compute 27 technical indicators including RSI, MACD, Bollinger Bands, Moving Averages, volume features, and multi-period return features to serve as ML input features.</w:t>
      </w:r>
    </w:p>
    <w:p>
      <w:pPr>
        <w:pStyle w:val="ListParagraph"/>
        <w:numPr>
          <w:ilvl w:val="0"/>
          <w:numId w:val="2"/>
        </w:numPr>
        <w:spacing w:after="80" w:line="340"/>
        <w:jc w:val="both"/>
      </w:pPr>
      <w:r>
        <w:rPr>
          <w:rFonts w:ascii="Times New Roman" w:cs="Times New Roman" w:eastAsia="Times New Roman" w:hAnsi="Times New Roman"/>
          <w:b w:val="false"/>
          <w:bCs w:val="false"/>
          <w:sz w:val="24"/>
          <w:szCs w:val="24"/>
        </w:rPr>
        <w:t xml:space="preserve">To design and train three distinct prediction models — Gradient Boosting Classifier, ARIMA, and LSTM Neural Network — and evaluate their performance using standard classification and regression metrics.</w:t>
      </w:r>
    </w:p>
    <w:p>
      <w:pPr>
        <w:pStyle w:val="ListParagraph"/>
        <w:numPr>
          <w:ilvl w:val="0"/>
          <w:numId w:val="2"/>
        </w:numPr>
        <w:spacing w:after="80" w:line="340"/>
        <w:jc w:val="both"/>
      </w:pPr>
      <w:r>
        <w:rPr>
          <w:rFonts w:ascii="Times New Roman" w:cs="Times New Roman" w:eastAsia="Times New Roman" w:hAnsi="Times New Roman"/>
          <w:b w:val="false"/>
          <w:bCs w:val="false"/>
          <w:sz w:val="24"/>
          <w:szCs w:val="24"/>
        </w:rPr>
        <w:t xml:space="preserve">To develop a BUY/HOLD/SELL recommendation engine with a confidence scoring system based on binary UP/DOWN direction prediction with confidence threshold-based signal generation.</w:t>
      </w:r>
    </w:p>
    <w:p>
      <w:pPr>
        <w:pStyle w:val="ListParagraph"/>
        <w:numPr>
          <w:ilvl w:val="0"/>
          <w:numId w:val="2"/>
        </w:numPr>
        <w:spacing w:after="80" w:line="340"/>
        <w:jc w:val="both"/>
      </w:pPr>
      <w:r>
        <w:rPr>
          <w:rFonts w:ascii="Times New Roman" w:cs="Times New Roman" w:eastAsia="Times New Roman" w:hAnsi="Times New Roman"/>
          <w:b w:val="false"/>
          <w:bCs w:val="false"/>
          <w:sz w:val="24"/>
          <w:szCs w:val="24"/>
        </w:rPr>
        <w:t xml:space="preserve">To implement Explainable AI using SHAP (SHapley Additive exPlanations) to provide transparent, human-readable reasoning for every prediction generated by the platform.</w:t>
      </w:r>
    </w:p>
    <w:p>
      <w:pPr>
        <w:pStyle w:val="ListParagraph"/>
        <w:numPr>
          <w:ilvl w:val="0"/>
          <w:numId w:val="2"/>
        </w:numPr>
        <w:spacing w:after="80" w:line="340"/>
        <w:jc w:val="both"/>
      </w:pPr>
      <w:r>
        <w:rPr>
          <w:rFonts w:ascii="Times New Roman" w:cs="Times New Roman" w:eastAsia="Times New Roman" w:hAnsi="Times New Roman"/>
          <w:b w:val="false"/>
          <w:bCs w:val="false"/>
          <w:sz w:val="24"/>
          <w:szCs w:val="24"/>
        </w:rPr>
        <w:t xml:space="preserve">To build and deploy an interactive web-based dashboard using Streamlit that allows users to select market sectors, view candlestick charts with technical overlays, review ML recommendations, view price forecasts, and read SHAP explanations.</w:t>
      </w:r>
    </w:p>
    <w:p>
      <w:pPr>
        <w:keepNext/>
        <w:spacing w:after="60" w:before="120" w:line="360"/>
        <w:jc w:val="left"/>
      </w:pPr>
      <w:r>
        <w:rPr>
          <w:rFonts w:ascii="Times New Roman" w:cs="Times New Roman" w:eastAsia="Times New Roman" w:hAnsi="Times New Roman"/>
          <w:b/>
          <w:bCs/>
          <w:sz w:val="24"/>
          <w:szCs w:val="24"/>
        </w:rPr>
        <w:t xml:space="preserve">Secondary Objectives:</w:t>
      </w:r>
    </w:p>
    <w:p>
      <w:pPr>
        <w:pStyle w:val="ListParagraph"/>
        <w:numPr>
          <w:ilvl w:val="0"/>
          <w:numId w:val="3"/>
        </w:numPr>
        <w:spacing w:after="80" w:line="340"/>
        <w:jc w:val="both"/>
      </w:pPr>
      <w:r>
        <w:rPr>
          <w:rFonts w:ascii="Times New Roman" w:cs="Times New Roman" w:eastAsia="Times New Roman" w:hAnsi="Times New Roman"/>
          <w:b w:val="false"/>
          <w:bCs w:val="false"/>
          <w:sz w:val="24"/>
          <w:szCs w:val="24"/>
        </w:rPr>
        <w:t xml:space="preserve">To compare the predictive performance of Gradient Boosting, ARIMA, and LSTM models on the same dataset, contributing to comparative model evaluation in financial forecasting.</w:t>
      </w:r>
    </w:p>
    <w:p>
      <w:pPr>
        <w:pStyle w:val="ListParagraph"/>
        <w:numPr>
          <w:ilvl w:val="0"/>
          <w:numId w:val="3"/>
        </w:numPr>
        <w:spacing w:after="80" w:line="340"/>
        <w:jc w:val="both"/>
      </w:pPr>
      <w:r>
        <w:rPr>
          <w:rFonts w:ascii="Times New Roman" w:cs="Times New Roman" w:eastAsia="Times New Roman" w:hAnsi="Times New Roman"/>
          <w:b w:val="false"/>
          <w:bCs w:val="false"/>
          <w:sz w:val="24"/>
          <w:szCs w:val="24"/>
        </w:rPr>
        <w:t xml:space="preserve">To demonstrate the practical feasibility of building an industry-relevant AI-based financial tool using entirely open-source Python libraries and free deployment infrastructure.</w:t>
      </w:r>
    </w:p>
    <w:p>
      <w:pPr>
        <w:pStyle w:val="ListParagraph"/>
        <w:numPr>
          <w:ilvl w:val="0"/>
          <w:numId w:val="3"/>
        </w:numPr>
        <w:spacing w:after="80" w:line="340"/>
        <w:jc w:val="both"/>
      </w:pPr>
      <w:r>
        <w:rPr>
          <w:rFonts w:ascii="Times New Roman" w:cs="Times New Roman" w:eastAsia="Times New Roman" w:hAnsi="Times New Roman"/>
          <w:b w:val="false"/>
          <w:bCs w:val="false"/>
          <w:sz w:val="24"/>
          <w:szCs w:val="24"/>
        </w:rPr>
        <w:t xml:space="preserve">To provide a scalable platform that can serve as a foundation for future enhancements including real-time data integration, news sentiment analysis, and fundamental data incorporation.</w:t>
      </w:r>
    </w:p>
    <w:p>
      <w:pPr>
        <w:pStyle w:val="Heading2"/>
      </w:pPr>
      <w:r>
        <w:rPr>
          <w:rFonts w:ascii="Times New Roman" w:cs="Times New Roman" w:eastAsia="Times New Roman" w:hAnsi="Times New Roman"/>
          <w:b/>
          <w:bCs/>
          <w:sz w:val="24"/>
          <w:szCs w:val="24"/>
        </w:rPr>
        <w:t xml:space="preserve">1.4 Scope of the Project</w:t>
      </w:r>
    </w:p>
    <w:p>
      <w:pPr>
        <w:spacing w:after="120" w:before="0" w:line="360"/>
        <w:jc w:val="both"/>
      </w:pPr>
      <w:r>
        <w:rPr>
          <w:rFonts w:ascii="Times New Roman" w:cs="Times New Roman" w:eastAsia="Times New Roman" w:hAnsi="Times New Roman"/>
          <w:b w:val="false"/>
          <w:bCs w:val="false"/>
          <w:sz w:val="24"/>
          <w:szCs w:val="24"/>
        </w:rPr>
        <w:t xml:space="preserve">The scope of this project is defined as follows:</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b w:val="false"/>
          <w:bCs w:val="false"/>
          <w:sz w:val="24"/>
          <w:szCs w:val="24"/>
        </w:rPr>
        <w:t xml:space="preserve"> Historical end-of-day OHLCV data from NSE. Live data refresh every 5 minutes during market hours (9:15 AM to 3:30 PM IST) using yfinance. No tick-by-tick intraday streaming.</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Stocks:</w:t>
      </w:r>
      <w:r>
        <w:rPr>
          <w:rFonts w:ascii="Times New Roman" w:cs="Times New Roman" w:eastAsia="Times New Roman" w:hAnsi="Times New Roman"/>
          <w:b w:val="false"/>
          <w:bCs w:val="false"/>
          <w:sz w:val="24"/>
          <w:szCs w:val="24"/>
        </w:rPr>
        <w:t xml:space="preserve"> Three NSE-listed companies across three distinct market sectors — Automobile and EV (TVS Motor), Defence and Industrials (Solar Industries), and Banking and Finance (HDFC Bank).</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Trading horizon:</w:t>
      </w:r>
      <w:r>
        <w:rPr>
          <w:rFonts w:ascii="Times New Roman" w:cs="Times New Roman" w:eastAsia="Times New Roman" w:hAnsi="Times New Roman"/>
          <w:b w:val="false"/>
          <w:bCs w:val="false"/>
          <w:sz w:val="24"/>
          <w:szCs w:val="24"/>
        </w:rPr>
        <w:t xml:space="preserve"> Short-term positional trading (1 to 30 days). Not intraday.</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Analysis type:</w:t>
      </w:r>
      <w:r>
        <w:rPr>
          <w:rFonts w:ascii="Times New Roman" w:cs="Times New Roman" w:eastAsia="Times New Roman" w:hAnsi="Times New Roman"/>
          <w:b w:val="false"/>
          <w:bCs w:val="false"/>
          <w:sz w:val="24"/>
          <w:szCs w:val="24"/>
        </w:rPr>
        <w:t xml:space="preserve"> Technical indicator analysis. Fundamental data (P/E ratios, earnings) and news sentiment analysis are explicitly out of current scope and identified as future enhancements.</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b w:val="false"/>
          <w:bCs w:val="false"/>
          <w:sz w:val="24"/>
          <w:szCs w:val="24"/>
        </w:rPr>
        <w:t xml:space="preserve"> Free hosting on Streamlit Community Cloud with public URL access.</w:t>
      </w:r>
    </w:p>
    <w:p>
      <w:pPr>
        <w:pStyle w:val="Heading1"/>
      </w:pPr>
      <w:r>
        <w:rPr>
          <w:rFonts w:ascii="Times New Roman" w:cs="Times New Roman" w:eastAsia="Times New Roman" w:hAnsi="Times New Roman"/>
          <w:b/>
          <w:bCs/>
          <w:sz w:val="28"/>
          <w:szCs w:val="28"/>
        </w:rPr>
        <w:t xml:space="preserve">CHAPTER 2 — LITERATURE REVIEW</w:t>
      </w:r>
    </w:p>
    <w:p>
      <w:pPr>
        <w:pStyle w:val="Heading2"/>
      </w:pPr>
      <w:r>
        <w:rPr>
          <w:rFonts w:ascii="Times New Roman" w:cs="Times New Roman" w:eastAsia="Times New Roman" w:hAnsi="Times New Roman"/>
          <w:b/>
          <w:bCs/>
          <w:sz w:val="24"/>
          <w:szCs w:val="24"/>
        </w:rPr>
        <w:t xml:space="preserve">2.1 Key Research Papers</w:t>
      </w:r>
    </w:p>
    <w:p>
      <w:pPr>
        <w:spacing w:after="120" w:before="0" w:line="360"/>
        <w:jc w:val="both"/>
      </w:pPr>
      <w:r>
        <w:rPr>
          <w:rFonts w:ascii="Times New Roman" w:cs="Times New Roman" w:eastAsia="Times New Roman" w:hAnsi="Times New Roman"/>
          <w:b w:val="false"/>
          <w:bCs w:val="false"/>
          <w:sz w:val="24"/>
          <w:szCs w:val="24"/>
        </w:rPr>
        <w:t xml:space="preserve">The following peer-reviewed publications form the theoretical foundation of this project:</w:t>
      </w:r>
    </w:p>
    <w:p>
      <w:pPr>
        <w:keepNext/>
        <w:spacing w:after="60" w:before="120" w:line="360"/>
        <w:jc w:val="left"/>
      </w:pPr>
      <w:r>
        <w:rPr>
          <w:rFonts w:ascii="Times New Roman" w:cs="Times New Roman" w:eastAsia="Times New Roman" w:hAnsi="Times New Roman"/>
          <w:b/>
          <w:bCs/>
          <w:sz w:val="24"/>
          <w:szCs w:val="24"/>
        </w:rPr>
        <w:t xml:space="preserve">Patel et al. (2015) — Random Forest on Indian NSE Stocks</w:t>
      </w:r>
    </w:p>
    <w:p>
      <w:pPr>
        <w:spacing w:after="120" w:before="0" w:line="360"/>
        <w:jc w:val="both"/>
      </w:pPr>
      <w:r>
        <w:rPr>
          <w:rFonts w:ascii="Times New Roman" w:cs="Times New Roman" w:eastAsia="Times New Roman" w:hAnsi="Times New Roman"/>
          <w:b w:val="false"/>
          <w:bCs w:val="false"/>
          <w:sz w:val="24"/>
          <w:szCs w:val="24"/>
        </w:rPr>
        <w:t xml:space="preserve">Patel, Shah, Thakkar, and Kotecha conducted a comparative study of Random Forest, Support Vector Machine, Artificial Neural Network, and Naive Bayes classifiers on Indian NSE stock data. Their results demonstrated that Random Forest consistently outperformed all other algorithms in terms of accuracy and robustness, achieving accuracy exceeding 80% on the NSE dataset. This study directly validates the use of tree-based ensemble methods for Indian stock market prediction and provides the accuracy benchmark against which this project’s results are contextualized.</w:t>
      </w:r>
    </w:p>
    <w:p>
      <w:pPr>
        <w:keepNext/>
        <w:spacing w:after="60" w:before="120" w:line="360"/>
        <w:jc w:val="left"/>
      </w:pPr>
      <w:r>
        <w:rPr>
          <w:rFonts w:ascii="Times New Roman" w:cs="Times New Roman" w:eastAsia="Times New Roman" w:hAnsi="Times New Roman"/>
          <w:b/>
          <w:bCs/>
          <w:sz w:val="24"/>
          <w:szCs w:val="24"/>
        </w:rPr>
        <w:t xml:space="preserve">Khaidem et al. (2016) — Random Forest with Technical Indicators</w:t>
      </w:r>
    </w:p>
    <w:p>
      <w:pPr>
        <w:spacing w:after="120" w:before="0" w:line="360"/>
        <w:jc w:val="both"/>
      </w:pPr>
      <w:r>
        <w:rPr>
          <w:rFonts w:ascii="Times New Roman" w:cs="Times New Roman" w:eastAsia="Times New Roman" w:hAnsi="Times New Roman"/>
          <w:b w:val="false"/>
          <w:bCs w:val="false"/>
          <w:sz w:val="24"/>
          <w:szCs w:val="24"/>
        </w:rPr>
        <w:t xml:space="preserve">Khaidem, Saha, and Dey applied Random Forest classifiers with technical indicators as input features to predict stock price movement direction for NYSE-listed stocks. Their model achieved average classification accuracy exceeding 80%. This paper is directly relevant as it validates the feature engineering approach adopted in this project — computing RSI, MACD, Bollinger Bands, and Moving Averages from raw price data and feeding them as features to a tree-based classifier.</w:t>
      </w:r>
    </w:p>
    <w:p>
      <w:pPr>
        <w:keepNext/>
        <w:spacing w:after="60" w:before="120" w:line="360"/>
        <w:jc w:val="left"/>
      </w:pPr>
      <w:r>
        <w:rPr>
          <w:rFonts w:ascii="Times New Roman" w:cs="Times New Roman" w:eastAsia="Times New Roman" w:hAnsi="Times New Roman"/>
          <w:b/>
          <w:bCs/>
          <w:sz w:val="24"/>
          <w:szCs w:val="24"/>
        </w:rPr>
        <w:t xml:space="preserve">Selvin et al. (2017) — LSTM on NSE Indian Stocks</w:t>
      </w:r>
    </w:p>
    <w:p>
      <w:pPr>
        <w:spacing w:after="120" w:before="0" w:line="360"/>
        <w:jc w:val="both"/>
      </w:pPr>
      <w:r>
        <w:rPr>
          <w:rFonts w:ascii="Times New Roman" w:cs="Times New Roman" w:eastAsia="Times New Roman" w:hAnsi="Times New Roman"/>
          <w:b w:val="false"/>
          <w:bCs w:val="false"/>
          <w:sz w:val="24"/>
          <w:szCs w:val="24"/>
        </w:rPr>
        <w:t xml:space="preserve">Selvin, Vinayakumar, Gopalakrishnan, Menon, and Soman applied LSTM, RNN, and sliding window CNN architectures to NSE-listed stock data, confirming that LSTM achieved superior performance across multiple evaluation metrics on Indian market data. This study is particularly significant as it validates the applicability of LSTM to the Indian stock market context rather than only international markets.</w:t>
      </w:r>
    </w:p>
    <w:p>
      <w:pPr>
        <w:keepNext/>
        <w:spacing w:after="60" w:before="120" w:line="360"/>
        <w:jc w:val="left"/>
      </w:pPr>
      <w:r>
        <w:rPr>
          <w:rFonts w:ascii="Times New Roman" w:cs="Times New Roman" w:eastAsia="Times New Roman" w:hAnsi="Times New Roman"/>
          <w:b/>
          <w:bCs/>
          <w:sz w:val="24"/>
          <w:szCs w:val="24"/>
        </w:rPr>
        <w:t xml:space="preserve">Lundberg and Lee (2017) — SHAP Framework</w:t>
      </w:r>
    </w:p>
    <w:p>
      <w:pPr>
        <w:spacing w:after="120" w:before="0" w:line="360"/>
        <w:jc w:val="both"/>
      </w:pPr>
      <w:r>
        <w:rPr>
          <w:rFonts w:ascii="Times New Roman" w:cs="Times New Roman" w:eastAsia="Times New Roman" w:hAnsi="Times New Roman"/>
          <w:b w:val="false"/>
          <w:bCs w:val="false"/>
          <w:sz w:val="24"/>
          <w:szCs w:val="24"/>
        </w:rPr>
        <w:t xml:space="preserve">Lundberg and Lee introduced the SHAP (SHapley Additive exPlanations) framework, providing a unified measure of feature importance grounded in cooperative game theory. SHAP assigns each feature a Shapley value representing its marginal contribution to a specific model prediction at the instance level. This is the theoretical foundation of the explainability layer in this platform.</w:t>
      </w:r>
    </w:p>
    <w:p>
      <w:pPr>
        <w:keepNext/>
        <w:spacing w:after="60" w:before="120" w:line="360"/>
        <w:jc w:val="left"/>
      </w:pPr>
      <w:r>
        <w:rPr>
          <w:rFonts w:ascii="Times New Roman" w:cs="Times New Roman" w:eastAsia="Times New Roman" w:hAnsi="Times New Roman"/>
          <w:b/>
          <w:bCs/>
          <w:sz w:val="24"/>
          <w:szCs w:val="24"/>
        </w:rPr>
        <w:t xml:space="preserve">Fischer and Krauss (2018) — LSTM vs ARIMA</w:t>
      </w:r>
    </w:p>
    <w:p>
      <w:pPr>
        <w:spacing w:after="120" w:before="0" w:line="360"/>
        <w:jc w:val="both"/>
      </w:pPr>
      <w:r>
        <w:rPr>
          <w:rFonts w:ascii="Times New Roman" w:cs="Times New Roman" w:eastAsia="Times New Roman" w:hAnsi="Times New Roman"/>
          <w:b w:val="false"/>
          <w:bCs w:val="false"/>
          <w:sz w:val="24"/>
          <w:szCs w:val="24"/>
        </w:rPr>
        <w:t xml:space="preserve">Fischer and Krauss demonstrated that LSTM networks outperformed traditional statistical models including ARIMA and logistic regression in predicting the direction of S&amp;P 500 stock movements. Their study validates the three-model comparison approach adopted in this project and supports the inclusion of both ARIMA and LSTM for comparative analysis.</w:t>
      </w:r>
    </w:p>
    <w:p>
      <w:pPr>
        <w:keepNext/>
        <w:spacing w:after="60" w:before="120" w:line="360"/>
        <w:jc w:val="left"/>
      </w:pPr>
      <w:r>
        <w:rPr>
          <w:rFonts w:ascii="Times New Roman" w:cs="Times New Roman" w:eastAsia="Times New Roman" w:hAnsi="Times New Roman"/>
          <w:b/>
          <w:bCs/>
          <w:sz w:val="24"/>
          <w:szCs w:val="24"/>
        </w:rPr>
        <w:t xml:space="preserve">Bussmann et al. (2020) — SHAP Increases User Trust</w:t>
      </w:r>
    </w:p>
    <w:p>
      <w:pPr>
        <w:spacing w:after="120" w:before="0" w:line="360"/>
        <w:jc w:val="both"/>
      </w:pPr>
      <w:r>
        <w:rPr>
          <w:rFonts w:ascii="Times New Roman" w:cs="Times New Roman" w:eastAsia="Times New Roman" w:hAnsi="Times New Roman"/>
          <w:b w:val="false"/>
          <w:bCs w:val="false"/>
          <w:sz w:val="24"/>
          <w:szCs w:val="24"/>
        </w:rPr>
        <w:t xml:space="preserve">Bussmann, Giudici, Marinelli, and Papenbrock applied SHAP to explainable credit risk scoring models in banking and demonstrated that SHAP-based explanations significantly increased user trust and adoption of AI-assisted decisions compared to black-box models. This finding directly motivates the implementation of SHAP explainability in this platform as a core feature rather than an optional addition.</w:t>
      </w:r>
    </w:p>
    <w:p>
      <w:pPr>
        <w:keepNext/>
        <w:spacing w:after="60" w:before="120" w:line="360"/>
        <w:jc w:val="left"/>
      </w:pPr>
      <w:r>
        <w:rPr>
          <w:rFonts w:ascii="Times New Roman" w:cs="Times New Roman" w:eastAsia="Times New Roman" w:hAnsi="Times New Roman"/>
          <w:b/>
          <w:bCs/>
          <w:sz w:val="24"/>
          <w:szCs w:val="24"/>
        </w:rPr>
        <w:t xml:space="preserve">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0"/>
        <w:gridCol w:w="877"/>
        <w:gridCol w:w="3008"/>
        <w:gridCol w:w="3261"/>
      </w:tblGrid>
      <w:tr>
        <w:trPr>
          <w:cantSplit/>
          <w:tblHeader/>
        </w:trPr>
        <w:tc>
          <w:tcPr>
            <w:tcW w:type="dxa" w:w="18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Author(s)</w:t>
            </w:r>
          </w:p>
        </w:tc>
        <w:tc>
          <w:tcPr>
            <w:tcW w:type="dxa" w:w="8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Year</w:t>
            </w:r>
          </w:p>
        </w:tc>
        <w:tc>
          <w:tcPr>
            <w:tcW w:type="dxa" w:w="300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Key Finding</w:t>
            </w:r>
          </w:p>
        </w:tc>
        <w:tc>
          <w:tcPr>
            <w:tcW w:type="dxa" w:w="326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Relevance to This Project</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Patel et al.</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2015</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RF best classifier on NSE Indian stocks</w:t>
            </w:r>
          </w:p>
        </w:tc>
        <w:tc>
          <w:tcPr>
            <w:tcW w:type="dxa" w:w="3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Validates ensemble model for Indian market</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Khaidem et al.</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2016</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RF with indicators achieves 80%+ accuracy</w:t>
            </w:r>
          </w:p>
        </w:tc>
        <w:tc>
          <w:tcPr>
            <w:tcW w:type="dxa" w:w="3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Sets accuracy benchmark and validates features</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Selvin et al.</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2017</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LSTM confirmed on NSE Indian data</w:t>
            </w:r>
          </w:p>
        </w:tc>
        <w:tc>
          <w:tcPr>
            <w:tcW w:type="dxa" w:w="3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Validates LSTM for Indian market context</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Lundberg and Lee</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2017</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SHAP framework for ML explainability</w:t>
            </w:r>
          </w:p>
        </w:tc>
        <w:tc>
          <w:tcPr>
            <w:tcW w:type="dxa" w:w="3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Foundation of our XAI layer</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Fischer and Krauss</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2018</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LSTM outperforms ARIMA on financial data</w:t>
            </w:r>
          </w:p>
        </w:tc>
        <w:tc>
          <w:tcPr>
            <w:tcW w:type="dxa" w:w="3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Validates three-model comparison approach</w:t>
            </w:r>
          </w:p>
        </w:tc>
      </w:tr>
      <w:tr>
        <w:trPr>
          <w:cantSplit/>
          <w:tblHeader w:val="false"/>
        </w:trPr>
        <w:tc>
          <w:tcPr>
            <w:tcW w:type="dxa" w:w="18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Bussmann et al.</w:t>
            </w:r>
          </w:p>
        </w:tc>
        <w:tc>
          <w:tcPr>
            <w:tcW w:type="dxa" w:w="8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2020</w:t>
            </w:r>
          </w:p>
        </w:tc>
        <w:tc>
          <w:tcPr>
            <w:tcW w:type="dxa" w:w="30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SHAP increases user trust in AI finance</w:t>
            </w:r>
          </w:p>
        </w:tc>
        <w:tc>
          <w:tcPr>
            <w:tcW w:type="dxa" w:w="326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Motivates transparency-first dashboard design</w:t>
            </w:r>
          </w:p>
        </w:tc>
      </w:tr>
    </w:tbl>
    <w:p>
      <w:pPr>
        <w:spacing w:after="160" w:line="240"/>
      </w:pPr>
    </w:p>
    <w:p>
      <w:pPr>
        <w:pStyle w:val="Heading2"/>
      </w:pPr>
      <w:r>
        <w:rPr>
          <w:rFonts w:ascii="Times New Roman" w:cs="Times New Roman" w:eastAsia="Times New Roman" w:hAnsi="Times New Roman"/>
          <w:b/>
          <w:bCs/>
          <w:sz w:val="24"/>
          <w:szCs w:val="24"/>
        </w:rPr>
        <w:t xml:space="preserve">2.2 Research Gap Identified</w:t>
      </w:r>
    </w:p>
    <w:p>
      <w:pPr>
        <w:spacing w:after="120" w:before="0" w:line="360"/>
        <w:jc w:val="both"/>
      </w:pPr>
      <w:r>
        <w:rPr>
          <w:rFonts w:ascii="Times New Roman" w:cs="Times New Roman" w:eastAsia="Times New Roman" w:hAnsi="Times New Roman"/>
          <w:b w:val="false"/>
          <w:bCs w:val="false"/>
          <w:sz w:val="24"/>
          <w:szCs w:val="24"/>
        </w:rPr>
        <w:t xml:space="preserve">A thorough review of the existing literature reveals a consistent and significant gap: all reviewed studies stop at model training and evaluation. None extend into practical deployment as a usable, interactive dashboard that a non-technical retail investor can operate. The gap between academic exploration and practical usability is wide.</w:t>
      </w:r>
    </w:p>
    <w:p>
      <w:pPr>
        <w:spacing w:after="120" w:before="0" w:line="360"/>
        <w:jc w:val="both"/>
      </w:pPr>
      <w:r>
        <w:rPr>
          <w:rFonts w:ascii="Times New Roman" w:cs="Times New Roman" w:eastAsia="Times New Roman" w:hAnsi="Times New Roman"/>
          <w:b w:val="false"/>
          <w:bCs w:val="false"/>
          <w:sz w:val="24"/>
          <w:szCs w:val="24"/>
        </w:rPr>
        <w:t xml:space="preserve">Furthermore, most studies focus on a single model or a single stock, making cross-model and cross-sector comparison impossible. This project fills both gaps — building a system that is simultaneously academically rigorous and practically deployable, with three models compared across three sectors on a single unified platform.</w:t>
      </w:r>
    </w:p>
    <w:p>
      <w:pPr>
        <w:pStyle w:val="Heading1"/>
      </w:pPr>
      <w:r>
        <w:rPr>
          <w:rFonts w:ascii="Times New Roman" w:cs="Times New Roman" w:eastAsia="Times New Roman" w:hAnsi="Times New Roman"/>
          <w:b/>
          <w:bCs/>
          <w:sz w:val="28"/>
          <w:szCs w:val="28"/>
        </w:rPr>
        <w:t xml:space="preserve">CHAPTER 3 — METHODOLOGY</w:t>
      </w:r>
    </w:p>
    <w:p>
      <w:pPr>
        <w:pStyle w:val="Heading2"/>
      </w:pPr>
      <w:r>
        <w:rPr>
          <w:rFonts w:ascii="Times New Roman" w:cs="Times New Roman" w:eastAsia="Times New Roman" w:hAnsi="Times New Roman"/>
          <w:b/>
          <w:bCs/>
          <w:sz w:val="24"/>
          <w:szCs w:val="24"/>
        </w:rPr>
        <w:t xml:space="preserve">3.1 System Architecture</w:t>
      </w:r>
    </w:p>
    <w:p>
      <w:pPr>
        <w:spacing w:after="120" w:before="0" w:line="360"/>
        <w:jc w:val="both"/>
      </w:pPr>
      <w:r>
        <w:rPr>
          <w:rFonts w:ascii="Times New Roman" w:cs="Times New Roman" w:eastAsia="Times New Roman" w:hAnsi="Times New Roman"/>
          <w:b w:val="false"/>
          <w:bCs w:val="false"/>
          <w:sz w:val="24"/>
          <w:szCs w:val="24"/>
        </w:rPr>
        <w:t xml:space="preserve">The platform is designed as a seven-layer modular architecture. Each layer is independent — errors or changes in one layer do not affect the functioning of adjacent layers. Data flows unidirectionally from the data source through successive transformation stages before reaching the user-facing dashboard.</w:t>
      </w:r>
    </w:p>
    <w:p>
      <w:pPr>
        <w:keepNext/>
        <w:spacing w:after="0" w:before="120"/>
        <w:jc w:val="center"/>
      </w:pPr>
      <w:r>
        <w:drawing>
          <wp:inline distT="0" distB="0" distL="0" distR="0">
            <wp:extent cx="4371975" cy="4953000"/>
            <wp:effectExtent t="0" r="0" b="0" l="0"/>
            <wp:docPr id="1" name="Figure 3.1: System Architecture — 7-Layer Pipeline from Raw Data to Live Dashboard" descr="Figure 3.1: System Architecture — 7-Layer Pipeline from Raw Data to Live Dashboard" title="Figure 3.1: System Architecture — 7-Layer Pipeline from Raw Data to Liv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71975" cy="49530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3.1: System Architecture — 7-Layer Pipeline from Raw Data to Live Dashboard</w:t>
      </w:r>
    </w:p>
    <w:p>
      <w:pPr>
        <w:keepNext/>
        <w:spacing w:after="60" w:before="120" w:line="360"/>
        <w:jc w:val="left"/>
      </w:pPr>
      <w:r>
        <w:rPr>
          <w:rFonts w:ascii="Times New Roman" w:cs="Times New Roman" w:eastAsia="Times New Roman" w:hAnsi="Times New Roman"/>
          <w:b/>
          <w:bCs/>
          <w:sz w:val="24"/>
          <w:szCs w:val="24"/>
        </w:rPr>
        <w:t xml:space="preserve">Layer 1 — Data Acquisition Layer:</w:t>
      </w:r>
    </w:p>
    <w:p>
      <w:pPr>
        <w:spacing w:after="120" w:before="0" w:line="360"/>
        <w:jc w:val="both"/>
      </w:pPr>
      <w:r>
        <w:rPr>
          <w:rFonts w:ascii="Times New Roman" w:cs="Times New Roman" w:eastAsia="Times New Roman" w:hAnsi="Times New Roman"/>
          <w:b w:val="false"/>
          <w:bCs w:val="false"/>
          <w:sz w:val="24"/>
          <w:szCs w:val="24"/>
        </w:rPr>
        <w:t xml:space="preserve">The yfinance Python library interfaces with Yahoo Finance servers to download historical OHLCV data for three NSE-listed tickers: TVSMOTOR.NS, SOLARINDS.NS, and HDFCBANK.NS. Data covers the period from January 2, 2019 to October 1, 2026 at daily intervals. Downloaded data is saved as CSV files for reproducibility and also fetched live in the dashboard with a 5-minute cache TTL.</w:t>
      </w:r>
    </w:p>
    <w:p>
      <w:pPr>
        <w:keepNext/>
        <w:spacing w:after="60" w:before="120" w:line="360"/>
        <w:jc w:val="left"/>
      </w:pPr>
      <w:r>
        <w:rPr>
          <w:rFonts w:ascii="Times New Roman" w:cs="Times New Roman" w:eastAsia="Times New Roman" w:hAnsi="Times New Roman"/>
          <w:b/>
          <w:bCs/>
          <w:sz w:val="24"/>
          <w:szCs w:val="24"/>
        </w:rPr>
        <w:t xml:space="preserve">Layer 2 — Data Cleaning and Preprocessing Layer:</w:t>
      </w:r>
    </w:p>
    <w:p>
      <w:pPr>
        <w:spacing w:after="120" w:before="0" w:line="360"/>
        <w:jc w:val="both"/>
      </w:pPr>
      <w:r>
        <w:rPr>
          <w:rFonts w:ascii="Times New Roman" w:cs="Times New Roman" w:eastAsia="Times New Roman" w:hAnsi="Times New Roman"/>
          <w:b w:val="false"/>
          <w:bCs w:val="false"/>
          <w:sz w:val="24"/>
          <w:szCs w:val="24"/>
        </w:rPr>
        <w:t xml:space="preserve">Raw CSV data undergoes multi-step cleaning: filtering extra metadata rows appended by yfinance, explicit type conversion of price columns from string to float64 using pd.to_numeric(), date index parsing using pd.to_datetime(), forward-fill for missing values, and dropna() for remaining nulls.</w:t>
      </w:r>
    </w:p>
    <w:p>
      <w:pPr>
        <w:keepNext/>
        <w:spacing w:after="60" w:before="120" w:line="360"/>
        <w:jc w:val="left"/>
      </w:pPr>
      <w:r>
        <w:rPr>
          <w:rFonts w:ascii="Times New Roman" w:cs="Times New Roman" w:eastAsia="Times New Roman" w:hAnsi="Times New Roman"/>
          <w:b/>
          <w:bCs/>
          <w:sz w:val="24"/>
          <w:szCs w:val="24"/>
        </w:rPr>
        <w:t xml:space="preserve">Layer 3 — Feature Engineering Layer:</w:t>
      </w:r>
    </w:p>
    <w:p>
      <w:pPr>
        <w:spacing w:after="120" w:before="0" w:line="360"/>
        <w:jc w:val="both"/>
      </w:pPr>
      <w:r>
        <w:rPr>
          <w:rFonts w:ascii="Times New Roman" w:cs="Times New Roman" w:eastAsia="Times New Roman" w:hAnsi="Times New Roman"/>
          <w:b w:val="false"/>
          <w:bCs w:val="false"/>
          <w:sz w:val="24"/>
          <w:szCs w:val="24"/>
        </w:rPr>
        <w:t xml:space="preserve">Technical indicators are computed from the cleaned OHLCV data. This layer transforms 5 raw columns (Open, High, Low, Close, Volume) into 27 meaningful features across five categories: trend, momentum, volatility, volume, and return. Target labels (UP=1, DOWN=0) are generated from 5-day forward returns.</w:t>
      </w:r>
    </w:p>
    <w:p>
      <w:pPr>
        <w:keepNext/>
        <w:spacing w:after="60" w:before="120" w:line="360"/>
        <w:jc w:val="left"/>
      </w:pPr>
      <w:r>
        <w:rPr>
          <w:rFonts w:ascii="Times New Roman" w:cs="Times New Roman" w:eastAsia="Times New Roman" w:hAnsi="Times New Roman"/>
          <w:b/>
          <w:bCs/>
          <w:sz w:val="24"/>
          <w:szCs w:val="24"/>
        </w:rPr>
        <w:t xml:space="preserve">Layer 4 — Machine Learning Layer:</w:t>
      </w:r>
    </w:p>
    <w:p>
      <w:pPr>
        <w:spacing w:after="120" w:before="0" w:line="360"/>
        <w:jc w:val="both"/>
      </w:pPr>
      <w:r>
        <w:rPr>
          <w:rFonts w:ascii="Times New Roman" w:cs="Times New Roman" w:eastAsia="Times New Roman" w:hAnsi="Times New Roman"/>
          <w:b w:val="false"/>
          <w:bCs w:val="false"/>
          <w:sz w:val="24"/>
          <w:szCs w:val="24"/>
        </w:rPr>
        <w:t xml:space="preserve">Three models are trained per stock: Gradient Boosting Classifier (primary, binary classification), ARIMA(3,1,1) (short-term 7-day price forecasting), and LSTM Neural Network (next-day price prediction). A Linear Regression trend model provides 30-day price projection in the dashboard. Data is split 70% training, 15% validation, 15% test in strict chronological order to prevent data leakage.</w:t>
      </w:r>
    </w:p>
    <w:p>
      <w:pPr>
        <w:keepNext/>
        <w:spacing w:after="60" w:before="120" w:line="360"/>
        <w:jc w:val="left"/>
      </w:pPr>
      <w:r>
        <w:rPr>
          <w:rFonts w:ascii="Times New Roman" w:cs="Times New Roman" w:eastAsia="Times New Roman" w:hAnsi="Times New Roman"/>
          <w:b/>
          <w:bCs/>
          <w:sz w:val="24"/>
          <w:szCs w:val="24"/>
        </w:rPr>
        <w:t xml:space="preserve">Layer 5 — Evaluation Layer:</w:t>
      </w:r>
    </w:p>
    <w:p>
      <w:pPr>
        <w:spacing w:after="120" w:before="0" w:line="360"/>
        <w:jc w:val="both"/>
      </w:pPr>
      <w:r>
        <w:rPr>
          <w:rFonts w:ascii="Times New Roman" w:cs="Times New Roman" w:eastAsia="Times New Roman" w:hAnsi="Times New Roman"/>
          <w:b w:val="false"/>
          <w:bCs w:val="false"/>
          <w:sz w:val="24"/>
          <w:szCs w:val="24"/>
        </w:rPr>
        <w:t xml:space="preserve">Model performance is assessed using Accuracy, F1 Score, AUC-ROC, and Confusion Matrix for the Gradient Boosting Classifier, and RMSE, MAPE, and AIC for ARIMA and LSTM. Backtesting simulates trading strategy performance on the held-out test set.</w:t>
      </w:r>
    </w:p>
    <w:p>
      <w:pPr>
        <w:keepNext/>
        <w:spacing w:after="60" w:before="120" w:line="360"/>
        <w:jc w:val="left"/>
      </w:pPr>
      <w:r>
        <w:rPr>
          <w:rFonts w:ascii="Times New Roman" w:cs="Times New Roman" w:eastAsia="Times New Roman" w:hAnsi="Times New Roman"/>
          <w:b/>
          <w:bCs/>
          <w:sz w:val="24"/>
          <w:szCs w:val="24"/>
        </w:rPr>
        <w:t xml:space="preserve">Layer 6 — Explainability Layer:</w:t>
      </w:r>
    </w:p>
    <w:p>
      <w:pPr>
        <w:spacing w:after="120" w:before="0" w:line="360"/>
        <w:jc w:val="both"/>
      </w:pPr>
      <w:r>
        <w:rPr>
          <w:rFonts w:ascii="Times New Roman" w:cs="Times New Roman" w:eastAsia="Times New Roman" w:hAnsi="Times New Roman"/>
          <w:b w:val="false"/>
          <w:bCs w:val="false"/>
          <w:sz w:val="24"/>
          <w:szCs w:val="24"/>
        </w:rPr>
        <w:t xml:space="preserve">SHAP TreeExplainer is applied to the trained Gradient Boosting model to compute per-feature Shapley values for the most recent prediction, generating a ranked, human-readable explanation of which technical indicators drove the recommendation and in which direction.</w:t>
      </w:r>
    </w:p>
    <w:p>
      <w:pPr>
        <w:keepNext/>
        <w:spacing w:after="60" w:before="120" w:line="360"/>
        <w:jc w:val="left"/>
      </w:pPr>
      <w:r>
        <w:rPr>
          <w:rFonts w:ascii="Times New Roman" w:cs="Times New Roman" w:eastAsia="Times New Roman" w:hAnsi="Times New Roman"/>
          <w:b/>
          <w:bCs/>
          <w:sz w:val="24"/>
          <w:szCs w:val="24"/>
        </w:rPr>
        <w:t xml:space="preserve">Layer 7 — Presentation and Deployment Layer:</w:t>
      </w:r>
    </w:p>
    <w:p>
      <w:pPr>
        <w:spacing w:after="120" w:before="0" w:line="360"/>
        <w:jc w:val="both"/>
      </w:pPr>
      <w:r>
        <w:rPr>
          <w:rFonts w:ascii="Times New Roman" w:cs="Times New Roman" w:eastAsia="Times New Roman" w:hAnsi="Times New Roman"/>
          <w:b w:val="false"/>
          <w:bCs w:val="false"/>
          <w:sz w:val="24"/>
          <w:szCs w:val="24"/>
        </w:rPr>
        <w:t xml:space="preserve">Streamlit renders the interactive dashboard with Plotly candlestick charts, technical indicator overlays, ARIMA and trend regression forecast lines, ML recommendation panels, RSI gauge, SHAP explanation panels, and portfolio overview. The dashboard fetches live NSE data every 5 minutes during market hours.</w:t>
      </w:r>
    </w:p>
    <w:p>
      <w:pPr>
        <w:pStyle w:val="Heading2"/>
      </w:pPr>
      <w:r>
        <w:rPr>
          <w:rFonts w:ascii="Times New Roman" w:cs="Times New Roman" w:eastAsia="Times New Roman" w:hAnsi="Times New Roman"/>
          <w:b/>
          <w:bCs/>
          <w:sz w:val="24"/>
          <w:szCs w:val="24"/>
        </w:rPr>
        <w:t xml:space="preserve">3.2 Dataset Description</w:t>
      </w:r>
    </w:p>
    <w:p>
      <w:pPr>
        <w:spacing w:after="120" w:before="0" w:line="360"/>
        <w:jc w:val="both"/>
      </w:pPr>
      <w:r>
        <w:rPr>
          <w:rFonts w:ascii="Times New Roman" w:cs="Times New Roman" w:eastAsia="Times New Roman" w:hAnsi="Times New Roman"/>
          <w:b w:val="false"/>
          <w:bCs w:val="false"/>
          <w:sz w:val="24"/>
          <w:szCs w:val="24"/>
        </w:rPr>
        <w:t xml:space="preserve">All data is sourced from Yahoo Finance using the yfinance Python library. The dataset covers daily trading data from January 2, 2019 to October 1, 2026 — spanning over 7 years and including diverse market conditions: the pre-COVID bull market, the March 2020 COVID crash, the subsequent V-shaped recovery, the 2021-2022 bull run, the 2023-2024 interest rate correction, and the 2025-2026 market phase.</w:t>
      </w:r>
    </w:p>
    <w:p>
      <w:pPr>
        <w:keepNext/>
        <w:spacing w:after="60" w:before="120" w:line="360"/>
        <w:jc w:val="left"/>
      </w:pPr>
      <w:r>
        <w:rPr>
          <w:rFonts w:ascii="Times New Roman" w:cs="Times New Roman" w:eastAsia="Times New Roman" w:hAnsi="Times New Roman"/>
          <w:b/>
          <w:bCs/>
          <w:sz w:val="24"/>
          <w:szCs w:val="24"/>
        </w:rPr>
        <w:t xml:space="preserve">Dataset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504"/>
        <w:gridCol w:w="1719"/>
        <w:gridCol w:w="967"/>
        <w:gridCol w:w="1611"/>
        <w:gridCol w:w="1399"/>
      </w:tblGrid>
      <w:tr>
        <w:trPr>
          <w:cantSplit/>
          <w:tblHeader/>
        </w:trPr>
        <w:tc>
          <w:tcPr>
            <w:tcW w:type="dxa" w:w="18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0"/>
                <w:szCs w:val="20"/>
              </w:rPr>
              <w:t xml:space="preserve">Stock</w:t>
            </w:r>
          </w:p>
        </w:tc>
        <w:tc>
          <w:tcPr>
            <w:tcW w:type="dxa" w:w="150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0"/>
                <w:szCs w:val="20"/>
              </w:rPr>
              <w:t xml:space="preserve">NSE Ticker</w:t>
            </w:r>
          </w:p>
        </w:tc>
        <w:tc>
          <w:tcPr>
            <w:tcW w:type="dxa" w:w="17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0"/>
                <w:szCs w:val="20"/>
              </w:rPr>
              <w:t xml:space="preserve">Sector</w:t>
            </w:r>
          </w:p>
        </w:tc>
        <w:tc>
          <w:tcPr>
            <w:tcW w:type="dxa" w:w="96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0"/>
                <w:szCs w:val="20"/>
              </w:rPr>
              <w:t xml:space="preserve">Rows</w:t>
            </w:r>
          </w:p>
        </w:tc>
        <w:tc>
          <w:tcPr>
            <w:tcW w:type="dxa" w:w="161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0"/>
                <w:szCs w:val="20"/>
              </w:rPr>
              <w:t xml:space="preserve">Date Range</w:t>
            </w:r>
          </w:p>
        </w:tc>
        <w:tc>
          <w:tcPr>
            <w:tcW w:type="dxa" w:w="139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0"/>
                <w:szCs w:val="20"/>
              </w:rPr>
              <w:t xml:space="preserve">Avg Close Price</w:t>
            </w:r>
          </w:p>
        </w:tc>
      </w:tr>
      <w:tr>
        <w:trPr>
          <w:cantSplit/>
          <w:tblHeader w:val="false"/>
        </w:trPr>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TVS Motor Company</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TVSMOTOR.NS</w:t>
            </w:r>
          </w:p>
        </w:tc>
        <w:tc>
          <w:tcPr>
            <w:tcW w:type="dxa" w:w="17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Automobile and EV</w:t>
            </w:r>
          </w:p>
        </w:tc>
        <w:tc>
          <w:tcPr>
            <w:tcW w:type="dxa" w:w="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1,919</w:t>
            </w:r>
          </w:p>
        </w:tc>
        <w:tc>
          <w:tcPr>
            <w:tcW w:type="dxa" w:w="1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Jan 2019 – Oct 2026</w:t>
            </w:r>
          </w:p>
        </w:tc>
        <w:tc>
          <w:tcPr>
            <w:tcW w:type="dxa" w:w="13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Rs. 1,514.81</w:t>
            </w:r>
          </w:p>
        </w:tc>
      </w:tr>
      <w:tr>
        <w:trPr>
          <w:cantSplit/>
          <w:tblHeader w:val="false"/>
        </w:trPr>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Solar Industries India</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SOLARINDS.NS</w:t>
            </w:r>
          </w:p>
        </w:tc>
        <w:tc>
          <w:tcPr>
            <w:tcW w:type="dxa" w:w="17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Defence and Industrials</w:t>
            </w:r>
          </w:p>
        </w:tc>
        <w:tc>
          <w:tcPr>
            <w:tcW w:type="dxa" w:w="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1,918</w:t>
            </w:r>
          </w:p>
        </w:tc>
        <w:tc>
          <w:tcPr>
            <w:tcW w:type="dxa" w:w="1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Jan 2019 – Oct 2026</w:t>
            </w:r>
          </w:p>
        </w:tc>
        <w:tc>
          <w:tcPr>
            <w:tcW w:type="dxa" w:w="13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Rs. 6,000.66</w:t>
            </w:r>
          </w:p>
        </w:tc>
      </w:tr>
      <w:tr>
        <w:trPr>
          <w:cantSplit/>
          <w:tblHeader w:val="false"/>
        </w:trPr>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HDFC Bank</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HDFCBANK.NS</w:t>
            </w:r>
          </w:p>
        </w:tc>
        <w:tc>
          <w:tcPr>
            <w:tcW w:type="dxa" w:w="17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Banking and Finance</w:t>
            </w:r>
          </w:p>
        </w:tc>
        <w:tc>
          <w:tcPr>
            <w:tcW w:type="dxa" w:w="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1,919</w:t>
            </w:r>
          </w:p>
        </w:tc>
        <w:tc>
          <w:tcPr>
            <w:tcW w:type="dxa" w:w="1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Jan 2019 – Oct 2026</w:t>
            </w:r>
          </w:p>
        </w:tc>
        <w:tc>
          <w:tcPr>
            <w:tcW w:type="dxa" w:w="13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Rs. 713.61</w:t>
            </w:r>
          </w:p>
        </w:tc>
      </w:tr>
      <w:tr>
        <w:trPr>
          <w:cantSplit/>
          <w:tblHeader w:val="false"/>
        </w:trPr>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0"/>
                <w:szCs w:val="20"/>
              </w:rPr>
              <w:t xml:space="preserve">Master Dataset</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17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All three sectors</w:t>
            </w:r>
          </w:p>
        </w:tc>
        <w:tc>
          <w:tcPr>
            <w:tcW w:type="dxa" w:w="9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5,756 total</w:t>
            </w:r>
          </w:p>
        </w:tc>
        <w:tc>
          <w:tcPr>
            <w:tcW w:type="dxa" w:w="161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Jan 2019 – Oct 2026</w:t>
            </w:r>
          </w:p>
        </w:tc>
        <w:tc>
          <w:tcPr>
            <w:tcW w:type="dxa" w:w="139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0"/>
                <w:szCs w:val="20"/>
              </w:rPr>
              <w:t xml:space="preserve">—</w:t>
            </w:r>
          </w:p>
        </w:tc>
      </w:tr>
    </w:tbl>
    <w:p>
      <w:pPr>
        <w:spacing w:after="160" w:line="240"/>
      </w:pPr>
    </w:p>
    <w:p>
      <w:pPr>
        <w:spacing w:after="120" w:before="0" w:line="360"/>
        <w:jc w:val="both"/>
      </w:pPr>
      <w:r>
        <w:rPr>
          <w:rFonts w:ascii="Times New Roman" w:cs="Times New Roman" w:eastAsia="Times New Roman" w:hAnsi="Times New Roman"/>
          <w:b w:val="false"/>
          <w:bCs w:val="false"/>
          <w:sz w:val="24"/>
          <w:szCs w:val="24"/>
        </w:rPr>
        <w:t xml:space="preserve">Each row contains: Open (opening price), High (intraday high), Low (intraday low), Close (closing price), Volume (number of shares traded), Daily Return (percentage change from previous close), and Cumulative Return (total return since the start date).</w:t>
      </w:r>
    </w:p>
    <w:p>
      <w:pPr>
        <w:keepNext/>
        <w:spacing w:after="60" w:before="120" w:line="360"/>
        <w:jc w:val="left"/>
      </w:pPr>
      <w:r>
        <w:rPr>
          <w:rFonts w:ascii="Times New Roman" w:cs="Times New Roman" w:eastAsia="Times New Roman" w:hAnsi="Times New Roman"/>
          <w:b/>
          <w:bCs/>
          <w:sz w:val="24"/>
          <w:szCs w:val="24"/>
        </w:rPr>
        <w:t xml:space="preserve">Sector Diversity Rationale:</w:t>
      </w:r>
    </w:p>
    <w:p>
      <w:pPr>
        <w:spacing w:after="120" w:before="0" w:line="360"/>
        <w:jc w:val="both"/>
      </w:pPr>
      <w:r>
        <w:rPr>
          <w:rFonts w:ascii="Times New Roman" w:cs="Times New Roman" w:eastAsia="Times New Roman" w:hAnsi="Times New Roman"/>
          <w:b w:val="false"/>
          <w:bCs w:val="false"/>
          <w:sz w:val="24"/>
          <w:szCs w:val="24"/>
        </w:rPr>
        <w:t xml:space="preserve">Three distinct sectors were deliberately selected to demonstrate that the platform functions across different market behaviors. Automobile and EV sector stocks respond primarily to domestic consumption, fuel prices, and EV policy announcements. Defence sector stocks respond to government defence spending and Make in India initiatives. Banking sector stocks respond to RBI monetary policy, interest rates, and credit growth. This diversity makes the cross-sector comparison of model behavior a key contribution of the project.</w:t>
      </w:r>
    </w:p>
    <w:p>
      <w:pPr>
        <w:pStyle w:val="Heading2"/>
      </w:pPr>
      <w:r>
        <w:rPr>
          <w:rFonts w:ascii="Times New Roman" w:cs="Times New Roman" w:eastAsia="Times New Roman" w:hAnsi="Times New Roman"/>
          <w:b/>
          <w:bCs/>
          <w:sz w:val="24"/>
          <w:szCs w:val="24"/>
        </w:rPr>
        <w:t xml:space="preserve">3.3 Feature Engineering</w:t>
      </w:r>
    </w:p>
    <w:p>
      <w:pPr>
        <w:spacing w:after="120" w:before="0" w:line="360"/>
        <w:jc w:val="both"/>
      </w:pPr>
      <w:r>
        <w:rPr>
          <w:rFonts w:ascii="Times New Roman" w:cs="Times New Roman" w:eastAsia="Times New Roman" w:hAnsi="Times New Roman"/>
          <w:b w:val="false"/>
          <w:bCs w:val="false"/>
          <w:sz w:val="24"/>
          <w:szCs w:val="24"/>
        </w:rPr>
        <w:t xml:space="preserve">Feature engineering transforms the 5 raw OHLCV columns into 27 informative technical indicators. Each feature is computed using well-established financial formulas and serves a specific analytical purpose.</w:t>
      </w:r>
    </w:p>
    <w:p>
      <w:pPr>
        <w:keepNext/>
        <w:spacing w:after="60" w:before="120" w:line="360"/>
        <w:jc w:val="left"/>
      </w:pPr>
      <w:r>
        <w:rPr>
          <w:rFonts w:ascii="Times New Roman" w:cs="Times New Roman" w:eastAsia="Times New Roman" w:hAnsi="Times New Roman"/>
          <w:b/>
          <w:bCs/>
          <w:sz w:val="24"/>
          <w:szCs w:val="24"/>
        </w:rPr>
        <w:t xml:space="preserve">Category 1 — Trend Features (5 features):</w:t>
      </w:r>
    </w:p>
    <w:p>
      <w:pPr>
        <w:spacing w:after="40" w:before="0" w:line="360"/>
        <w:jc w:val="both"/>
      </w:pPr>
      <w:r>
        <w:rPr>
          <w:rFonts w:ascii="Times New Roman" w:cs="Times New Roman" w:eastAsia="Times New Roman" w:hAnsi="Times New Roman"/>
          <w:b/>
          <w:bCs/>
          <w:sz w:val="24"/>
          <w:szCs w:val="24"/>
        </w:rPr>
        <w:t xml:space="preserve">MA50 — 50-Day Moving Average:</w:t>
      </w:r>
      <w:r>
        <w:rPr>
          <w:rFonts w:ascii="Times New Roman" w:cs="Times New Roman" w:eastAsia="Times New Roman" w:hAnsi="Times New Roman"/>
          <w:b w:val="false"/>
          <w:bCs w:val="false"/>
          <w:sz w:val="24"/>
          <w:szCs w:val="24"/>
        </w:rPr>
        <w:t xml:space="preserve"> The simple moving average of closing price over the preceding 50 trading days. Represents short-term trend direction. Computed as:</w:t>
      </w:r>
    </w:p>
    <w:p>
      <w:pPr>
        <w:spacing w:after="100" w:before="40" w:line="300"/>
        <w:jc w:val="center"/>
      </w:pPr>
      <w:r>
        <w:rPr>
          <w:rFonts w:ascii="Times New Roman" w:cs="Times New Roman" w:eastAsia="Times New Roman" w:hAnsi="Times New Roman"/>
          <w:b w:val="false"/>
          <w:bCs w:val="false"/>
          <w:i/>
          <w:iCs/>
          <w:sz w:val="24"/>
          <w:szCs w:val="24"/>
        </w:rPr>
        <w:t xml:space="preserve">MA50 = (Sum of last 50 closing prices) / 50</w:t>
      </w:r>
    </w:p>
    <w:p>
      <w:pPr>
        <w:spacing w:after="120" w:before="0" w:line="360"/>
        <w:jc w:val="both"/>
      </w:pPr>
      <w:r>
        <w:rPr>
          <w:rFonts w:ascii="Times New Roman" w:cs="Times New Roman" w:eastAsia="Times New Roman" w:hAnsi="Times New Roman"/>
          <w:b/>
          <w:bCs/>
          <w:sz w:val="24"/>
          <w:szCs w:val="24"/>
        </w:rPr>
        <w:t xml:space="preserve">MA200 — 200-Day Moving Average:</w:t>
      </w:r>
      <w:r>
        <w:rPr>
          <w:rFonts w:ascii="Times New Roman" w:cs="Times New Roman" w:eastAsia="Times New Roman" w:hAnsi="Times New Roman"/>
          <w:b w:val="false"/>
          <w:bCs w:val="false"/>
          <w:sz w:val="24"/>
          <w:szCs w:val="24"/>
        </w:rPr>
        <w:t xml:space="preserve"> The simple moving average over 200 trading days. Represents long-term trend direction. This feature was found to be the single most important predictor across all three stocks in SHAP analysis.</w:t>
      </w:r>
    </w:p>
    <w:p>
      <w:pPr>
        <w:spacing w:after="120" w:before="0" w:line="360"/>
        <w:jc w:val="both"/>
      </w:pPr>
      <w:r>
        <w:rPr>
          <w:rFonts w:ascii="Times New Roman" w:cs="Times New Roman" w:eastAsia="Times New Roman" w:hAnsi="Times New Roman"/>
          <w:b/>
          <w:bCs/>
          <w:sz w:val="24"/>
          <w:szCs w:val="24"/>
        </w:rPr>
        <w:t xml:space="preserve">Golden Cross Signal:</w:t>
      </w:r>
      <w:r>
        <w:rPr>
          <w:rFonts w:ascii="Times New Roman" w:cs="Times New Roman" w:eastAsia="Times New Roman" w:hAnsi="Times New Roman"/>
          <w:b w:val="false"/>
          <w:bCs w:val="false"/>
          <w:sz w:val="24"/>
          <w:szCs w:val="24"/>
        </w:rPr>
        <w:t xml:space="preserve"> Binary feature (1 when MA50 &gt; MA200, 0 otherwise). Directly encodes the Golden Cross pattern (MA50 crossing above MA200 — strong bullish signal) and Death Cross pattern (MA50 crossing below MA200 — strong bearish signal).</w:t>
      </w:r>
    </w:p>
    <w:p>
      <w:pPr>
        <w:spacing w:after="120" w:before="0" w:line="360"/>
        <w:jc w:val="both"/>
      </w:pPr>
      <w:r>
        <w:rPr>
          <w:rFonts w:ascii="Times New Roman" w:cs="Times New Roman" w:eastAsia="Times New Roman" w:hAnsi="Times New Roman"/>
          <w:b/>
          <w:bCs/>
          <w:sz w:val="24"/>
          <w:szCs w:val="24"/>
        </w:rPr>
        <w:t xml:space="preserve">Price vs MA50 and Price vs MA200:</w:t>
      </w:r>
      <w:r>
        <w:rPr>
          <w:rFonts w:ascii="Times New Roman" w:cs="Times New Roman" w:eastAsia="Times New Roman" w:hAnsi="Times New Roman"/>
          <w:b w:val="false"/>
          <w:bCs w:val="false"/>
          <w:sz w:val="24"/>
          <w:szCs w:val="24"/>
        </w:rPr>
        <w:t xml:space="preserve"> Percentage deviation of current price from MA50 and MA200 respectively. Captures how extended or compressed the price is relative to short and long-term averages.</w:t>
      </w:r>
    </w:p>
    <w:p>
      <w:pPr>
        <w:keepNext/>
        <w:spacing w:after="60" w:before="120" w:line="360"/>
        <w:jc w:val="left"/>
      </w:pPr>
      <w:r>
        <w:rPr>
          <w:rFonts w:ascii="Times New Roman" w:cs="Times New Roman" w:eastAsia="Times New Roman" w:hAnsi="Times New Roman"/>
          <w:b/>
          <w:bCs/>
          <w:sz w:val="24"/>
          <w:szCs w:val="24"/>
        </w:rPr>
        <w:t xml:space="preserve">Category 2 — Momentum Features (7 features):</w:t>
      </w:r>
    </w:p>
    <w:p>
      <w:pPr>
        <w:spacing w:after="40" w:before="0" w:line="360"/>
        <w:jc w:val="both"/>
      </w:pPr>
      <w:r>
        <w:rPr>
          <w:rFonts w:ascii="Times New Roman" w:cs="Times New Roman" w:eastAsia="Times New Roman" w:hAnsi="Times New Roman"/>
          <w:b/>
          <w:bCs/>
          <w:sz w:val="24"/>
          <w:szCs w:val="24"/>
        </w:rPr>
        <w:t xml:space="preserve">RSI — Relative Strength Index (14-day):</w:t>
      </w:r>
      <w:r>
        <w:rPr>
          <w:rFonts w:ascii="Times New Roman" w:cs="Times New Roman" w:eastAsia="Times New Roman" w:hAnsi="Times New Roman"/>
          <w:b w:val="false"/>
          <w:bCs w:val="false"/>
          <w:sz w:val="24"/>
          <w:szCs w:val="24"/>
        </w:rPr>
        <w:t xml:space="preserve"> Measures the speed and magnitude of recent price changes on a scale of 0 to 100. Below 30 indicates oversold conditions; above 70 indicates overbought conditions. Computed using:</w:t>
      </w:r>
    </w:p>
    <w:p>
      <w:pPr>
        <w:spacing w:after="100" w:before="40" w:line="300"/>
        <w:jc w:val="center"/>
      </w:pPr>
      <w:r>
        <w:rPr>
          <w:rFonts w:ascii="Times New Roman" w:cs="Times New Roman" w:eastAsia="Times New Roman" w:hAnsi="Times New Roman"/>
          <w:b w:val="false"/>
          <w:bCs w:val="false"/>
          <w:i/>
          <w:iCs/>
          <w:sz w:val="24"/>
          <w:szCs w:val="24"/>
        </w:rPr>
        <w:t xml:space="preserve">RS = Average Gain over 14 days / Average Loss over 14 days</w:t>
      </w:r>
    </w:p>
    <w:p>
      <w:pPr>
        <w:spacing w:after="100" w:before="40" w:line="300"/>
        <w:jc w:val="center"/>
      </w:pPr>
      <w:r>
        <w:rPr>
          <w:rFonts w:ascii="Times New Roman" w:cs="Times New Roman" w:eastAsia="Times New Roman" w:hAnsi="Times New Roman"/>
          <w:b w:val="false"/>
          <w:bCs w:val="false"/>
          <w:i/>
          <w:iCs/>
          <w:sz w:val="24"/>
          <w:szCs w:val="24"/>
        </w:rPr>
        <w:t xml:space="preserve">RSI = 100 – (100 / (1 + RS))</w:t>
      </w:r>
    </w:p>
    <w:p>
      <w:pPr>
        <w:spacing w:after="120" w:before="0" w:line="360"/>
        <w:jc w:val="both"/>
      </w:pPr>
      <w:r>
        <w:rPr>
          <w:rFonts w:ascii="Times New Roman" w:cs="Times New Roman" w:eastAsia="Times New Roman" w:hAnsi="Times New Roman"/>
          <w:b/>
          <w:bCs/>
          <w:sz w:val="24"/>
          <w:szCs w:val="24"/>
        </w:rPr>
        <w:t xml:space="preserve">RSI Overbought and RSI Oversold:</w:t>
      </w:r>
      <w:r>
        <w:rPr>
          <w:rFonts w:ascii="Times New Roman" w:cs="Times New Roman" w:eastAsia="Times New Roman" w:hAnsi="Times New Roman"/>
          <w:b w:val="false"/>
          <w:bCs w:val="false"/>
          <w:sz w:val="24"/>
          <w:szCs w:val="24"/>
        </w:rPr>
        <w:t xml:space="preserve"> Binary features explicitly encoding the RSI threshold crossings (RSI &gt; 70 and RSI &lt; 30 respectively).</w:t>
      </w:r>
    </w:p>
    <w:p>
      <w:pPr>
        <w:keepNext/>
        <w:spacing w:after="40" w:before="0" w:line="360"/>
        <w:jc w:val="both"/>
      </w:pPr>
      <w:r>
        <w:rPr>
          <w:rFonts w:ascii="Times New Roman" w:cs="Times New Roman" w:eastAsia="Times New Roman" w:hAnsi="Times New Roman"/>
          <w:b/>
          <w:bCs/>
          <w:sz w:val="24"/>
          <w:szCs w:val="24"/>
        </w:rPr>
        <w:t xml:space="preserve">MACD Line, Signal Line, and Histogram:</w:t>
      </w:r>
    </w:p>
    <w:p>
      <w:pPr>
        <w:spacing w:after="100" w:before="40" w:line="300"/>
        <w:jc w:val="center"/>
      </w:pPr>
      <w:r>
        <w:rPr>
          <w:rFonts w:ascii="Times New Roman" w:cs="Times New Roman" w:eastAsia="Times New Roman" w:hAnsi="Times New Roman"/>
          <w:b w:val="false"/>
          <w:bCs w:val="false"/>
          <w:i/>
          <w:iCs/>
          <w:sz w:val="24"/>
          <w:szCs w:val="24"/>
        </w:rPr>
        <w:t xml:space="preserve">MACD Line = EMA(12) – EMA(26)</w:t>
      </w:r>
    </w:p>
    <w:p>
      <w:pPr>
        <w:spacing w:after="100" w:before="40" w:line="300"/>
        <w:jc w:val="center"/>
      </w:pPr>
      <w:r>
        <w:rPr>
          <w:rFonts w:ascii="Times New Roman" w:cs="Times New Roman" w:eastAsia="Times New Roman" w:hAnsi="Times New Roman"/>
          <w:b w:val="false"/>
          <w:bCs w:val="false"/>
          <w:i/>
          <w:iCs/>
          <w:sz w:val="24"/>
          <w:szCs w:val="24"/>
        </w:rPr>
        <w:t xml:space="preserve">Signal Line = 9-day EMA of MACD Line</w:t>
      </w:r>
    </w:p>
    <w:p>
      <w:pPr>
        <w:spacing w:after="100" w:before="40" w:line="300"/>
        <w:jc w:val="center"/>
      </w:pPr>
      <w:r>
        <w:rPr>
          <w:rFonts w:ascii="Times New Roman" w:cs="Times New Roman" w:eastAsia="Times New Roman" w:hAnsi="Times New Roman"/>
          <w:b w:val="false"/>
          <w:bCs w:val="false"/>
          <w:i/>
          <w:iCs/>
          <w:sz w:val="24"/>
          <w:szCs w:val="24"/>
        </w:rPr>
        <w:t xml:space="preserve">Histogram = MACD Line – Signal Line</w:t>
      </w:r>
    </w:p>
    <w:p>
      <w:pPr>
        <w:spacing w:after="120" w:before="0" w:line="360"/>
        <w:jc w:val="both"/>
      </w:pPr>
      <w:r>
        <w:rPr>
          <w:rFonts w:ascii="Times New Roman" w:cs="Times New Roman" w:eastAsia="Times New Roman" w:hAnsi="Times New Roman"/>
          <w:b w:val="false"/>
          <w:bCs w:val="false"/>
          <w:sz w:val="24"/>
          <w:szCs w:val="24"/>
        </w:rPr>
        <w:t xml:space="preserve">The histogram captures momentum strength and direction. A growing positive histogram indicates strengthening upward momentum; a shrinking positive histogram indicates weakening momentum and potential reversal.</w:t>
      </w:r>
    </w:p>
    <w:p>
      <w:pPr>
        <w:spacing w:after="120" w:before="0" w:line="360"/>
        <w:jc w:val="both"/>
      </w:pPr>
      <w:r>
        <w:rPr>
          <w:rFonts w:ascii="Times New Roman" w:cs="Times New Roman" w:eastAsia="Times New Roman" w:hAnsi="Times New Roman"/>
          <w:b/>
          <w:bCs/>
          <w:sz w:val="24"/>
          <w:szCs w:val="24"/>
        </w:rPr>
        <w:t xml:space="preserve">MACD Positive:</w:t>
      </w:r>
      <w:r>
        <w:rPr>
          <w:rFonts w:ascii="Times New Roman" w:cs="Times New Roman" w:eastAsia="Times New Roman" w:hAnsi="Times New Roman"/>
          <w:b w:val="false"/>
          <w:bCs w:val="false"/>
          <w:sz w:val="24"/>
          <w:szCs w:val="24"/>
        </w:rPr>
        <w:t xml:space="preserve"> Binary feature encoding whether the MACD Histogram is positive (upward momentum) or negative (downward momentum).</w:t>
      </w:r>
    </w:p>
    <w:p>
      <w:pPr>
        <w:keepNext/>
        <w:spacing w:after="60" w:before="120" w:line="360"/>
        <w:jc w:val="left"/>
      </w:pPr>
      <w:r>
        <w:rPr>
          <w:rFonts w:ascii="Times New Roman" w:cs="Times New Roman" w:eastAsia="Times New Roman" w:hAnsi="Times New Roman"/>
          <w:b/>
          <w:bCs/>
          <w:sz w:val="24"/>
          <w:szCs w:val="24"/>
        </w:rPr>
        <w:t xml:space="preserve">Category 3 — Volatility Features (7 features):</w:t>
      </w:r>
    </w:p>
    <w:p>
      <w:pPr>
        <w:keepNext/>
        <w:spacing w:after="40" w:before="0" w:line="360"/>
        <w:jc w:val="both"/>
      </w:pPr>
      <w:r>
        <w:rPr>
          <w:rFonts w:ascii="Times New Roman" w:cs="Times New Roman" w:eastAsia="Times New Roman" w:hAnsi="Times New Roman"/>
          <w:b/>
          <w:bCs/>
          <w:sz w:val="24"/>
          <w:szCs w:val="24"/>
        </w:rPr>
        <w:t xml:space="preserve">Bollinger Bands (Upper, Middle, Lower):</w:t>
      </w:r>
    </w:p>
    <w:p>
      <w:pPr>
        <w:spacing w:after="100" w:before="40" w:line="300"/>
        <w:jc w:val="center"/>
      </w:pPr>
      <w:r>
        <w:rPr>
          <w:rFonts w:ascii="Times New Roman" w:cs="Times New Roman" w:eastAsia="Times New Roman" w:hAnsi="Times New Roman"/>
          <w:b w:val="false"/>
          <w:bCs w:val="false"/>
          <w:i/>
          <w:iCs/>
          <w:sz w:val="24"/>
          <w:szCs w:val="24"/>
        </w:rPr>
        <w:t xml:space="preserve">Bollinger Middle = 20-day SMA</w:t>
      </w:r>
    </w:p>
    <w:p>
      <w:pPr>
        <w:spacing w:after="100" w:before="40" w:line="300"/>
        <w:jc w:val="center"/>
      </w:pPr>
      <w:r>
        <w:rPr>
          <w:rFonts w:ascii="Times New Roman" w:cs="Times New Roman" w:eastAsia="Times New Roman" w:hAnsi="Times New Roman"/>
          <w:b w:val="false"/>
          <w:bCs w:val="false"/>
          <w:i/>
          <w:iCs/>
          <w:sz w:val="24"/>
          <w:szCs w:val="24"/>
        </w:rPr>
        <w:t xml:space="preserve">Bollinger Upper = Middle + (2 × 20-day Standard Deviation)</w:t>
      </w:r>
    </w:p>
    <w:p>
      <w:pPr>
        <w:spacing w:after="100" w:before="40" w:line="300"/>
        <w:jc w:val="center"/>
      </w:pPr>
      <w:r>
        <w:rPr>
          <w:rFonts w:ascii="Times New Roman" w:cs="Times New Roman" w:eastAsia="Times New Roman" w:hAnsi="Times New Roman"/>
          <w:b w:val="false"/>
          <w:bCs w:val="false"/>
          <w:i/>
          <w:iCs/>
          <w:sz w:val="24"/>
          <w:szCs w:val="24"/>
        </w:rPr>
        <w:t xml:space="preserve">Bollinger Lower = Middle – (2 × 20-day Standard Deviation)</w:t>
      </w:r>
    </w:p>
    <w:p>
      <w:pPr>
        <w:spacing w:after="120" w:before="0" w:line="360"/>
        <w:jc w:val="both"/>
      </w:pPr>
      <w:r>
        <w:rPr>
          <w:rFonts w:ascii="Times New Roman" w:cs="Times New Roman" w:eastAsia="Times New Roman" w:hAnsi="Times New Roman"/>
          <w:b/>
          <w:bCs/>
          <w:sz w:val="24"/>
          <w:szCs w:val="24"/>
        </w:rPr>
        <w:t xml:space="preserve">Bollinger Width:</w:t>
      </w:r>
      <w:r>
        <w:rPr>
          <w:rFonts w:ascii="Times New Roman" w:cs="Times New Roman" w:eastAsia="Times New Roman" w:hAnsi="Times New Roman"/>
          <w:b w:val="false"/>
          <w:bCs w:val="false"/>
          <w:sz w:val="24"/>
          <w:szCs w:val="24"/>
        </w:rPr>
        <w:t xml:space="preserve"> Difference between Upper and Lower bands. Measures current volatility regime. Narrow bands indicate low volatility and potential breakout; wide bands indicate high volatility.</w:t>
      </w:r>
    </w:p>
    <w:p>
      <w:pPr>
        <w:spacing w:after="120" w:before="0" w:line="360"/>
        <w:jc w:val="both"/>
      </w:pPr>
      <w:r>
        <w:rPr>
          <w:rFonts w:ascii="Times New Roman" w:cs="Times New Roman" w:eastAsia="Times New Roman" w:hAnsi="Times New Roman"/>
          <w:b/>
          <w:bCs/>
          <w:sz w:val="24"/>
          <w:szCs w:val="24"/>
        </w:rPr>
        <w:t xml:space="preserve">Bollinger Position:</w:t>
      </w:r>
      <w:r>
        <w:rPr>
          <w:rFonts w:ascii="Times New Roman" w:cs="Times New Roman" w:eastAsia="Times New Roman" w:hAnsi="Times New Roman"/>
          <w:b w:val="false"/>
          <w:bCs w:val="false"/>
          <w:sz w:val="24"/>
          <w:szCs w:val="24"/>
        </w:rPr>
        <w:t xml:space="preserve"> (Close – BB_Lower) / BB_Width. Continuous measure of where price sits within the bands (0 = lower band, 0.5 = middle, 1 = upper band).</w:t>
      </w:r>
    </w:p>
    <w:p>
      <w:pPr>
        <w:spacing w:after="120" w:before="0" w:line="360"/>
        <w:jc w:val="both"/>
      </w:pPr>
      <w:r>
        <w:rPr>
          <w:rFonts w:ascii="Times New Roman" w:cs="Times New Roman" w:eastAsia="Times New Roman" w:hAnsi="Times New Roman"/>
          <w:b/>
          <w:bCs/>
          <w:sz w:val="24"/>
          <w:szCs w:val="24"/>
        </w:rPr>
        <w:t xml:space="preserve">Volatility 5-Day and Volatility 10-Day:</w:t>
      </w:r>
      <w:r>
        <w:rPr>
          <w:rFonts w:ascii="Times New Roman" w:cs="Times New Roman" w:eastAsia="Times New Roman" w:hAnsi="Times New Roman"/>
          <w:b w:val="false"/>
          <w:bCs w:val="false"/>
          <w:sz w:val="24"/>
          <w:szCs w:val="24"/>
        </w:rPr>
        <w:t xml:space="preserve"> Rolling standard deviation of daily returns over 5 and 10 days respectively. Captures short and medium-term turbulence levels.</w:t>
      </w:r>
    </w:p>
    <w:p>
      <w:pPr>
        <w:keepNext/>
        <w:spacing w:after="60" w:before="120" w:line="360"/>
        <w:jc w:val="left"/>
      </w:pPr>
      <w:r>
        <w:rPr>
          <w:rFonts w:ascii="Times New Roman" w:cs="Times New Roman" w:eastAsia="Times New Roman" w:hAnsi="Times New Roman"/>
          <w:b/>
          <w:bCs/>
          <w:sz w:val="24"/>
          <w:szCs w:val="24"/>
        </w:rPr>
        <w:t xml:space="preserve">Category 4 — Volume Features (3 features):</w:t>
      </w:r>
    </w:p>
    <w:p>
      <w:pPr>
        <w:spacing w:after="120" w:before="0" w:line="360"/>
        <w:jc w:val="both"/>
      </w:pPr>
      <w:r>
        <w:rPr>
          <w:rFonts w:ascii="Times New Roman" w:cs="Times New Roman" w:eastAsia="Times New Roman" w:hAnsi="Times New Roman"/>
          <w:b/>
          <w:bCs/>
          <w:sz w:val="24"/>
          <w:szCs w:val="24"/>
        </w:rPr>
        <w:t xml:space="preserve">Volume Moving Average (20-day):</w:t>
      </w:r>
      <w:r>
        <w:rPr>
          <w:rFonts w:ascii="Times New Roman" w:cs="Times New Roman" w:eastAsia="Times New Roman" w:hAnsi="Times New Roman"/>
          <w:b w:val="false"/>
          <w:bCs w:val="false"/>
          <w:sz w:val="24"/>
          <w:szCs w:val="24"/>
        </w:rPr>
        <w:t xml:space="preserve"> Baseline for comparing daily trading volume against recent average. High-volume price moves carry more conviction than low-volume moves.</w:t>
      </w:r>
    </w:p>
    <w:p>
      <w:pPr>
        <w:spacing w:after="120" w:before="0" w:line="360"/>
        <w:jc w:val="both"/>
      </w:pPr>
      <w:r>
        <w:rPr>
          <w:rFonts w:ascii="Times New Roman" w:cs="Times New Roman" w:eastAsia="Times New Roman" w:hAnsi="Times New Roman"/>
          <w:b/>
          <w:bCs/>
          <w:sz w:val="24"/>
          <w:szCs w:val="24"/>
        </w:rPr>
        <w:t xml:space="preserve">Volume Ratio:</w:t>
      </w:r>
      <w:r>
        <w:rPr>
          <w:rFonts w:ascii="Times New Roman" w:cs="Times New Roman" w:eastAsia="Times New Roman" w:hAnsi="Times New Roman"/>
          <w:b w:val="false"/>
          <w:bCs w:val="false"/>
          <w:sz w:val="24"/>
          <w:szCs w:val="24"/>
        </w:rPr>
        <w:t xml:space="preserve"> Today’s Volume / Volume MA. Values above 1.2 indicate above-average participation; below 0.8 indicates weak conviction.</w:t>
      </w:r>
    </w:p>
    <w:p>
      <w:pPr>
        <w:spacing w:after="120" w:before="0" w:line="360"/>
        <w:jc w:val="both"/>
      </w:pPr>
      <w:r>
        <w:rPr>
          <w:rFonts w:ascii="Times New Roman" w:cs="Times New Roman" w:eastAsia="Times New Roman" w:hAnsi="Times New Roman"/>
          <w:b/>
          <w:bCs/>
          <w:sz w:val="24"/>
          <w:szCs w:val="24"/>
        </w:rPr>
        <w:t xml:space="preserve">Volume Spike:</w:t>
      </w:r>
      <w:r>
        <w:rPr>
          <w:rFonts w:ascii="Times New Roman" w:cs="Times New Roman" w:eastAsia="Times New Roman" w:hAnsi="Times New Roman"/>
          <w:b w:val="false"/>
          <w:bCs w:val="false"/>
          <w:sz w:val="24"/>
          <w:szCs w:val="24"/>
        </w:rPr>
        <w:t xml:space="preserve"> Binary feature encoding whether Volume Ratio exceeds 1.5 (volume 50% above average), indicating unusual institutional or retail activity.</w:t>
      </w:r>
    </w:p>
    <w:p>
      <w:pPr>
        <w:keepNext/>
        <w:spacing w:after="60" w:before="120" w:line="360"/>
        <w:jc w:val="left"/>
      </w:pPr>
      <w:r>
        <w:rPr>
          <w:rFonts w:ascii="Times New Roman" w:cs="Times New Roman" w:eastAsia="Times New Roman" w:hAnsi="Times New Roman"/>
          <w:b/>
          <w:bCs/>
          <w:sz w:val="24"/>
          <w:szCs w:val="24"/>
        </w:rPr>
        <w:t xml:space="preserve">Category 5 — Return Features (5 features):</w:t>
      </w:r>
    </w:p>
    <w:p>
      <w:pPr>
        <w:spacing w:after="120" w:before="0" w:line="360"/>
        <w:jc w:val="both"/>
      </w:pPr>
      <w:r>
        <w:rPr>
          <w:rFonts w:ascii="Times New Roman" w:cs="Times New Roman" w:eastAsia="Times New Roman" w:hAnsi="Times New Roman"/>
          <w:b/>
          <w:bCs/>
          <w:sz w:val="24"/>
          <w:szCs w:val="24"/>
        </w:rPr>
        <w:t xml:space="preserve">Daily Return, Return 1d, Return 3d, Return 5d, Return 10d:</w:t>
      </w:r>
      <w:r>
        <w:rPr>
          <w:rFonts w:ascii="Times New Roman" w:cs="Times New Roman" w:eastAsia="Times New Roman" w:hAnsi="Times New Roman"/>
          <w:b w:val="false"/>
          <w:bCs w:val="false"/>
          <w:sz w:val="24"/>
          <w:szCs w:val="24"/>
        </w:rPr>
        <w:t xml:space="preserve"> Percentage price changes over 1, 3, 5, and 10 trading days. Capture momentum across multiple time horizons. A stock rising 8% over 10 days demonstrates different momentum characteristics than one rising 8% in a single day.</w:t>
      </w:r>
    </w:p>
    <w:p>
      <w:pPr>
        <w:keepNext/>
        <w:spacing w:after="60" w:before="120" w:line="360"/>
        <w:jc w:val="left"/>
      </w:pPr>
      <w:r>
        <w:rPr>
          <w:rFonts w:ascii="Times New Roman" w:cs="Times New Roman" w:eastAsia="Times New Roman" w:hAnsi="Times New Roman"/>
          <w:b/>
          <w:bCs/>
          <w:sz w:val="24"/>
          <w:szCs w:val="24"/>
        </w:rPr>
        <w:t xml:space="preserve">Complete Feature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7"/>
        <w:gridCol w:w="1707"/>
        <w:gridCol w:w="1829"/>
        <w:gridCol w:w="1463"/>
        <w:gridCol w:w="1710"/>
      </w:tblGrid>
      <w:tr>
        <w:trPr>
          <w:cantSplit/>
          <w:tblHeader/>
        </w:trPr>
        <w:tc>
          <w:tcPr>
            <w:tcW w:type="dxa" w:w="231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Feature</w:t>
            </w:r>
          </w:p>
        </w:tc>
        <w:tc>
          <w:tcPr>
            <w:tcW w:type="dxa" w:w="170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Type</w:t>
            </w:r>
          </w:p>
        </w:tc>
        <w:tc>
          <w:tcPr>
            <w:tcW w:type="dxa" w:w="182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Window</w:t>
            </w:r>
          </w:p>
        </w:tc>
        <w:tc>
          <w:tcPr>
            <w:tcW w:type="dxa" w:w="146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ML Feature</w:t>
            </w:r>
          </w:p>
        </w:tc>
        <w:tc>
          <w:tcPr>
            <w:tcW w:type="dxa" w:w="171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Chart Overlay</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MA50</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Trend</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50 days</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MA200</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Trend</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200 days</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Golden_Cross</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Trend</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Binary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Price_vs_MA50</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Trend</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Ratio</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Price_vs_MA200</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Trend</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Ratio</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RSI</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Momentum</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14 days</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RSI_Overbought</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Momentum</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Binary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RSI_Oversold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Momentum</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Binary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MACD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Momentum</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12/26 EMA</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MACD_Signal</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Momentum</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9-day EMA</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MACD_Hist</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Momentum</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Difference</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MACD_Positive</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Momentum</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Binary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BB_Upper</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Volatility</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20d + 2SD</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BB_Mid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Volatility</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20-day SMA</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BB_Lower</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Volatility</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20d – 2SD</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BB_Width</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Volatility</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Band spread</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BB_Position</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Volatility</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Ratio</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Volume_MA</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Volume</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20 days</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Volume_Ratio</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Volume</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Ratio</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Volume_Spike</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Volume</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Binary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Daily_Return</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Return</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1-day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Return_1d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Return</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1-day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Return_3d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Return</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3-day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Return_5d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Return</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5-day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Return_10d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Return</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10-day</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Volatility_5d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Volatility</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5-day SD</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231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Volatility_10d</w:t>
            </w:r>
          </w:p>
        </w:tc>
        <w:tc>
          <w:tcPr>
            <w:tcW w:type="dxa" w:w="170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Volatility</w:t>
            </w:r>
          </w:p>
        </w:tc>
        <w:tc>
          <w:tcPr>
            <w:tcW w:type="dxa" w:w="18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10-day SD</w:t>
            </w:r>
          </w:p>
        </w:tc>
        <w:tc>
          <w:tcPr>
            <w:tcW w:type="dxa" w:w="146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Yes</w:t>
            </w:r>
          </w:p>
        </w:tc>
        <w:tc>
          <w:tcPr>
            <w:tcW w:type="dxa" w:w="171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No</w:t>
            </w:r>
          </w:p>
        </w:tc>
      </w:tr>
    </w:tbl>
    <w:p>
      <w:pPr>
        <w:spacing w:after="160" w:line="240"/>
      </w:pPr>
    </w:p>
    <w:p>
      <w:pPr>
        <w:keepNext/>
        <w:spacing w:after="60" w:before="120" w:line="360"/>
        <w:jc w:val="left"/>
      </w:pPr>
      <w:r>
        <w:rPr>
          <w:rFonts w:ascii="Times New Roman" w:cs="Times New Roman" w:eastAsia="Times New Roman" w:hAnsi="Times New Roman"/>
          <w:b/>
          <w:bCs/>
          <w:sz w:val="24"/>
          <w:szCs w:val="24"/>
        </w:rPr>
        <w:t xml:space="preserve">Target Label Generation:</w:t>
      </w:r>
    </w:p>
    <w:p>
      <w:pPr>
        <w:spacing w:after="60" w:before="0" w:line="360"/>
        <w:jc w:val="both"/>
      </w:pPr>
      <w:r>
        <w:rPr>
          <w:rFonts w:ascii="Times New Roman" w:cs="Times New Roman" w:eastAsia="Times New Roman" w:hAnsi="Times New Roman"/>
          <w:b w:val="false"/>
          <w:bCs w:val="false"/>
          <w:sz w:val="24"/>
          <w:szCs w:val="24"/>
        </w:rPr>
        <w:t xml:space="preserve">For the Gradient Boosting Classifier, a binary label is generated from the 5-day forward return:</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Signal = 1 (UP = BUY) if closing price 5 days later is higher than today’s closing price</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Signal = 0 (DOWN = SELL) if closing price 5 days later is lower than today’s closing price</w:t>
      </w:r>
    </w:p>
    <w:p>
      <w:pPr>
        <w:spacing w:after="120" w:before="0" w:line="360"/>
        <w:jc w:val="both"/>
      </w:pPr>
      <w:r>
        <w:rPr>
          <w:rFonts w:ascii="Times New Roman" w:cs="Times New Roman" w:eastAsia="Times New Roman" w:hAnsi="Times New Roman"/>
          <w:b w:val="false"/>
          <w:bCs w:val="false"/>
          <w:sz w:val="24"/>
          <w:szCs w:val="24"/>
        </w:rPr>
        <w:t xml:space="preserve">On the dashboard, HOLD is shown when model confidence falls between 45% and 55%, reflecting genuine uncertainty.</w:t>
      </w:r>
    </w:p>
    <w:p>
      <w:pPr>
        <w:pStyle w:val="Heading2"/>
      </w:pPr>
      <w:r>
        <w:rPr>
          <w:rFonts w:ascii="Times New Roman" w:cs="Times New Roman" w:eastAsia="Times New Roman" w:hAnsi="Times New Roman"/>
          <w:b/>
          <w:bCs/>
          <w:sz w:val="24"/>
          <w:szCs w:val="24"/>
        </w:rPr>
        <w:t xml:space="preserve">3.4 Machine Learning Models</w:t>
      </w:r>
    </w:p>
    <w:p>
      <w:pPr>
        <w:keepNext/>
        <w:spacing w:after="60" w:before="120" w:line="360"/>
        <w:jc w:val="left"/>
      </w:pPr>
      <w:r>
        <w:rPr>
          <w:rFonts w:ascii="Times New Roman" w:cs="Times New Roman" w:eastAsia="Times New Roman" w:hAnsi="Times New Roman"/>
          <w:b/>
          <w:bCs/>
          <w:sz w:val="24"/>
          <w:szCs w:val="24"/>
        </w:rPr>
        <w:t xml:space="preserve">Model 1 — Gradient Boosting Classifier (Primary Model)</w:t>
      </w:r>
    </w:p>
    <w:p>
      <w:pPr>
        <w:spacing w:after="120" w:before="0" w:line="360"/>
        <w:jc w:val="both"/>
      </w:pPr>
      <w:r>
        <w:rPr>
          <w:rFonts w:ascii="Times New Roman" w:cs="Times New Roman" w:eastAsia="Times New Roman" w:hAnsi="Times New Roman"/>
          <w:b w:val="false"/>
          <w:bCs w:val="false"/>
          <w:sz w:val="24"/>
          <w:szCs w:val="24"/>
        </w:rPr>
        <w:t xml:space="preserve">Gradient Boosting is a sequential ensemble method that builds decision trees one after another, where each successive tree corrects the prediction errors of all previous trees. The final prediction is a weighted combination of all 300 trees’ outputs.</w:t>
      </w:r>
    </w:p>
    <w:p>
      <w:pPr>
        <w:spacing w:after="120" w:before="0" w:line="360"/>
        <w:jc w:val="both"/>
      </w:pPr>
      <w:r>
        <w:rPr>
          <w:rFonts w:ascii="Times New Roman" w:cs="Times New Roman" w:eastAsia="Times New Roman" w:hAnsi="Times New Roman"/>
          <w:b w:val="false"/>
          <w:bCs w:val="false"/>
          <w:sz w:val="24"/>
          <w:szCs w:val="24"/>
        </w:rPr>
        <w:t xml:space="preserve">The algorithm works as follows: the first tree makes a rough prediction; the second tree learns from the first tree’s errors; the third learns from the second’s errors; and so on for 300 iterations. The learning rate of 0.05 means each tree contributes only 5% of its correction, enabling slow and careful learning that resists overfitting.</w:t>
      </w:r>
    </w:p>
    <w:p>
      <w:pPr>
        <w:spacing w:after="120" w:before="0" w:line="360"/>
        <w:jc w:val="both"/>
      </w:pPr>
      <w:r>
        <w:rPr>
          <w:rFonts w:ascii="Times New Roman" w:cs="Times New Roman" w:eastAsia="Times New Roman" w:hAnsi="Times New Roman"/>
          <w:b/>
          <w:bCs/>
          <w:sz w:val="24"/>
          <w:szCs w:val="24"/>
        </w:rPr>
        <w:t xml:space="preserve">Configuration:</w:t>
      </w:r>
      <w:r>
        <w:rPr>
          <w:rFonts w:ascii="Times New Roman" w:cs="Times New Roman" w:eastAsia="Times New Roman" w:hAnsi="Times New Roman"/>
          <w:b w:val="false"/>
          <w:bCs w:val="false"/>
          <w:sz w:val="24"/>
          <w:szCs w:val="24"/>
        </w:rPr>
        <w:t xml:space="preserve"> n_estimators=300, max_depth=5, learning_rate=0.05, subsample=0.8, random_state=42, class_weight="balanced".</w:t>
      </w:r>
    </w:p>
    <w:p>
      <w:pPr>
        <w:spacing w:after="120" w:before="0" w:line="360"/>
        <w:jc w:val="both"/>
      </w:pPr>
      <w:r>
        <w:rPr>
          <w:rFonts w:ascii="Times New Roman" w:cs="Times New Roman" w:eastAsia="Times New Roman" w:hAnsi="Times New Roman"/>
          <w:b/>
          <w:bCs/>
          <w:sz w:val="24"/>
          <w:szCs w:val="24"/>
        </w:rPr>
        <w:t xml:space="preserve">Data split:</w:t>
      </w:r>
      <w:r>
        <w:rPr>
          <w:rFonts w:ascii="Times New Roman" w:cs="Times New Roman" w:eastAsia="Times New Roman" w:hAnsi="Times New Roman"/>
          <w:b w:val="false"/>
          <w:bCs w:val="false"/>
          <w:sz w:val="24"/>
          <w:szCs w:val="24"/>
        </w:rPr>
        <w:t xml:space="preserve"> 70% training (approximately 1,200 rows), 15% validation, and 15% test (258 rows each). Chronological order is strictly maintained — no shuffling — to prevent data leakage where the model would otherwise see future data during training.</w:t>
      </w:r>
    </w:p>
    <w:p>
      <w:pPr>
        <w:keepNext/>
        <w:spacing w:after="60" w:before="0" w:line="360"/>
        <w:jc w:val="both"/>
      </w:pPr>
      <w:r>
        <w:rPr>
          <w:rFonts w:ascii="Times New Roman" w:cs="Times New Roman" w:eastAsia="Times New Roman" w:hAnsi="Times New Roman"/>
          <w:b/>
          <w:bCs/>
          <w:sz w:val="24"/>
          <w:szCs w:val="24"/>
        </w:rPr>
        <w:t xml:space="preserve">Signal generation from probability:</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UP probability above 55% → BUY recommendation</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UP probability below 45% → SELL recommendation</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UP probability between 45% and 55% → HOLD recommendation</w:t>
      </w:r>
    </w:p>
    <w:p>
      <w:pPr>
        <w:keepNext/>
        <w:spacing w:after="60" w:before="120" w:line="360"/>
        <w:jc w:val="left"/>
      </w:pPr>
      <w:r>
        <w:rPr>
          <w:rFonts w:ascii="Times New Roman" w:cs="Times New Roman" w:eastAsia="Times New Roman" w:hAnsi="Times New Roman"/>
          <w:b/>
          <w:bCs/>
          <w:sz w:val="24"/>
          <w:szCs w:val="24"/>
        </w:rPr>
        <w:t xml:space="preserve">Model 2 — ARIMA(3,1,1)</w:t>
      </w:r>
    </w:p>
    <w:p>
      <w:pPr>
        <w:spacing w:after="120" w:before="0" w:line="360"/>
        <w:jc w:val="both"/>
      </w:pPr>
      <w:r>
        <w:rPr>
          <w:rFonts w:ascii="Times New Roman" w:cs="Times New Roman" w:eastAsia="Times New Roman" w:hAnsi="Times New Roman"/>
          <w:b w:val="false"/>
          <w:bCs w:val="false"/>
          <w:sz w:val="24"/>
          <w:szCs w:val="24"/>
        </w:rPr>
        <w:t xml:space="preserve">ARIMA (AutoRegressive Integrated Moving Average) is a classical statistical time-series model. In the dashboard it is used for short-term 7-day price forecasting. Configuration: AR order 3, differencing order 1 (for stationarity), MA order 1. Trained on the last 200 days of closing price data for computational efficiency. Outputs a 7-day ahead price forecast line displayed as a red dashed overlay on the candlestick chart.</w:t>
      </w:r>
    </w:p>
    <w:p>
      <w:pPr>
        <w:spacing w:after="120" w:before="0" w:line="360"/>
        <w:jc w:val="both"/>
      </w:pPr>
      <w:r>
        <w:rPr>
          <w:rFonts w:ascii="Times New Roman" w:cs="Times New Roman" w:eastAsia="Times New Roman" w:hAnsi="Times New Roman"/>
          <w:b w:val="false"/>
          <w:bCs w:val="false"/>
          <w:sz w:val="24"/>
          <w:szCs w:val="24"/>
        </w:rPr>
        <w:t xml:space="preserve">The ARIMA model was also trained in Colab on the full training dataset for evaluation purposes. AIC scores of 15,706.31 (TVS Motor), 21,584.08 (Solar Industries), and 12,727.26 (HDFC Bank) indicate well-fitted models relative to their respective price scales.</w:t>
      </w:r>
    </w:p>
    <w:p>
      <w:pPr>
        <w:keepNext/>
        <w:spacing w:after="60" w:before="120" w:line="360"/>
        <w:jc w:val="left"/>
      </w:pPr>
      <w:r>
        <w:rPr>
          <w:rFonts w:ascii="Times New Roman" w:cs="Times New Roman" w:eastAsia="Times New Roman" w:hAnsi="Times New Roman"/>
          <w:b/>
          <w:bCs/>
          <w:sz w:val="24"/>
          <w:szCs w:val="24"/>
        </w:rPr>
        <w:t xml:space="preserve">Model 3 — LSTM Neural Network</w:t>
      </w:r>
    </w:p>
    <w:p>
      <w:pPr>
        <w:spacing w:after="120" w:before="0" w:line="360"/>
        <w:jc w:val="both"/>
      </w:pPr>
      <w:r>
        <w:rPr>
          <w:rFonts w:ascii="Times New Roman" w:cs="Times New Roman" w:eastAsia="Times New Roman" w:hAnsi="Times New Roman"/>
          <w:b w:val="false"/>
          <w:bCs w:val="false"/>
          <w:sz w:val="24"/>
          <w:szCs w:val="24"/>
        </w:rPr>
        <w:t xml:space="preserve">Long Short-Term Memory is a specialized recurrent neural network architecture designed for sequential data. The model learns patterns from sequences of 60 consecutive daily closing prices (scaled to [0,1] using MinMaxScaler) to predict the next day’s price.</w:t>
      </w:r>
    </w:p>
    <w:p>
      <w:pPr>
        <w:spacing w:after="120" w:before="0" w:line="360"/>
        <w:jc w:val="both"/>
      </w:pPr>
      <w:r>
        <w:rPr>
          <w:rFonts w:ascii="Times New Roman" w:cs="Times New Roman" w:eastAsia="Times New Roman" w:hAnsi="Times New Roman"/>
          <w:b/>
          <w:bCs/>
          <w:sz w:val="24"/>
          <w:szCs w:val="24"/>
        </w:rPr>
        <w:t xml:space="preserve">Architecture:</w:t>
      </w:r>
      <w:r>
        <w:rPr>
          <w:rFonts w:ascii="Times New Roman" w:cs="Times New Roman" w:eastAsia="Times New Roman" w:hAnsi="Times New Roman"/>
          <w:b w:val="false"/>
          <w:bCs w:val="false"/>
          <w:sz w:val="24"/>
          <w:szCs w:val="24"/>
        </w:rPr>
        <w:t xml:space="preserve"> Two LSTM layers (50 units each) with dropout regularization (rate 0.2), followed by a Dense layer (25 units) and a Dense output layer (1 unit). </w:t>
      </w:r>
      <w:r>
        <w:rPr>
          <w:rFonts w:ascii="Times New Roman" w:cs="Times New Roman" w:eastAsia="Times New Roman" w:hAnsi="Times New Roman"/>
          <w:b/>
          <w:bCs/>
          <w:sz w:val="24"/>
          <w:szCs w:val="24"/>
        </w:rPr>
        <w:t xml:space="preserve">Training configuration:</w:t>
      </w:r>
      <w:r>
        <w:rPr>
          <w:rFonts w:ascii="Times New Roman" w:cs="Times New Roman" w:eastAsia="Times New Roman" w:hAnsi="Times New Roman"/>
          <w:b w:val="false"/>
          <w:bCs w:val="false"/>
          <w:sz w:val="24"/>
          <w:szCs w:val="24"/>
        </w:rPr>
        <w:t xml:space="preserve"> up to 50 epochs, batch size 32, Adam optimizer (learning rate 0.001), early stopping with patience 5 (stops training when validation loss stops improving). Models trained for 10 epochs (TVS Motor), 11 epochs (Solar Industries), and 50 epochs (HDFC Bank) before early stopping triggered.</w:t>
      </w:r>
    </w:p>
    <w:p>
      <w:pPr>
        <w:keepNext/>
        <w:spacing w:after="60" w:before="120" w:line="360"/>
        <w:jc w:val="left"/>
      </w:pPr>
      <w:r>
        <w:rPr>
          <w:rFonts w:ascii="Times New Roman" w:cs="Times New Roman" w:eastAsia="Times New Roman" w:hAnsi="Times New Roman"/>
          <w:b/>
          <w:bCs/>
          <w:sz w:val="24"/>
          <w:szCs w:val="24"/>
        </w:rPr>
        <w:t xml:space="preserve">Model 4 — Linear Regression (30-Day Trend Forecast)</w:t>
      </w:r>
    </w:p>
    <w:p>
      <w:pPr>
        <w:spacing w:after="120" w:before="0" w:line="360"/>
        <w:jc w:val="both"/>
      </w:pPr>
      <w:r>
        <w:rPr>
          <w:rFonts w:ascii="Times New Roman" w:cs="Times New Roman" w:eastAsia="Times New Roman" w:hAnsi="Times New Roman"/>
          <w:b w:val="false"/>
          <w:bCs w:val="false"/>
          <w:sz w:val="24"/>
          <w:szCs w:val="24"/>
        </w:rPr>
        <w:t xml:space="preserve">A scikit-learn LinearRegression model fitted on the last 90 trading days of closing prices. Day number serves as the sole feature. The fitted slope captures the current momentum trend direction. Predicts the closing price 30 trading days into the future, displayed as a blue dotted line on the dashboard. Progressive confidence intervals (widening from ±1 to ±3.5 daily volatility units) reflect increasing forecast uncertainty over the 30-day horizon.</w:t>
      </w:r>
    </w:p>
    <w:p>
      <w:pPr>
        <w:pStyle w:val="Heading2"/>
      </w:pPr>
      <w:r>
        <w:rPr>
          <w:rFonts w:ascii="Times New Roman" w:cs="Times New Roman" w:eastAsia="Times New Roman" w:hAnsi="Times New Roman"/>
          <w:b/>
          <w:bCs/>
          <w:sz w:val="24"/>
          <w:szCs w:val="24"/>
        </w:rPr>
        <w:t xml:space="preserve">3.5 Evaluation Metrics</w:t>
      </w:r>
    </w:p>
    <w:p>
      <w:pPr>
        <w:keepNext/>
        <w:spacing w:after="60" w:before="120" w:line="360"/>
        <w:jc w:val="left"/>
      </w:pPr>
      <w:r>
        <w:rPr>
          <w:rFonts w:ascii="Times New Roman" w:cs="Times New Roman" w:eastAsia="Times New Roman" w:hAnsi="Times New Roman"/>
          <w:b/>
          <w:bCs/>
          <w:sz w:val="24"/>
          <w:szCs w:val="24"/>
        </w:rPr>
        <w:t xml:space="preserve">Classification Metrics — Gradient Boosting Classifier:</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b w:val="false"/>
          <w:bCs w:val="false"/>
          <w:sz w:val="24"/>
          <w:szCs w:val="24"/>
        </w:rPr>
        <w:t xml:space="preserve"> The proportion of correctly classified UP/DOWN predictions out of all test predictions. Primary performance indicator. Random baseline for 2-class prediction is 50%.</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b w:val="false"/>
          <w:bCs w:val="false"/>
          <w:sz w:val="24"/>
          <w:szCs w:val="24"/>
        </w:rPr>
        <w:t xml:space="preserve"> For each class, the proportion of predicted instances that were actually correct. Answers the question: when the model predicted UP, how often was the stock actually UP?</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Recall:</w:t>
      </w:r>
      <w:r>
        <w:rPr>
          <w:rFonts w:ascii="Times New Roman" w:cs="Times New Roman" w:eastAsia="Times New Roman" w:hAnsi="Times New Roman"/>
          <w:b w:val="false"/>
          <w:bCs w:val="false"/>
          <w:sz w:val="24"/>
          <w:szCs w:val="24"/>
        </w:rPr>
        <w:t xml:space="preserve"> The proportion of actual instances of each class that were correctly identified. Answers: out of all actual UP days, how many did the model catch?</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F1 Score:</w:t>
      </w:r>
      <w:r>
        <w:rPr>
          <w:rFonts w:ascii="Times New Roman" w:cs="Times New Roman" w:eastAsia="Times New Roman" w:hAnsi="Times New Roman"/>
          <w:b w:val="false"/>
          <w:bCs w:val="false"/>
          <w:sz w:val="24"/>
          <w:szCs w:val="24"/>
        </w:rPr>
        <w:t xml:space="preserve"> The harmonic mean of precision and recall. Used as the primary metric when class distributions are not perfectly equal.</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AUC-ROC (Area Under the Receiver Operating Characteristic Curve):</w:t>
      </w:r>
      <w:r>
        <w:rPr>
          <w:rFonts w:ascii="Times New Roman" w:cs="Times New Roman" w:eastAsia="Times New Roman" w:hAnsi="Times New Roman"/>
          <w:b w:val="false"/>
          <w:bCs w:val="false"/>
          <w:sz w:val="24"/>
          <w:szCs w:val="24"/>
        </w:rPr>
        <w:t xml:space="preserve"> Measures the model’s ability to distinguish between UP and DOWN days across all possible classification thresholds. A value of 0.5 indicates random performance; above 0.5 indicates genuine discriminative ability.</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Confusion Matrix:</w:t>
      </w:r>
      <w:r>
        <w:rPr>
          <w:rFonts w:ascii="Times New Roman" w:cs="Times New Roman" w:eastAsia="Times New Roman" w:hAnsi="Times New Roman"/>
          <w:b w:val="false"/>
          <w:bCs w:val="false"/>
          <w:sz w:val="24"/>
          <w:szCs w:val="24"/>
        </w:rPr>
        <w:t xml:space="preserve"> A 2×2 matrix showing actual versus predicted labels for DOWN and UP classes, revealing the specific types of errors the model makes.</w:t>
      </w:r>
    </w:p>
    <w:p>
      <w:pPr>
        <w:keepNext/>
        <w:spacing w:after="60" w:before="120" w:line="360"/>
        <w:jc w:val="left"/>
      </w:pPr>
      <w:r>
        <w:rPr>
          <w:rFonts w:ascii="Times New Roman" w:cs="Times New Roman" w:eastAsia="Times New Roman" w:hAnsi="Times New Roman"/>
          <w:b/>
          <w:bCs/>
          <w:sz w:val="24"/>
          <w:szCs w:val="24"/>
        </w:rPr>
        <w:t xml:space="preserve">Regression Metrics — ARIMA and LSTM:</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RMSE (Root Mean Square Error):</w:t>
      </w:r>
      <w:r>
        <w:rPr>
          <w:rFonts w:ascii="Times New Roman" w:cs="Times New Roman" w:eastAsia="Times New Roman" w:hAnsi="Times New Roman"/>
          <w:b w:val="false"/>
          <w:bCs w:val="false"/>
          <w:sz w:val="24"/>
          <w:szCs w:val="24"/>
        </w:rPr>
        <w:t xml:space="preserve"> Square root of the average squared difference between predicted and actual prices, expressed in rupees. Penalizes large errors more heavily than small ones.</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MAPE (Mean Absolute Percentage Error):</w:t>
      </w:r>
      <w:r>
        <w:rPr>
          <w:rFonts w:ascii="Times New Roman" w:cs="Times New Roman" w:eastAsia="Times New Roman" w:hAnsi="Times New Roman"/>
          <w:b w:val="false"/>
          <w:bCs w:val="false"/>
          <w:sz w:val="24"/>
          <w:szCs w:val="24"/>
        </w:rPr>
        <w:t xml:space="preserve"> Average percentage difference between predicted and actual prices. Allows comparison across stocks with different price levels.</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AIC (Akaike Information Criterion):</w:t>
      </w:r>
      <w:r>
        <w:rPr>
          <w:rFonts w:ascii="Times New Roman" w:cs="Times New Roman" w:eastAsia="Times New Roman" w:hAnsi="Times New Roman"/>
          <w:b w:val="false"/>
          <w:bCs w:val="false"/>
          <w:sz w:val="24"/>
          <w:szCs w:val="24"/>
        </w:rPr>
        <w:t xml:space="preserve"> Model selection metric for ARIMA. Lower values indicate better model fit relative to complexity.</w:t>
      </w:r>
    </w:p>
    <w:p>
      <w:pPr>
        <w:keepNext/>
        <w:spacing w:after="60" w:before="120" w:line="360"/>
        <w:jc w:val="left"/>
      </w:pPr>
      <w:r>
        <w:rPr>
          <w:rFonts w:ascii="Times New Roman" w:cs="Times New Roman" w:eastAsia="Times New Roman" w:hAnsi="Times New Roman"/>
          <w:b/>
          <w:bCs/>
          <w:sz w:val="24"/>
          <w:szCs w:val="24"/>
        </w:rPr>
        <w:t xml:space="preserve">Financial Validation:</w:t>
      </w:r>
    </w:p>
    <w:p>
      <w:pPr>
        <w:spacing w:after="120" w:before="0" w:line="360"/>
        <w:jc w:val="both"/>
      </w:pPr>
      <w:r>
        <w:rPr>
          <w:rFonts w:ascii="Times New Roman" w:cs="Times New Roman" w:eastAsia="Times New Roman" w:hAnsi="Times New Roman"/>
          <w:b/>
          <w:bCs/>
          <w:sz w:val="24"/>
          <w:szCs w:val="24"/>
        </w:rPr>
        <w:t xml:space="preserve">Backtesting:</w:t>
      </w:r>
      <w:r>
        <w:rPr>
          <w:rFonts w:ascii="Times New Roman" w:cs="Times New Roman" w:eastAsia="Times New Roman" w:hAnsi="Times New Roman"/>
          <w:b w:val="false"/>
          <w:bCs w:val="false"/>
          <w:sz w:val="24"/>
          <w:szCs w:val="24"/>
        </w:rPr>
        <w:t xml:space="preserve"> A trading simulation starting with Rs. 1,00,000 on the held-out test set. The strategy buys when model UP probability exceeds 55% and holds cash when it falls below 45%. Results are compared against a pure buy-and-hold benchmark over the same period.</w:t>
      </w:r>
    </w:p>
    <w:p>
      <w:pPr>
        <w:pStyle w:val="Heading1"/>
      </w:pPr>
      <w:r>
        <w:rPr>
          <w:rFonts w:ascii="Times New Roman" w:cs="Times New Roman" w:eastAsia="Times New Roman" w:hAnsi="Times New Roman"/>
          <w:b/>
          <w:bCs/>
          <w:sz w:val="28"/>
          <w:szCs w:val="28"/>
        </w:rPr>
        <w:t xml:space="preserve">CHAPTER 4 — WORK DONE SO FAR</w:t>
      </w:r>
    </w:p>
    <w:p>
      <w:pPr>
        <w:pStyle w:val="Heading2"/>
      </w:pPr>
      <w:r>
        <w:rPr>
          <w:rFonts w:ascii="Times New Roman" w:cs="Times New Roman" w:eastAsia="Times New Roman" w:hAnsi="Times New Roman"/>
          <w:b/>
          <w:bCs/>
          <w:sz w:val="24"/>
          <w:szCs w:val="24"/>
        </w:rPr>
        <w:t xml:space="preserve">4.1 Phase Completion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1"/>
        <w:gridCol w:w="4068"/>
        <w:gridCol w:w="1652"/>
        <w:gridCol w:w="2035"/>
      </w:tblGrid>
      <w:tr>
        <w:trPr>
          <w:cantSplit/>
          <w:tblHeader/>
        </w:trPr>
        <w:tc>
          <w:tcPr>
            <w:tcW w:type="dxa" w:w="127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Phase</w:t>
            </w:r>
          </w:p>
        </w:tc>
        <w:tc>
          <w:tcPr>
            <w:tcW w:type="dxa" w:w="406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Description</w:t>
            </w:r>
          </w:p>
        </w:tc>
        <w:tc>
          <w:tcPr>
            <w:tcW w:type="dxa" w:w="165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Status</w:t>
            </w:r>
          </w:p>
        </w:tc>
        <w:tc>
          <w:tcPr>
            <w:tcW w:type="dxa" w:w="20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Period</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2</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Data Collection</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Complete</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Jan–Feb 2026</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3</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Data Cleaning and Preprocessing</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Complete</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Feb 2026</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4</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EDA and Visualization</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Complete</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Feb–Mar 2026</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5</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Feature Engineering</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Complete</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Mar 2026</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6</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Model Training</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Complete</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Mar–Apr 2026</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7</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Model Evaluation and SHAP</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Complete</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Apr 2026</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8</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Dashboard Development</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Complete</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Apr–May 2026</w:t>
            </w:r>
          </w:p>
        </w:tc>
      </w:tr>
      <w:tr>
        <w:trPr>
          <w:cantSplit/>
          <w:tblHeader w:val="false"/>
        </w:trPr>
        <w:tc>
          <w:tcPr>
            <w:tcW w:type="dxa" w:w="12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Phase 9</w:t>
            </w:r>
          </w:p>
        </w:tc>
        <w:tc>
          <w:tcPr>
            <w:tcW w:type="dxa" w:w="4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Deployment on Streamlit Cloud</w:t>
            </w:r>
          </w:p>
        </w:tc>
        <w:tc>
          <w:tcPr>
            <w:tcW w:type="dxa" w:w="16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In Progress</w:t>
            </w:r>
          </w:p>
        </w:tc>
        <w:tc>
          <w:tcPr>
            <w:tcW w:type="dxa" w:w="20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Oct 2026</w:t>
            </w:r>
          </w:p>
        </w:tc>
      </w:tr>
    </w:tbl>
    <w:p>
      <w:pPr>
        <w:spacing w:after="160" w:line="240"/>
      </w:pPr>
    </w:p>
    <w:p>
      <w:pPr>
        <w:pStyle w:val="Heading2"/>
      </w:pPr>
      <w:r>
        <w:rPr>
          <w:rFonts w:ascii="Times New Roman" w:cs="Times New Roman" w:eastAsia="Times New Roman" w:hAnsi="Times New Roman"/>
          <w:b/>
          <w:bCs/>
          <w:sz w:val="24"/>
          <w:szCs w:val="24"/>
        </w:rPr>
        <w:t xml:space="preserve">4.2 Data Collection Results</w:t>
      </w:r>
    </w:p>
    <w:p>
      <w:pPr>
        <w:spacing w:after="120" w:before="0" w:line="360"/>
        <w:jc w:val="both"/>
      </w:pPr>
      <w:r>
        <w:rPr>
          <w:rFonts w:ascii="Times New Roman" w:cs="Times New Roman" w:eastAsia="Times New Roman" w:hAnsi="Times New Roman"/>
          <w:b w:val="false"/>
          <w:bCs w:val="false"/>
          <w:sz w:val="24"/>
          <w:szCs w:val="24"/>
        </w:rPr>
        <w:t xml:space="preserve">Historical OHLCV data was successfully downloaded for all three stocks using the yfinance Python library. The download process used the auto_adjust=True parameter to automatically adjust prices for corporate actions including stock splits, bonus issues, and dividend payments.</w:t>
      </w:r>
    </w:p>
    <w:p>
      <w:pPr>
        <w:keepNext/>
        <w:spacing w:after="0" w:before="120"/>
        <w:jc w:val="center"/>
      </w:pPr>
      <w:r>
        <w:drawing>
          <wp:inline distT="0" distB="0" distL="0" distR="0">
            <wp:extent cx="5334000" cy="3552825"/>
            <wp:effectExtent t="0" r="0" b="0" l="0"/>
            <wp:docPr id="1" name="Figure 4.1: Final Clean Data Summary — Colab Output (Phase 3, Cell 14)" descr="Figure 4.1: Final Clean Data Summary — Colab Output (Phase 3, Cell 14)" title="Figure 4.1: Final Clean Data Summary — Colab Output (Phase 3, Cell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4.1: Final Clean Data Summary — Colab Output (Phase 3, Cell 14)</w:t>
      </w:r>
    </w:p>
    <w:p>
      <w:pPr>
        <w:keepNext/>
        <w:spacing w:after="60" w:before="120" w:line="360"/>
        <w:jc w:val="left"/>
      </w:pPr>
      <w:r>
        <w:rPr>
          <w:rFonts w:ascii="Times New Roman" w:cs="Times New Roman" w:eastAsia="Times New Roman" w:hAnsi="Times New Roman"/>
          <w:b/>
          <w:bCs/>
          <w:sz w:val="24"/>
          <w:szCs w:val="24"/>
        </w:rPr>
        <w:t xml:space="preserve">Final Clean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3"/>
        <w:gridCol w:w="686"/>
        <w:gridCol w:w="2256"/>
        <w:gridCol w:w="1275"/>
        <w:gridCol w:w="1275"/>
        <w:gridCol w:w="1177"/>
        <w:gridCol w:w="984"/>
      </w:tblGrid>
      <w:tr>
        <w:trPr>
          <w:cantSplit/>
          <w:tblHeader/>
        </w:trPr>
        <w:tc>
          <w:tcPr>
            <w:tcW w:type="dxa" w:w="137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Stock</w:t>
            </w:r>
          </w:p>
        </w:tc>
        <w:tc>
          <w:tcPr>
            <w:tcW w:type="dxa" w:w="68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Rows</w:t>
            </w:r>
          </w:p>
        </w:tc>
        <w:tc>
          <w:tcPr>
            <w:tcW w:type="dxa" w:w="225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Date Range</w:t>
            </w:r>
          </w:p>
        </w:tc>
        <w:tc>
          <w:tcPr>
            <w:tcW w:type="dxa" w:w="12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Avg Close</w:t>
            </w:r>
          </w:p>
        </w:tc>
        <w:tc>
          <w:tcPr>
            <w:tcW w:type="dxa" w:w="12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Max Close</w:t>
            </w:r>
          </w:p>
        </w:tc>
        <w:tc>
          <w:tcPr>
            <w:tcW w:type="dxa" w:w="117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Min Close</w:t>
            </w:r>
          </w:p>
        </w:tc>
        <w:tc>
          <w:tcPr>
            <w:tcW w:type="dxa" w:w="98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Missing</w:t>
            </w:r>
          </w:p>
        </w:tc>
      </w:tr>
      <w:tr>
        <w:trPr>
          <w:cantSplit/>
          <w:tblHeader w:val="false"/>
        </w:trPr>
        <w:tc>
          <w:tcPr>
            <w:tcW w:type="dxa" w:w="13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TVS Motor</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1,919</w:t>
            </w:r>
          </w:p>
        </w:tc>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2019-01-02 to 2026-10-01</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1,514.81</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4,466.20</w:t>
            </w:r>
          </w:p>
        </w:tc>
        <w:tc>
          <w:tcPr>
            <w:tcW w:type="dxa" w:w="11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245.87</w:t>
            </w:r>
          </w:p>
        </w:tc>
        <w:tc>
          <w:tcPr>
            <w:tcW w:type="dxa" w:w="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0</w:t>
            </w:r>
          </w:p>
        </w:tc>
      </w:tr>
      <w:tr>
        <w:trPr>
          <w:cantSplit/>
          <w:tblHeader w:val="false"/>
        </w:trPr>
        <w:tc>
          <w:tcPr>
            <w:tcW w:type="dxa" w:w="13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Solar Industries</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1,918</w:t>
            </w:r>
          </w:p>
        </w:tc>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2019-01-02 to 2026-10-01</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6,000.66</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22,455.00</w:t>
            </w:r>
          </w:p>
        </w:tc>
        <w:tc>
          <w:tcPr>
            <w:tcW w:type="dxa" w:w="11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837.29</w:t>
            </w:r>
          </w:p>
        </w:tc>
        <w:tc>
          <w:tcPr>
            <w:tcW w:type="dxa" w:w="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0</w:t>
            </w:r>
          </w:p>
        </w:tc>
      </w:tr>
      <w:tr>
        <w:trPr>
          <w:cantSplit/>
          <w:tblHeader w:val="false"/>
        </w:trPr>
        <w:tc>
          <w:tcPr>
            <w:tcW w:type="dxa" w:w="13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HDFC Bank</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1,919</w:t>
            </w:r>
          </w:p>
        </w:tc>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2019-01-02 to 2026-10-01</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713.61</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996.42</w:t>
            </w:r>
          </w:p>
        </w:tc>
        <w:tc>
          <w:tcPr>
            <w:tcW w:type="dxa" w:w="11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357.66</w:t>
            </w:r>
          </w:p>
        </w:tc>
        <w:tc>
          <w:tcPr>
            <w:tcW w:type="dxa" w:w="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0</w:t>
            </w:r>
          </w:p>
        </w:tc>
      </w:tr>
      <w:tr>
        <w:trPr>
          <w:cantSplit/>
          <w:tblHeader w:val="false"/>
        </w:trPr>
        <w:tc>
          <w:tcPr>
            <w:tcW w:type="dxa" w:w="137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Master Dataset</w:t>
            </w:r>
          </w:p>
        </w:tc>
        <w:tc>
          <w:tcPr>
            <w:tcW w:type="dxa" w:w="6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5,756</w:t>
            </w:r>
          </w:p>
        </w:tc>
        <w:tc>
          <w:tcPr>
            <w:tcW w:type="dxa" w:w="22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2019-01-02 to 2026-10-01</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12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117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8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0</w:t>
            </w:r>
          </w:p>
        </w:tc>
      </w:tr>
    </w:tbl>
    <w:p>
      <w:pPr>
        <w:spacing w:after="160" w:line="240"/>
      </w:pPr>
    </w:p>
    <w:p>
      <w:pPr>
        <w:spacing w:after="120" w:before="0" w:line="360"/>
        <w:jc w:val="both"/>
      </w:pPr>
      <w:r>
        <w:rPr>
          <w:rFonts w:ascii="Times New Roman" w:cs="Times New Roman" w:eastAsia="Times New Roman" w:hAnsi="Times New Roman"/>
          <w:b w:val="false"/>
          <w:bCs w:val="false"/>
          <w:sz w:val="24"/>
          <w:szCs w:val="24"/>
        </w:rPr>
        <w:t xml:space="preserve">All columns confirmed as correct data types (float64 for price columns, int64 for Volume, object for Stock name). Zero missing values across all three stocks after preprocessing. The data successfully captures diverse market conditions including the COVID-19 crash of March 2020 (visible as the minimum price for all three stocks), the subsequent recovery, the 2021-2022 bull run, and recent market phases through October 2026.</w:t>
      </w:r>
    </w:p>
    <w:p>
      <w:pPr>
        <w:pStyle w:val="Heading2"/>
      </w:pPr>
      <w:r>
        <w:rPr>
          <w:rFonts w:ascii="Times New Roman" w:cs="Times New Roman" w:eastAsia="Times New Roman" w:hAnsi="Times New Roman"/>
          <w:b/>
          <w:bCs/>
          <w:sz w:val="24"/>
          <w:szCs w:val="24"/>
        </w:rPr>
        <w:t xml:space="preserve">4.3 Exploratory Data Analysis Results</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4.2 HERE ]</w:t>
            </w:r>
          </w:p>
          <w:p>
            <w:pPr>
              <w:spacing w:after="0"/>
              <w:jc w:val="center"/>
            </w:pPr>
            <w:r>
              <w:rPr>
                <w:rFonts w:ascii="Times New Roman" w:cs="Times New Roman" w:eastAsia="Times New Roman" w:hAnsi="Times New Roman"/>
                <w:b w:val="false"/>
                <w:bCs w:val="false"/>
                <w:i/>
                <w:iCs/>
                <w:color w:val="595959"/>
                <w:sz w:val="20"/>
                <w:szCs w:val="20"/>
              </w:rPr>
              <w:t xml:space="preserve">Insert eda_closing_price_trend.png from your Colab output folder</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4.2: Closing Price Trend for All Three Stocks — January 2019 to October 2026</w:t>
      </w:r>
    </w:p>
    <w:p>
      <w:pPr>
        <w:spacing w:after="120" w:before="0" w:line="360"/>
        <w:jc w:val="both"/>
      </w:pPr>
      <w:r>
        <w:rPr>
          <w:rFonts w:ascii="Times New Roman" w:cs="Times New Roman" w:eastAsia="Times New Roman" w:hAnsi="Times New Roman"/>
          <w:b w:val="false"/>
          <w:bCs w:val="false"/>
          <w:sz w:val="24"/>
          <w:szCs w:val="24"/>
        </w:rPr>
        <w:t xml:space="preserve">The closing price trend charts reveal three fundamentally different return profiles across the three stocks. TVS Motor shows a strong and sustained uptrend beginning in 2021, accelerating significantly from 2023 onwards, driven by the EV boom and strong two-wheeler demand in India. Solar Industries demonstrates the most dramatic price appreciation of the three stocks, remaining relatively flat until 2023 and then exhibiting an extraordinary vertical rise driven by India’s defence spending push under the Make in India initiative. HDFC Bank shows a more moderate trajectory with the stock experiencing significant drawdown during the 2023-2024 period associated with post-merger integration challenges following the HDFC-HDFC Bank merger.</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4.3 HERE ]</w:t>
            </w:r>
          </w:p>
          <w:p>
            <w:pPr>
              <w:spacing w:after="0"/>
              <w:jc w:val="center"/>
            </w:pPr>
            <w:r>
              <w:rPr>
                <w:rFonts w:ascii="Times New Roman" w:cs="Times New Roman" w:eastAsia="Times New Roman" w:hAnsi="Times New Roman"/>
                <w:b w:val="false"/>
                <w:bCs w:val="false"/>
                <w:i/>
                <w:iCs/>
                <w:color w:val="595959"/>
                <w:sz w:val="20"/>
                <w:szCs w:val="20"/>
              </w:rPr>
              <w:t xml:space="preserve">Insert eda_cumulative_return.png from your Colab output folder</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4.3: Cumulative Return Comparison — All Three Stocks (2019–2026)</w:t>
      </w:r>
    </w:p>
    <w:p>
      <w:pPr>
        <w:spacing w:after="120" w:before="0" w:line="360"/>
        <w:jc w:val="both"/>
      </w:pPr>
      <w:r>
        <w:rPr>
          <w:rFonts w:ascii="Times New Roman" w:cs="Times New Roman" w:eastAsia="Times New Roman" w:hAnsi="Times New Roman"/>
          <w:b w:val="false"/>
          <w:bCs w:val="false"/>
          <w:sz w:val="24"/>
          <w:szCs w:val="24"/>
        </w:rPr>
        <w:t xml:space="preserve">The cumulative return comparison chart dramatically illustrates the divergence in performance across the three stocks. Solar Industries’ extraordinary outperformance is clearly visible — the green line separates sharply from the other two stocks beginning in 2023, eventually reaching approximately 2,000% cumulative return by late 2026. TVS Motor’s blue line shows strong and consistent compounding reaching approximately 650% by 2026. HDFC Bank’s orange line remains the most stable, tracking closely to its starting value with moderate cumulative return reflecting the stock’s stable but lower growth profile.</w:t>
      </w:r>
    </w:p>
    <w:p>
      <w:pPr>
        <w:spacing w:after="120" w:before="0" w:line="360"/>
        <w:jc w:val="both"/>
      </w:pPr>
      <w:r>
        <w:rPr>
          <w:rFonts w:ascii="Times New Roman" w:cs="Times New Roman" w:eastAsia="Times New Roman" w:hAnsi="Times New Roman"/>
          <w:b w:val="false"/>
          <w:bCs w:val="false"/>
          <w:sz w:val="24"/>
          <w:szCs w:val="24"/>
        </w:rPr>
        <w:t xml:space="preserve">Figures 4.4 to 4.6 present the daily return distribution, the volume analysis with its 20-day moving average, and the closing price correlation across the three stocks.</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4.4 HERE ]</w:t>
            </w:r>
          </w:p>
          <w:p>
            <w:pPr>
              <w:spacing w:after="0"/>
              <w:jc w:val="center"/>
            </w:pPr>
            <w:r>
              <w:rPr>
                <w:rFonts w:ascii="Times New Roman" w:cs="Times New Roman" w:eastAsia="Times New Roman" w:hAnsi="Times New Roman"/>
                <w:b w:val="false"/>
                <w:bCs w:val="false"/>
                <w:i/>
                <w:iCs/>
                <w:color w:val="595959"/>
                <w:sz w:val="20"/>
                <w:szCs w:val="20"/>
              </w:rPr>
              <w:t xml:space="preserve">Insert the daily return histogram chart from your Colab EDA (Phase 4)</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4.4: Daily Return Distribution Histogram</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4.5 HERE ]</w:t>
            </w:r>
          </w:p>
          <w:p>
            <w:pPr>
              <w:spacing w:after="0"/>
              <w:jc w:val="center"/>
            </w:pPr>
            <w:r>
              <w:rPr>
                <w:rFonts w:ascii="Times New Roman" w:cs="Times New Roman" w:eastAsia="Times New Roman" w:hAnsi="Times New Roman"/>
                <w:b w:val="false"/>
                <w:bCs w:val="false"/>
                <w:i/>
                <w:iCs/>
                <w:color w:val="595959"/>
                <w:sz w:val="20"/>
                <w:szCs w:val="20"/>
              </w:rPr>
              <w:t xml:space="preserve">Insert the volume analysis chart from your Colab EDA (Phase 4)</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4.5: Volume Analysis with 20-Day Moving Average</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4.6 HERE ]</w:t>
            </w:r>
          </w:p>
          <w:p>
            <w:pPr>
              <w:spacing w:after="0"/>
              <w:jc w:val="center"/>
            </w:pPr>
            <w:r>
              <w:rPr>
                <w:rFonts w:ascii="Times New Roman" w:cs="Times New Roman" w:eastAsia="Times New Roman" w:hAnsi="Times New Roman"/>
                <w:b w:val="false"/>
                <w:bCs w:val="false"/>
                <w:i/>
                <w:iCs/>
                <w:color w:val="595959"/>
                <w:sz w:val="20"/>
                <w:szCs w:val="20"/>
              </w:rPr>
              <w:t xml:space="preserve">Insert the correlation heatmap from your Colab EDA (Phase 4)</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4.6: Closing Price Correlation Heatmap</w:t>
      </w:r>
    </w:p>
    <w:p>
      <w:pPr>
        <w:keepNext/>
        <w:spacing w:after="60" w:before="120" w:line="360"/>
        <w:jc w:val="left"/>
      </w:pPr>
      <w:r>
        <w:rPr>
          <w:rFonts w:ascii="Times New Roman" w:cs="Times New Roman" w:eastAsia="Times New Roman" w:hAnsi="Times New Roman"/>
          <w:b/>
          <w:bCs/>
          <w:sz w:val="24"/>
          <w:szCs w:val="24"/>
        </w:rPr>
        <w:t xml:space="preserve">EDA Key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9"/>
        <w:gridCol w:w="1641"/>
        <w:gridCol w:w="1758"/>
        <w:gridCol w:w="1758"/>
        <w:gridCol w:w="1760"/>
      </w:tblGrid>
      <w:tr>
        <w:trPr>
          <w:cantSplit/>
          <w:tblHeader/>
        </w:trPr>
        <w:tc>
          <w:tcPr>
            <w:tcW w:type="dxa" w:w="210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Stock</w:t>
            </w:r>
          </w:p>
        </w:tc>
        <w:tc>
          <w:tcPr>
            <w:tcW w:type="dxa" w:w="16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Total Return</w:t>
            </w:r>
          </w:p>
        </w:tc>
        <w:tc>
          <w:tcPr>
            <w:tcW w:type="dxa" w:w="17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Daily Volatility</w:t>
            </w:r>
          </w:p>
        </w:tc>
        <w:tc>
          <w:tcPr>
            <w:tcW w:type="dxa" w:w="175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Max Daily Gain</w:t>
            </w:r>
          </w:p>
        </w:tc>
        <w:tc>
          <w:tcPr>
            <w:tcW w:type="dxa" w:w="17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Max Daily Loss</w:t>
            </w:r>
          </w:p>
        </w:tc>
      </w:tr>
      <w:tr>
        <w:trPr>
          <w:cantSplit/>
          <w:tblHeader w:val="false"/>
        </w:trPr>
        <w:tc>
          <w:tcPr>
            <w:tcW w:type="dxa" w:w="21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TVS Motor</w:t>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~650%</w:t>
            </w:r>
          </w:p>
        </w:tc>
        <w:tc>
          <w:tcPr>
            <w:tcW w:type="dxa" w:w="1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2.005%</w:t>
            </w:r>
          </w:p>
        </w:tc>
        <w:tc>
          <w:tcPr>
            <w:tcW w:type="dxa" w:w="1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+14.04%</w:t>
            </w: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-12.76%</w:t>
            </w:r>
          </w:p>
        </w:tc>
      </w:tr>
      <w:tr>
        <w:trPr>
          <w:cantSplit/>
          <w:tblHeader w:val="false"/>
        </w:trPr>
        <w:tc>
          <w:tcPr>
            <w:tcW w:type="dxa" w:w="21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Solar Industries</w:t>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~2,000%</w:t>
            </w:r>
          </w:p>
        </w:tc>
        <w:tc>
          <w:tcPr>
            <w:tcW w:type="dxa" w:w="1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2.128%</w:t>
            </w:r>
          </w:p>
        </w:tc>
        <w:tc>
          <w:tcPr>
            <w:tcW w:type="dxa" w:w="1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+11.62%</w:t>
            </w: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-11.77%</w:t>
            </w:r>
          </w:p>
        </w:tc>
      </w:tr>
      <w:tr>
        <w:trPr>
          <w:cantSplit/>
          <w:tblHeader w:val="false"/>
        </w:trPr>
        <w:tc>
          <w:tcPr>
            <w:tcW w:type="dxa" w:w="21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HDFC Bank</w:t>
            </w:r>
          </w:p>
        </w:tc>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~50%</w:t>
            </w:r>
          </w:p>
        </w:tc>
        <w:tc>
          <w:tcPr>
            <w:tcW w:type="dxa" w:w="1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1.571%</w:t>
            </w:r>
          </w:p>
        </w:tc>
        <w:tc>
          <w:tcPr>
            <w:tcW w:type="dxa" w:w="17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+11.60%</w:t>
            </w:r>
          </w:p>
        </w:tc>
        <w:tc>
          <w:tcPr>
            <w:tcW w:type="dxa" w:w="17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-12.61%</w:t>
            </w:r>
          </w:p>
        </w:tc>
      </w:tr>
    </w:tbl>
    <w:p>
      <w:pPr>
        <w:spacing w:after="160" w:line="240"/>
      </w:pPr>
    </w:p>
    <w:p>
      <w:pPr>
        <w:keepNext/>
        <w:spacing w:after="60" w:before="120" w:line="360"/>
        <w:jc w:val="left"/>
      </w:pPr>
      <w:r>
        <w:rPr>
          <w:rFonts w:ascii="Times New Roman" w:cs="Times New Roman" w:eastAsia="Times New Roman" w:hAnsi="Times New Roman"/>
          <w:b/>
          <w:bCs/>
          <w:sz w:val="24"/>
          <w:szCs w:val="24"/>
        </w:rPr>
        <w:t xml:space="preserve">Key Observations from EDA:</w:t>
      </w:r>
    </w:p>
    <w:p>
      <w:pPr>
        <w:spacing w:after="120" w:before="0" w:line="360"/>
        <w:jc w:val="both"/>
      </w:pPr>
      <w:r>
        <w:rPr>
          <w:rFonts w:ascii="Times New Roman" w:cs="Times New Roman" w:eastAsia="Times New Roman" w:hAnsi="Times New Roman"/>
          <w:b w:val="false"/>
          <w:bCs w:val="false"/>
          <w:sz w:val="24"/>
          <w:szCs w:val="24"/>
        </w:rPr>
        <w:t xml:space="preserve">Solar Industries delivered extraordinary returns exceeding 2,000% over seven years, making it the best performer by a wide margin. This performance reflects the significant policy tailwind from India’s defence indigenization program. TVS Motor delivered approximately 650% total return, reflecting the strong consumer demand for two-wheelers and early EV adoption. HDFC Bank’s relatively modest return compared to the other two reflects sector-specific headwinds during the post-merger period, demonstrating that banking stocks behave fundamentally differently from growth sectors. The daily volatility analysis confirms that HDFC Bank (1.571%) is the most stable of the three while Solar Industries (2.128%) is the most volatile, consistent with the risk-return profiles of their respective sectors.</w:t>
      </w:r>
    </w:p>
    <w:p>
      <w:pPr>
        <w:pStyle w:val="Heading2"/>
      </w:pPr>
      <w:r>
        <w:rPr>
          <w:rFonts w:ascii="Times New Roman" w:cs="Times New Roman" w:eastAsia="Times New Roman" w:hAnsi="Times New Roman"/>
          <w:b/>
          <w:bCs/>
          <w:sz w:val="24"/>
          <w:szCs w:val="24"/>
        </w:rPr>
        <w:t xml:space="preserve">4.4 Feature Engineering Results</w:t>
      </w:r>
    </w:p>
    <w:p>
      <w:pPr>
        <w:spacing w:after="120" w:before="0" w:line="360"/>
        <w:jc w:val="both"/>
      </w:pPr>
      <w:r>
        <w:rPr>
          <w:rFonts w:ascii="Times New Roman" w:cs="Times New Roman" w:eastAsia="Times New Roman" w:hAnsi="Times New Roman"/>
          <w:b w:val="false"/>
          <w:bCs w:val="false"/>
          <w:sz w:val="24"/>
          <w:szCs w:val="24"/>
        </w:rPr>
        <w:t xml:space="preserve">All 27 technical indicators were successfully computed for each stock. The feature engineering process transforms 5 raw columns (Open, High, Low, Close, Volume) into a 27-column feature matrix per stock.</w:t>
      </w:r>
    </w:p>
    <w:p>
      <w:pPr>
        <w:keepNext/>
        <w:spacing w:after="60" w:before="0" w:line="360"/>
        <w:jc w:val="both"/>
      </w:pPr>
      <w:r>
        <w:rPr>
          <w:rFonts w:ascii="Times New Roman" w:cs="Times New Roman" w:eastAsia="Times New Roman" w:hAnsi="Times New Roman"/>
          <w:b w:val="false"/>
          <w:bCs w:val="false"/>
          <w:sz w:val="24"/>
          <w:szCs w:val="24"/>
        </w:rPr>
        <w:t xml:space="preserve">Feature computation was verified by:</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Confirming zero missing values in all feature columns after dropping the initial 200 rows required for MA200 computation</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Visual validation that RSI correctly identified the March 2020 COVID crash (RSI values near 15-20 across all three stocks during that period — correctly indicating extreme oversold conditions)</w:t>
      </w:r>
    </w:p>
    <w:p>
      <w:pPr>
        <w:pStyle w:val="ListParagraph"/>
        <w:numPr>
          <w:ilvl w:val="0"/>
          <w:numId w:val="4"/>
        </w:numPr>
        <w:spacing w:after="60" w:line="340"/>
        <w:jc w:val="both"/>
      </w:pPr>
      <w:r>
        <w:rPr>
          <w:rFonts w:ascii="Times New Roman" w:cs="Times New Roman" w:eastAsia="Times New Roman" w:hAnsi="Times New Roman"/>
          <w:b w:val="false"/>
          <w:bCs w:val="false"/>
          <w:sz w:val="24"/>
          <w:szCs w:val="24"/>
        </w:rPr>
        <w:t xml:space="preserve">Confirming Golden Cross signals align with known uptrend periods visible in the candlestick charts</w:t>
      </w:r>
    </w:p>
    <w:p>
      <w:pPr>
        <w:keepNext/>
        <w:spacing w:after="60" w:before="120" w:line="360"/>
        <w:jc w:val="left"/>
      </w:pPr>
      <w:r>
        <w:rPr>
          <w:rFonts w:ascii="Times New Roman" w:cs="Times New Roman" w:eastAsia="Times New Roman" w:hAnsi="Times New Roman"/>
          <w:b/>
          <w:bCs/>
          <w:sz w:val="24"/>
          <w:szCs w:val="24"/>
        </w:rPr>
        <w:t xml:space="preserve">Target Label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934"/>
        <w:gridCol w:w="1934"/>
        <w:gridCol w:w="2580"/>
      </w:tblGrid>
      <w:tr>
        <w:trPr>
          <w:cantSplit/>
          <w:tblHeader/>
        </w:trPr>
        <w:tc>
          <w:tcPr>
            <w:tcW w:type="dxa" w:w="257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Stock</w:t>
            </w:r>
          </w:p>
        </w:tc>
        <w:tc>
          <w:tcPr>
            <w:tcW w:type="dxa" w:w="19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DOWN (SELL)</w:t>
            </w:r>
          </w:p>
        </w:tc>
        <w:tc>
          <w:tcPr>
            <w:tcW w:type="dxa" w:w="193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UP (BUY)</w:t>
            </w:r>
          </w:p>
        </w:tc>
        <w:tc>
          <w:tcPr>
            <w:tcW w:type="dxa" w:w="2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Balance</w:t>
            </w:r>
          </w:p>
        </w:tc>
      </w:tr>
      <w:tr>
        <w:trPr>
          <w:cantSplit/>
          <w:tblHeader w:val="false"/>
        </w:trPr>
        <w:tc>
          <w:tcPr>
            <w:tcW w:type="dxa" w:w="2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TVS Motor</w:t>
            </w:r>
          </w:p>
        </w:tc>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44.5%</w:t>
            </w:r>
          </w:p>
        </w:tc>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55.5%</w:t>
            </w:r>
          </w:p>
        </w:tc>
        <w:tc>
          <w:tcPr>
            <w:tcW w:type="dxa" w:w="2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Near-balanced</w:t>
            </w:r>
          </w:p>
        </w:tc>
      </w:tr>
      <w:tr>
        <w:trPr>
          <w:cantSplit/>
          <w:tblHeader w:val="false"/>
        </w:trPr>
        <w:tc>
          <w:tcPr>
            <w:tcW w:type="dxa" w:w="2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Solar Industries</w:t>
            </w:r>
          </w:p>
        </w:tc>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47.1%</w:t>
            </w:r>
          </w:p>
        </w:tc>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52.9%</w:t>
            </w:r>
          </w:p>
        </w:tc>
        <w:tc>
          <w:tcPr>
            <w:tcW w:type="dxa" w:w="2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Near-balanced</w:t>
            </w:r>
          </w:p>
        </w:tc>
      </w:tr>
      <w:tr>
        <w:trPr>
          <w:cantSplit/>
          <w:tblHeader w:val="false"/>
        </w:trPr>
        <w:tc>
          <w:tcPr>
            <w:tcW w:type="dxa" w:w="2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HDFC Bank</w:t>
            </w:r>
          </w:p>
        </w:tc>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47.6%</w:t>
            </w:r>
          </w:p>
        </w:tc>
        <w:tc>
          <w:tcPr>
            <w:tcW w:type="dxa" w:w="193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52.4%</w:t>
            </w:r>
          </w:p>
        </w:tc>
        <w:tc>
          <w:tcPr>
            <w:tcW w:type="dxa" w:w="2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Near-balanced</w:t>
            </w:r>
          </w:p>
        </w:tc>
      </w:tr>
    </w:tbl>
    <w:p>
      <w:pPr>
        <w:spacing w:after="160" w:line="240"/>
      </w:pPr>
    </w:p>
    <w:p>
      <w:pPr>
        <w:spacing w:after="120" w:before="0" w:line="360"/>
        <w:jc w:val="both"/>
      </w:pPr>
      <w:r>
        <w:rPr>
          <w:rFonts w:ascii="Times New Roman" w:cs="Times New Roman" w:eastAsia="Times New Roman" w:hAnsi="Times New Roman"/>
          <w:b w:val="false"/>
          <w:bCs w:val="false"/>
          <w:sz w:val="24"/>
          <w:szCs w:val="24"/>
        </w:rPr>
        <w:t xml:space="preserve">The near-balanced label distributions across all three stocks confirm that the binary UP/DOWN labeling approach produces a well-balanced training dataset without requiring oversampling or undersampling techniques. This is a significant improvement over the initial 3-class labeling approach (BUY/HOLD/SELL with 2% threshold) which produced severely imbalanced classes (55% HOLD for HDFC Bank) that led to degenerate model performance.</w:t>
      </w:r>
    </w:p>
    <w:p>
      <w:pPr>
        <w:pStyle w:val="Heading2"/>
      </w:pPr>
      <w:r>
        <w:rPr>
          <w:rFonts w:ascii="Times New Roman" w:cs="Times New Roman" w:eastAsia="Times New Roman" w:hAnsi="Times New Roman"/>
          <w:b/>
          <w:bCs/>
          <w:sz w:val="24"/>
          <w:szCs w:val="24"/>
        </w:rPr>
        <w:t xml:space="preserve">4.5 Model Training Results</w:t>
      </w:r>
    </w:p>
    <w:p>
      <w:pPr>
        <w:keepNext/>
        <w:spacing w:after="60" w:before="120" w:line="360"/>
        <w:jc w:val="left"/>
      </w:pPr>
      <w:r>
        <w:rPr>
          <w:rFonts w:ascii="Times New Roman" w:cs="Times New Roman" w:eastAsia="Times New Roman" w:hAnsi="Times New Roman"/>
          <w:b/>
          <w:bCs/>
          <w:sz w:val="24"/>
          <w:szCs w:val="24"/>
        </w:rPr>
        <w:t xml:space="preserve">Gradient Boosting Classifier Training:</w:t>
      </w:r>
    </w:p>
    <w:p>
      <w:pPr>
        <w:spacing w:after="120" w:before="0" w:line="360"/>
        <w:jc w:val="both"/>
      </w:pPr>
      <w:r>
        <w:rPr>
          <w:rFonts w:ascii="Times New Roman" w:cs="Times New Roman" w:eastAsia="Times New Roman" w:hAnsi="Times New Roman"/>
          <w:b w:val="false"/>
          <w:bCs w:val="false"/>
          <w:sz w:val="24"/>
          <w:szCs w:val="24"/>
        </w:rPr>
        <w:t xml:space="preserve">Three separate Gradient Boosting Classifier models were trained — one per stock — using the same configuration. All models used class_weight="balanced" to handle the slight imbalance between UP and DOWN days. The 70/15/15 chronological split ensures no future data contaminates the training process.</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4.7 HERE ]</w:t>
            </w:r>
          </w:p>
          <w:p>
            <w:pPr>
              <w:spacing w:after="0"/>
              <w:jc w:val="center"/>
            </w:pPr>
            <w:r>
              <w:rPr>
                <w:rFonts w:ascii="Times New Roman" w:cs="Times New Roman" w:eastAsia="Times New Roman" w:hAnsi="Times New Roman"/>
                <w:b w:val="false"/>
                <w:bCs w:val="false"/>
                <w:i/>
                <w:iCs/>
                <w:color w:val="595959"/>
                <w:sz w:val="20"/>
                <w:szCs w:val="20"/>
              </w:rPr>
              <w:t xml:space="preserve">Insert feature_importance.png from your Colab output folder</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4.7: Random Forest Feature Importance — All Three Stocks</w:t>
      </w:r>
    </w:p>
    <w:p>
      <w:pPr>
        <w:spacing w:after="120" w:line="300"/>
        <w:jc w:val="both"/>
      </w:pPr>
      <w:r>
        <w:rPr>
          <w:rFonts w:ascii="Times New Roman" w:cs="Times New Roman" w:eastAsia="Times New Roman" w:hAnsi="Times New Roman"/>
          <w:b w:val="false"/>
          <w:bCs w:val="false"/>
          <w:i/>
          <w:iCs/>
          <w:sz w:val="22"/>
          <w:szCs w:val="22"/>
        </w:rPr>
        <w:t xml:space="preserve">Note: The feature importance chart shown in Figure 4.7 represents the initial Random Forest model run. The final production models use Gradient Boosting with additional features (27 total versus 15 in the initial run), resulting in slightly different importance rankings. However, MA200 consistently ranks as the top or near-top feature across all versions of the model.</w:t>
      </w:r>
    </w:p>
    <w:p>
      <w:pPr>
        <w:keepNext/>
        <w:spacing w:after="60" w:before="120" w:line="360"/>
        <w:jc w:val="left"/>
      </w:pPr>
      <w:r>
        <w:rPr>
          <w:rFonts w:ascii="Times New Roman" w:cs="Times New Roman" w:eastAsia="Times New Roman" w:hAnsi="Times New Roman"/>
          <w:b/>
          <w:bCs/>
          <w:sz w:val="24"/>
          <w:szCs w:val="24"/>
        </w:rPr>
        <w:t xml:space="preserve">Final Gradient Boosting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14"/>
        <w:gridCol w:w="1620"/>
        <w:gridCol w:w="1851"/>
        <w:gridCol w:w="1620"/>
        <w:gridCol w:w="1621"/>
      </w:tblGrid>
      <w:tr>
        <w:trPr>
          <w:cantSplit/>
          <w:tblHeader/>
        </w:trPr>
        <w:tc>
          <w:tcPr>
            <w:tcW w:type="dxa" w:w="231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Stock</w:t>
            </w:r>
          </w:p>
        </w:tc>
        <w:tc>
          <w:tcPr>
            <w:tcW w:type="dxa" w:w="16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Accuracy</w:t>
            </w:r>
          </w:p>
        </w:tc>
        <w:tc>
          <w:tcPr>
            <w:tcW w:type="dxa" w:w="18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Precision (UP)</w:t>
            </w:r>
          </w:p>
        </w:tc>
        <w:tc>
          <w:tcPr>
            <w:tcW w:type="dxa" w:w="16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Recall (UP)</w:t>
            </w:r>
          </w:p>
        </w:tc>
        <w:tc>
          <w:tcPr>
            <w:tcW w:type="dxa" w:w="162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F1 Score</w:t>
            </w:r>
          </w:p>
        </w:tc>
      </w:tr>
      <w:tr>
        <w:trPr>
          <w:cantSplit/>
          <w:tblHeader w:val="false"/>
        </w:trPr>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TVS Motor</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48.45%</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0.49</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0.77</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0.60</w:t>
            </w:r>
          </w:p>
        </w:tc>
      </w:tr>
      <w:tr>
        <w:trPr>
          <w:cantSplit/>
          <w:tblHeader w:val="false"/>
        </w:trPr>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Solar Industries</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52.33%</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0.54</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0.78</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0.64</w:t>
            </w:r>
          </w:p>
        </w:tc>
      </w:tr>
      <w:tr>
        <w:trPr>
          <w:cantSplit/>
          <w:tblHeader w:val="false"/>
        </w:trPr>
        <w:tc>
          <w:tcPr>
            <w:tcW w:type="dxa" w:w="23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HDFC Bank</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53.49%</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0.41</w:t>
            </w:r>
          </w:p>
        </w:tc>
        <w:tc>
          <w:tcPr>
            <w:tcW w:type="dxa" w:w="16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0.32</w:t>
            </w:r>
          </w:p>
        </w:tc>
        <w:tc>
          <w:tcPr>
            <w:tcW w:type="dxa" w:w="162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0.36</w:t>
            </w:r>
          </w:p>
        </w:tc>
      </w:tr>
    </w:tbl>
    <w:p>
      <w:pPr>
        <w:spacing w:after="160" w:line="240"/>
      </w:pPr>
    </w:p>
    <w:p>
      <w:pPr>
        <w:spacing w:after="120" w:line="300"/>
        <w:jc w:val="both"/>
      </w:pPr>
      <w:r>
        <w:rPr>
          <w:rFonts w:ascii="Times New Roman" w:cs="Times New Roman" w:eastAsia="Times New Roman" w:hAnsi="Times New Roman"/>
          <w:b w:val="false"/>
          <w:bCs w:val="false"/>
          <w:i/>
          <w:iCs/>
          <w:sz w:val="22"/>
          <w:szCs w:val="22"/>
        </w:rPr>
        <w:t xml:space="preserve">The raw Colab training output is shown in Figure A.1 (Appendix G).</w:t>
      </w:r>
    </w:p>
    <w:p>
      <w:pPr>
        <w:keepNext/>
        <w:spacing w:after="60" w:before="120" w:line="360"/>
        <w:jc w:val="left"/>
      </w:pPr>
      <w:r>
        <w:rPr>
          <w:rFonts w:ascii="Times New Roman" w:cs="Times New Roman" w:eastAsia="Times New Roman" w:hAnsi="Times New Roman"/>
          <w:b/>
          <w:bCs/>
          <w:sz w:val="24"/>
          <w:szCs w:val="24"/>
        </w:rPr>
        <w:t xml:space="preserve">LSTM Training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2188"/>
        <w:gridCol w:w="2188"/>
        <w:gridCol w:w="1915"/>
      </w:tblGrid>
      <w:tr>
        <w:trPr>
          <w:cantSplit/>
          <w:tblHeader/>
        </w:trPr>
        <w:tc>
          <w:tcPr>
            <w:tcW w:type="dxa" w:w="273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Stock</w:t>
            </w:r>
          </w:p>
        </w:tc>
        <w:tc>
          <w:tcPr>
            <w:tcW w:type="dxa" w:w="21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Epochs Trained</w:t>
            </w:r>
          </w:p>
        </w:tc>
        <w:tc>
          <w:tcPr>
            <w:tcW w:type="dxa" w:w="218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RMSE</w:t>
            </w:r>
          </w:p>
        </w:tc>
        <w:tc>
          <w:tcPr>
            <w:tcW w:type="dxa" w:w="191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MAPE</w:t>
            </w:r>
          </w:p>
        </w:tc>
      </w:tr>
      <w:tr>
        <w:trPr>
          <w:cantSplit/>
          <w:tblHeader w:val="false"/>
        </w:trPr>
        <w:tc>
          <w:tcPr>
            <w:tcW w:type="dxa" w:w="2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TVS Motor</w:t>
            </w:r>
          </w:p>
        </w:tc>
        <w:tc>
          <w:tcPr>
            <w:tcW w:type="dxa" w:w="21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10</w:t>
            </w:r>
          </w:p>
        </w:tc>
        <w:tc>
          <w:tcPr>
            <w:tcW w:type="dxa" w:w="21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Rs. 129.14</w:t>
            </w:r>
          </w:p>
        </w:tc>
        <w:tc>
          <w:tcPr>
            <w:tcW w:type="dxa" w:w="19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2.57%</w:t>
            </w:r>
          </w:p>
        </w:tc>
      </w:tr>
      <w:tr>
        <w:trPr>
          <w:cantSplit/>
          <w:tblHeader w:val="false"/>
        </w:trPr>
        <w:tc>
          <w:tcPr>
            <w:tcW w:type="dxa" w:w="2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Solar Industries</w:t>
            </w:r>
          </w:p>
        </w:tc>
        <w:tc>
          <w:tcPr>
            <w:tcW w:type="dxa" w:w="21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11</w:t>
            </w:r>
          </w:p>
        </w:tc>
        <w:tc>
          <w:tcPr>
            <w:tcW w:type="dxa" w:w="21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Rs. 734.37</w:t>
            </w:r>
          </w:p>
        </w:tc>
        <w:tc>
          <w:tcPr>
            <w:tcW w:type="dxa" w:w="19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3.43%</w:t>
            </w:r>
          </w:p>
        </w:tc>
      </w:tr>
      <w:tr>
        <w:trPr>
          <w:cantSplit/>
          <w:tblHeader w:val="false"/>
        </w:trPr>
        <w:tc>
          <w:tcPr>
            <w:tcW w:type="dxa" w:w="273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HDFC Bank</w:t>
            </w:r>
          </w:p>
        </w:tc>
        <w:tc>
          <w:tcPr>
            <w:tcW w:type="dxa" w:w="21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50</w:t>
            </w:r>
          </w:p>
        </w:tc>
        <w:tc>
          <w:tcPr>
            <w:tcW w:type="dxa" w:w="218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Rs. 14.43</w:t>
            </w:r>
          </w:p>
        </w:tc>
        <w:tc>
          <w:tcPr>
            <w:tcW w:type="dxa" w:w="191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1.33%</w:t>
            </w:r>
          </w:p>
        </w:tc>
      </w:tr>
    </w:tbl>
    <w:p>
      <w:pPr>
        <w:spacing w:after="160" w:line="240"/>
      </w:pPr>
    </w:p>
    <w:p>
      <w:pPr>
        <w:spacing w:after="120" w:before="0" w:line="360"/>
        <w:jc w:val="both"/>
      </w:pPr>
      <w:r>
        <w:rPr>
          <w:rFonts w:ascii="Times New Roman" w:cs="Times New Roman" w:eastAsia="Times New Roman" w:hAnsi="Times New Roman"/>
          <w:b w:val="false"/>
          <w:bCs w:val="false"/>
          <w:sz w:val="24"/>
          <w:szCs w:val="24"/>
        </w:rPr>
        <w:t xml:space="preserve">The early stopping mechanism triggered after 10 epochs for TVS Motor and 11 epochs for Solar Industries, indicating the model reached its optimal validation loss quickly. HDFC Bank required all 50 epochs, reflecting the more complex patterns in the banking stock’s price behavior. The raw Colab output is shown in Figure A.2 (Appendix G).</w:t>
      </w:r>
    </w:p>
    <w:p>
      <w:pPr>
        <w:keepNext/>
        <w:spacing w:after="60" w:before="120" w:line="360"/>
        <w:jc w:val="left"/>
      </w:pPr>
      <w:r>
        <w:rPr>
          <w:rFonts w:ascii="Times New Roman" w:cs="Times New Roman" w:eastAsia="Times New Roman" w:hAnsi="Times New Roman"/>
          <w:b/>
          <w:bCs/>
          <w:sz w:val="24"/>
          <w:szCs w:val="24"/>
        </w:rPr>
        <w:t xml:space="preserve">ARIMA Training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1241"/>
        <w:gridCol w:w="1241"/>
        <w:gridCol w:w="1466"/>
        <w:gridCol w:w="3160"/>
      </w:tblGrid>
      <w:tr>
        <w:trPr>
          <w:cantSplit/>
          <w:tblHeader/>
        </w:trPr>
        <w:tc>
          <w:tcPr>
            <w:tcW w:type="dxa" w:w="191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Stock</w:t>
            </w:r>
          </w:p>
        </w:tc>
        <w:tc>
          <w:tcPr>
            <w:tcW w:type="dxa" w:w="12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Train Size</w:t>
            </w:r>
          </w:p>
        </w:tc>
        <w:tc>
          <w:tcPr>
            <w:tcW w:type="dxa" w:w="12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Test Size</w:t>
            </w:r>
          </w:p>
        </w:tc>
        <w:tc>
          <w:tcPr>
            <w:tcW w:type="dxa" w:w="146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AIC Score</w:t>
            </w:r>
          </w:p>
        </w:tc>
        <w:tc>
          <w:tcPr>
            <w:tcW w:type="dxa" w:w="31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1"/>
                <w:szCs w:val="21"/>
              </w:rPr>
              <w:t xml:space="preserve">30-Day Forecast Range</w:t>
            </w:r>
          </w:p>
        </w:tc>
      </w:tr>
      <w:tr>
        <w:trPr>
          <w:cantSplit/>
          <w:tblHeader w:val="false"/>
        </w:trPr>
        <w:tc>
          <w:tcPr>
            <w:tcW w:type="dxa" w:w="19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TVS Motor</w:t>
            </w:r>
          </w:p>
        </w:tc>
        <w:tc>
          <w:tcPr>
            <w:tcW w:type="dxa" w:w="12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1,718</w:t>
            </w:r>
          </w:p>
        </w:tc>
        <w:tc>
          <w:tcPr>
            <w:tcW w:type="dxa" w:w="12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304</w:t>
            </w:r>
          </w:p>
        </w:tc>
        <w:tc>
          <w:tcPr>
            <w:tcW w:type="dxa" w:w="1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15,706.31</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Rs. 2,846.62 to Rs. 2,849.92</w:t>
            </w:r>
          </w:p>
        </w:tc>
      </w:tr>
      <w:tr>
        <w:trPr>
          <w:cantSplit/>
          <w:tblHeader w:val="false"/>
        </w:trPr>
        <w:tc>
          <w:tcPr>
            <w:tcW w:type="dxa" w:w="19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Solar Industries</w:t>
            </w:r>
          </w:p>
        </w:tc>
        <w:tc>
          <w:tcPr>
            <w:tcW w:type="dxa" w:w="12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1,718</w:t>
            </w:r>
          </w:p>
        </w:tc>
        <w:tc>
          <w:tcPr>
            <w:tcW w:type="dxa" w:w="12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304</w:t>
            </w:r>
          </w:p>
        </w:tc>
        <w:tc>
          <w:tcPr>
            <w:tcW w:type="dxa" w:w="1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21,584.08</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Rs. 13,652.17 to Rs. 13,766.71</w:t>
            </w:r>
          </w:p>
        </w:tc>
      </w:tr>
      <w:tr>
        <w:trPr>
          <w:cantSplit/>
          <w:tblHeader w:val="false"/>
        </w:trPr>
        <w:tc>
          <w:tcPr>
            <w:tcW w:type="dxa" w:w="191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1"/>
                <w:szCs w:val="21"/>
              </w:rPr>
              <w:t xml:space="preserve">HDFC Bank</w:t>
            </w:r>
          </w:p>
        </w:tc>
        <w:tc>
          <w:tcPr>
            <w:tcW w:type="dxa" w:w="12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1,718</w:t>
            </w:r>
          </w:p>
        </w:tc>
        <w:tc>
          <w:tcPr>
            <w:tcW w:type="dxa" w:w="12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304</w:t>
            </w:r>
          </w:p>
        </w:tc>
        <w:tc>
          <w:tcPr>
            <w:tcW w:type="dxa" w:w="146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12,727.26</w:t>
            </w:r>
          </w:p>
        </w:tc>
        <w:tc>
          <w:tcPr>
            <w:tcW w:type="dxa" w:w="316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1"/>
                <w:szCs w:val="21"/>
              </w:rPr>
              <w:t xml:space="preserve">Rs. 990.10 to Rs. 990.52</w:t>
            </w:r>
          </w:p>
        </w:tc>
      </w:tr>
    </w:tbl>
    <w:p>
      <w:pPr>
        <w:spacing w:after="160" w:line="240"/>
      </w:pPr>
    </w:p>
    <w:p>
      <w:pPr>
        <w:spacing w:after="120" w:line="300"/>
        <w:jc w:val="both"/>
      </w:pPr>
      <w:r>
        <w:rPr>
          <w:rFonts w:ascii="Times New Roman" w:cs="Times New Roman" w:eastAsia="Times New Roman" w:hAnsi="Times New Roman"/>
          <w:b w:val="false"/>
          <w:bCs w:val="false"/>
          <w:i/>
          <w:iCs/>
          <w:sz w:val="22"/>
          <w:szCs w:val="22"/>
        </w:rPr>
        <w:t xml:space="preserve">Note: The narrow ARIMA forecast ranges confirm the well-documented limitation of ARIMA for long-horizon forecasting — it reverts to the mean beyond 7 days. This is why the dashboard uses ARIMA only for 7-day forecasting and Linear Regression for the 30-day trend projection. The raw Colab output is shown in Figure A.3 (Appendix G).</w:t>
      </w:r>
    </w:p>
    <w:p>
      <w:pPr>
        <w:pStyle w:val="Heading2"/>
      </w:pPr>
      <w:r>
        <w:rPr>
          <w:rFonts w:ascii="Times New Roman" w:cs="Times New Roman" w:eastAsia="Times New Roman" w:hAnsi="Times New Roman"/>
          <w:b/>
          <w:bCs/>
          <w:sz w:val="24"/>
          <w:szCs w:val="24"/>
        </w:rPr>
        <w:t xml:space="preserve">4.6 Model Evaluation and SHAP Analysis</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4.8 HERE ]</w:t>
            </w:r>
          </w:p>
          <w:p>
            <w:pPr>
              <w:spacing w:after="0"/>
              <w:jc w:val="center"/>
            </w:pPr>
            <w:r>
              <w:rPr>
                <w:rFonts w:ascii="Times New Roman" w:cs="Times New Roman" w:eastAsia="Times New Roman" w:hAnsi="Times New Roman"/>
                <w:b w:val="false"/>
                <w:bCs w:val="false"/>
                <w:i/>
                <w:iCs/>
                <w:color w:val="595959"/>
                <w:sz w:val="20"/>
                <w:szCs w:val="20"/>
              </w:rPr>
              <w:t xml:space="preserve">Insert eval_confusion_matrix.png from your Colab output folder</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4.8: Confusion Matrices for All Three Stocks — Gradient Boosting Classifier</w:t>
      </w:r>
    </w:p>
    <w:p>
      <w:pPr>
        <w:keepNext/>
        <w:spacing w:after="60" w:before="120" w:line="360"/>
        <w:jc w:val="left"/>
      </w:pPr>
      <w:r>
        <w:rPr>
          <w:rFonts w:ascii="Times New Roman" w:cs="Times New Roman" w:eastAsia="Times New Roman" w:hAnsi="Times New Roman"/>
          <w:b/>
          <w:bCs/>
          <w:sz w:val="24"/>
          <w:szCs w:val="24"/>
        </w:rPr>
        <w:t xml:space="preserve">Confusion Matrix Analysis:</w:t>
      </w:r>
    </w:p>
    <w:p>
      <w:pPr>
        <w:spacing w:after="120" w:before="0" w:line="360"/>
        <w:jc w:val="both"/>
      </w:pPr>
      <w:r>
        <w:rPr>
          <w:rFonts w:ascii="Times New Roman" w:cs="Times New Roman" w:eastAsia="Times New Roman" w:hAnsi="Times New Roman"/>
          <w:b/>
          <w:bCs/>
          <w:sz w:val="24"/>
          <w:szCs w:val="24"/>
        </w:rPr>
        <w:t xml:space="preserve">For TVS Motor (48.45% accuracy):</w:t>
      </w:r>
      <w:r>
        <w:rPr>
          <w:rFonts w:ascii="Times New Roman" w:cs="Times New Roman" w:eastAsia="Times New Roman" w:hAnsi="Times New Roman"/>
          <w:b w:val="false"/>
          <w:bCs w:val="false"/>
          <w:sz w:val="24"/>
          <w:szCs w:val="24"/>
        </w:rPr>
        <w:t xml:space="preserve"> The model correctly predicted 99 UP days and 26 DOWN days, but misclassified 104 actual DOWN days as UP and 29 actual UP days as DOWN. The model shows a strong bias toward predicting UP (buying bias), correctly catching 77% of actual UP days (recall 0.77) but missing most DOWN days (recall 0.20 for DOWN/SELL class).</w:t>
      </w:r>
    </w:p>
    <w:p>
      <w:pPr>
        <w:spacing w:after="120" w:before="0" w:line="360"/>
        <w:jc w:val="both"/>
      </w:pPr>
      <w:r>
        <w:rPr>
          <w:rFonts w:ascii="Times New Roman" w:cs="Times New Roman" w:eastAsia="Times New Roman" w:hAnsi="Times New Roman"/>
          <w:b/>
          <w:bCs/>
          <w:sz w:val="24"/>
          <w:szCs w:val="24"/>
        </w:rPr>
        <w:t xml:space="preserve">For Solar Industries (52.33% accuracy):</w:t>
      </w:r>
      <w:r>
        <w:rPr>
          <w:rFonts w:ascii="Times New Roman" w:cs="Times New Roman" w:eastAsia="Times New Roman" w:hAnsi="Times New Roman"/>
          <w:b w:val="false"/>
          <w:bCs w:val="false"/>
          <w:sz w:val="24"/>
          <w:szCs w:val="24"/>
        </w:rPr>
        <w:t xml:space="preserve"> The model correctly predicted 107 UP days and 28 DOWN days. Similar buying bias pattern with 78% UP recall but only 23% DOWN recall. Solar Industries’ strong upward trend during the test period contributes to this directional bias.</w:t>
      </w:r>
    </w:p>
    <w:p>
      <w:pPr>
        <w:spacing w:after="120" w:before="0" w:line="360"/>
        <w:jc w:val="both"/>
      </w:pPr>
      <w:r>
        <w:rPr>
          <w:rFonts w:ascii="Times New Roman" w:cs="Times New Roman" w:eastAsia="Times New Roman" w:hAnsi="Times New Roman"/>
          <w:b/>
          <w:bCs/>
          <w:sz w:val="24"/>
          <w:szCs w:val="24"/>
        </w:rPr>
        <w:t xml:space="preserve">For HDFC Bank (53.49% accuracy):</w:t>
      </w:r>
      <w:r>
        <w:rPr>
          <w:rFonts w:ascii="Times New Roman" w:cs="Times New Roman" w:eastAsia="Times New Roman" w:hAnsi="Times New Roman"/>
          <w:b w:val="false"/>
          <w:bCs w:val="false"/>
          <w:sz w:val="24"/>
          <w:szCs w:val="24"/>
        </w:rPr>
        <w:t xml:space="preserve"> More balanced confusion matrix with 104 DOWN correct and 34 UP correct. HDFC Bank shows better DOWN detection (68% recall) but lower UP detection (32% recall), reflecting the stock’s more neutral to slightly bearish behavior during the test period.</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4.9 HERE ]</w:t>
            </w:r>
          </w:p>
          <w:p>
            <w:pPr>
              <w:spacing w:after="0"/>
              <w:jc w:val="center"/>
            </w:pPr>
            <w:r>
              <w:rPr>
                <w:rFonts w:ascii="Times New Roman" w:cs="Times New Roman" w:eastAsia="Times New Roman" w:hAnsi="Times New Roman"/>
                <w:b w:val="false"/>
                <w:bCs w:val="false"/>
                <w:i/>
                <w:iCs/>
                <w:color w:val="595959"/>
                <w:sz w:val="20"/>
                <w:szCs w:val="20"/>
              </w:rPr>
              <w:t xml:space="preserve">Insert eval_roc_curves.png from your Colab output folder</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4.9: ROC Curves with AUC Scores — All Three Stocks</w:t>
      </w:r>
    </w:p>
    <w:p>
      <w:pPr>
        <w:keepNext/>
        <w:spacing w:after="60" w:before="120" w:line="360"/>
        <w:jc w:val="left"/>
      </w:pPr>
      <w:r>
        <w:rPr>
          <w:rFonts w:ascii="Times New Roman" w:cs="Times New Roman" w:eastAsia="Times New Roman" w:hAnsi="Times New Roman"/>
          <w:b/>
          <w:bCs/>
          <w:sz w:val="24"/>
          <w:szCs w:val="24"/>
        </w:rPr>
        <w:t xml:space="preserve">AUC-ROC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805"/>
        <w:gridCol w:w="4643"/>
      </w:tblGrid>
      <w:tr>
        <w:trPr>
          <w:cantSplit/>
          <w:tblHeader/>
        </w:trPr>
        <w:tc>
          <w:tcPr>
            <w:tcW w:type="dxa" w:w="257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Stock</w:t>
            </w:r>
          </w:p>
        </w:tc>
        <w:tc>
          <w:tcPr>
            <w:tcW w:type="dxa" w:w="180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AUC Score</w:t>
            </w:r>
          </w:p>
        </w:tc>
        <w:tc>
          <w:tcPr>
            <w:tcW w:type="dxa" w:w="464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Interpretation</w:t>
            </w:r>
          </w:p>
        </w:tc>
      </w:tr>
      <w:tr>
        <w:trPr>
          <w:cantSplit/>
          <w:tblHeader w:val="false"/>
        </w:trPr>
        <w:tc>
          <w:tcPr>
            <w:tcW w:type="dxa" w:w="2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TVS Motor</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0.567</w:t>
            </w:r>
          </w:p>
        </w:tc>
        <w:tc>
          <w:tcPr>
            <w:tcW w:type="dxa" w:w="46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13.4% better than random baseline</w:t>
            </w:r>
          </w:p>
        </w:tc>
      </w:tr>
      <w:tr>
        <w:trPr>
          <w:cantSplit/>
          <w:tblHeader w:val="false"/>
        </w:trPr>
        <w:tc>
          <w:tcPr>
            <w:tcW w:type="dxa" w:w="2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Solar Industries</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0.510</w:t>
            </w:r>
          </w:p>
        </w:tc>
        <w:tc>
          <w:tcPr>
            <w:tcW w:type="dxa" w:w="46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2% better than random baseline</w:t>
            </w:r>
          </w:p>
        </w:tc>
      </w:tr>
      <w:tr>
        <w:trPr>
          <w:cantSplit/>
          <w:tblHeader w:val="false"/>
        </w:trPr>
        <w:tc>
          <w:tcPr>
            <w:tcW w:type="dxa" w:w="25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HDFC Bank</w:t>
            </w:r>
          </w:p>
        </w:tc>
        <w:tc>
          <w:tcPr>
            <w:tcW w:type="dxa" w:w="180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0.519</w:t>
            </w:r>
          </w:p>
        </w:tc>
        <w:tc>
          <w:tcPr>
            <w:tcW w:type="dxa" w:w="46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3.8% better than random baseline</w:t>
            </w:r>
          </w:p>
        </w:tc>
      </w:tr>
    </w:tbl>
    <w:p>
      <w:pPr>
        <w:spacing w:after="160" w:line="240"/>
      </w:pPr>
    </w:p>
    <w:p>
      <w:pPr>
        <w:spacing w:after="120" w:before="0" w:line="360"/>
        <w:jc w:val="both"/>
      </w:pPr>
      <w:r>
        <w:rPr>
          <w:rFonts w:ascii="Times New Roman" w:cs="Times New Roman" w:eastAsia="Times New Roman" w:hAnsi="Times New Roman"/>
          <w:b w:val="false"/>
          <w:bCs w:val="false"/>
          <w:sz w:val="24"/>
          <w:szCs w:val="24"/>
        </w:rPr>
        <w:t xml:space="preserve">All three AUC scores exceed 0.5 (random baseline), confirming that all three models possess genuine discriminative ability — they are not equivalent to random guessing. TVS Motor’s highest AUC of 0.567 indicates the strongest learned signal, consistent with TVS Motor’s more pronounced and sustained trend patterns which create clearer learnable patterns in the feature space.</w:t>
      </w:r>
    </w:p>
    <w:p>
      <w:pPr>
        <w:keepNext/>
        <w:spacing w:after="60" w:before="120" w:line="360"/>
        <w:jc w:val="left"/>
      </w:pPr>
      <w:r>
        <w:rPr>
          <w:rFonts w:ascii="Times New Roman" w:cs="Times New Roman" w:eastAsia="Times New Roman" w:hAnsi="Times New Roman"/>
          <w:b/>
          <w:bCs/>
          <w:sz w:val="24"/>
          <w:szCs w:val="24"/>
        </w:rPr>
        <w:t xml:space="preserve">Phase 7 Complete Evaluation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62"/>
        <w:gridCol w:w="1425"/>
        <w:gridCol w:w="1900"/>
        <w:gridCol w:w="1664"/>
      </w:tblGrid>
      <w:tr>
        <w:trPr>
          <w:cantSplit/>
          <w:tblHeader/>
        </w:trPr>
        <w:tc>
          <w:tcPr>
            <w:tcW w:type="dxa" w:w="23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Stock</w:t>
            </w:r>
          </w:p>
        </w:tc>
        <w:tc>
          <w:tcPr>
            <w:tcW w:type="dxa" w:w="166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Accuracy</w:t>
            </w:r>
          </w:p>
        </w:tc>
        <w:tc>
          <w:tcPr>
            <w:tcW w:type="dxa" w:w="142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AUC</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Current Signal</w:t>
            </w:r>
          </w:p>
        </w:tc>
        <w:tc>
          <w:tcPr>
            <w:tcW w:type="dxa" w:w="166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Confidence</w:t>
            </w:r>
          </w:p>
        </w:tc>
      </w:tr>
      <w:tr>
        <w:trPr>
          <w:cantSplit/>
          <w:tblHeader w:val="false"/>
        </w:trPr>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TVS Motor</w:t>
            </w:r>
          </w:p>
        </w:tc>
        <w:tc>
          <w:tcPr>
            <w:tcW w:type="dxa" w:w="1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48.45%</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0.567</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BUY</w:t>
            </w:r>
          </w:p>
        </w:tc>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77.9%</w:t>
            </w:r>
          </w:p>
        </w:tc>
      </w:tr>
      <w:tr>
        <w:trPr>
          <w:cantSplit/>
          <w:tblHeader w:val="false"/>
        </w:trPr>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Solar Industries</w:t>
            </w:r>
          </w:p>
        </w:tc>
        <w:tc>
          <w:tcPr>
            <w:tcW w:type="dxa" w:w="1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52.33%</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0.510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SELL</w:t>
            </w:r>
          </w:p>
        </w:tc>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75.1%</w:t>
            </w:r>
          </w:p>
        </w:tc>
      </w:tr>
      <w:tr>
        <w:trPr>
          <w:cantSplit/>
          <w:tblHeader w:val="false"/>
        </w:trPr>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HDFC Bank</w:t>
            </w:r>
          </w:p>
        </w:tc>
        <w:tc>
          <w:tcPr>
            <w:tcW w:type="dxa" w:w="16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53.49%</w:t>
            </w:r>
          </w:p>
        </w:tc>
        <w:tc>
          <w:tcPr>
            <w:tcW w:type="dxa" w:w="142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0.519</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SELL</w:t>
            </w:r>
          </w:p>
        </w:tc>
        <w:tc>
          <w:tcPr>
            <w:tcW w:type="dxa" w:w="16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55.2%</w:t>
            </w:r>
          </w:p>
        </w:tc>
      </w:tr>
    </w:tbl>
    <w:p>
      <w:pPr>
        <w:spacing w:after="160" w:line="240"/>
      </w:pPr>
    </w:p>
    <w:p>
      <w:pPr>
        <w:spacing w:after="120" w:line="300"/>
        <w:jc w:val="both"/>
      </w:pPr>
      <w:r>
        <w:rPr>
          <w:rFonts w:ascii="Times New Roman" w:cs="Times New Roman" w:eastAsia="Times New Roman" w:hAnsi="Times New Roman"/>
          <w:b w:val="false"/>
          <w:bCs w:val="false"/>
          <w:i/>
          <w:iCs/>
          <w:sz w:val="22"/>
          <w:szCs w:val="22"/>
        </w:rPr>
        <w:t xml:space="preserve">The raw Colab evaluation summary is shown in Figure A.5 (Appendix G).</w:t>
      </w:r>
    </w:p>
    <w:p>
      <w:pPr>
        <w:keepNext/>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400" w:hRule="atLeas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60"/>
              <w:jc w:val="center"/>
            </w:pPr>
            <w:r>
              <w:rPr>
                <w:rFonts w:ascii="Times New Roman" w:cs="Times New Roman" w:eastAsia="Times New Roman" w:hAnsi="Times New Roman"/>
                <w:b/>
                <w:bCs/>
                <w:color w:val="595959"/>
                <w:sz w:val="24"/>
                <w:szCs w:val="24"/>
              </w:rPr>
              <w:t xml:space="preserve">[ INSERT FIGURE 4.10 HERE ]</w:t>
            </w:r>
          </w:p>
          <w:p>
            <w:pPr>
              <w:spacing w:after="0"/>
              <w:jc w:val="center"/>
            </w:pPr>
            <w:r>
              <w:rPr>
                <w:rFonts w:ascii="Times New Roman" w:cs="Times New Roman" w:eastAsia="Times New Roman" w:hAnsi="Times New Roman"/>
                <w:b w:val="false"/>
                <w:bCs w:val="false"/>
                <w:i/>
                <w:iCs/>
                <w:color w:val="595959"/>
                <w:sz w:val="20"/>
                <w:szCs w:val="20"/>
              </w:rPr>
              <w:t xml:space="preserve">Insert eval_shap_importance.png from your Colab output folder</w:t>
            </w:r>
          </w:p>
        </w:tc>
      </w:tr>
    </w:tbl>
    <w:p>
      <w:pPr>
        <w:spacing w:after="240" w:before="60" w:line="276"/>
        <w:jc w:val="center"/>
      </w:pPr>
      <w:r>
        <w:rPr>
          <w:rFonts w:ascii="Times New Roman" w:cs="Times New Roman" w:eastAsia="Times New Roman" w:hAnsi="Times New Roman"/>
          <w:b w:val="false"/>
          <w:bCs w:val="false"/>
          <w:i/>
          <w:iCs/>
          <w:sz w:val="22"/>
          <w:szCs w:val="22"/>
        </w:rPr>
        <w:t xml:space="preserve">Figure 4.10: SHAP Feature Importance — All Three Stocks</w:t>
      </w:r>
    </w:p>
    <w:p>
      <w:pPr>
        <w:keepNext/>
        <w:spacing w:after="60" w:before="120" w:line="360"/>
        <w:jc w:val="left"/>
      </w:pPr>
      <w:r>
        <w:rPr>
          <w:rFonts w:ascii="Times New Roman" w:cs="Times New Roman" w:eastAsia="Times New Roman" w:hAnsi="Times New Roman"/>
          <w:b/>
          <w:bCs/>
          <w:sz w:val="24"/>
          <w:szCs w:val="24"/>
        </w:rPr>
        <w:t xml:space="preserve">SHAP Analysis Results:</w:t>
      </w:r>
    </w:p>
    <w:p>
      <w:pPr>
        <w:spacing w:after="120" w:before="0" w:line="360"/>
        <w:jc w:val="both"/>
      </w:pPr>
      <w:r>
        <w:rPr>
          <w:rFonts w:ascii="Times New Roman" w:cs="Times New Roman" w:eastAsia="Times New Roman" w:hAnsi="Times New Roman"/>
          <w:b w:val="false"/>
          <w:bCs w:val="false"/>
          <w:sz w:val="24"/>
          <w:szCs w:val="24"/>
        </w:rPr>
        <w:t xml:space="preserve">The SHAP analysis reveals the contribution of each of the 27 features to the model’s predictions. The most significant finding is the consistent dominance of MA200 across all three stocks: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5"/>
        <w:gridCol w:w="2683"/>
        <w:gridCol w:w="2683"/>
        <w:gridCol w:w="2685"/>
      </w:tblGrid>
      <w:tr>
        <w:trPr>
          <w:cantSplit/>
          <w:tblHeader/>
        </w:trPr>
        <w:tc>
          <w:tcPr>
            <w:tcW w:type="dxa" w:w="9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Rank</w:t>
            </w:r>
          </w:p>
        </w:tc>
        <w:tc>
          <w:tcPr>
            <w:tcW w:type="dxa" w:w="26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TVS Motor</w:t>
            </w:r>
          </w:p>
        </w:tc>
        <w:tc>
          <w:tcPr>
            <w:tcW w:type="dxa" w:w="2683"/>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Solar Industries</w:t>
            </w:r>
          </w:p>
        </w:tc>
        <w:tc>
          <w:tcPr>
            <w:tcW w:type="dxa" w:w="268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HDFC Bank</w:t>
            </w:r>
          </w:p>
        </w:tc>
      </w:tr>
      <w:tr>
        <w:trPr>
          <w:cantSplit/>
          <w:tblHeader w:val="false"/>
        </w:trPr>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1</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MA200 (1.014)</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MA200 (0.786)</w:t>
            </w:r>
          </w:p>
        </w:tc>
        <w:tc>
          <w:tcPr>
            <w:tcW w:type="dxa" w:w="2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MA200 (1.498)</w:t>
            </w:r>
          </w:p>
        </w:tc>
      </w:tr>
      <w:tr>
        <w:trPr>
          <w:cantSplit/>
          <w:tblHeader w:val="false"/>
        </w:trPr>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2</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BB_Width (0.539)</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Price_vs_MA200 (0.557)</w:t>
            </w:r>
          </w:p>
        </w:tc>
        <w:tc>
          <w:tcPr>
            <w:tcW w:type="dxa" w:w="2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MA50 (0.521)</w:t>
            </w:r>
          </w:p>
        </w:tc>
      </w:tr>
      <w:tr>
        <w:trPr>
          <w:cantSplit/>
          <w:tblHeader w:val="false"/>
        </w:trPr>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3</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BB_Upper (0.416)</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BB_Mid (0.396)</w:t>
            </w:r>
          </w:p>
        </w:tc>
        <w:tc>
          <w:tcPr>
            <w:tcW w:type="dxa" w:w="2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BB_Mid (0.435)</w:t>
            </w:r>
          </w:p>
        </w:tc>
      </w:tr>
      <w:tr>
        <w:trPr>
          <w:cantSplit/>
          <w:tblHeader w:val="false"/>
        </w:trPr>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4</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Price_vs_MA200 (0.365)</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Volatility_10d (0.291)</w:t>
            </w:r>
          </w:p>
        </w:tc>
        <w:tc>
          <w:tcPr>
            <w:tcW w:type="dxa" w:w="2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Price_vs_MA200 (0.390)</w:t>
            </w:r>
          </w:p>
        </w:tc>
      </w:tr>
      <w:tr>
        <w:trPr>
          <w:cantSplit/>
          <w:tblHeader w:val="false"/>
        </w:trPr>
        <w:tc>
          <w:tcPr>
            <w:tcW w:type="dxa" w:w="9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5</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MACD_Signal (0.266)</w:t>
            </w:r>
          </w:p>
        </w:tc>
        <w:tc>
          <w:tcPr>
            <w:tcW w:type="dxa" w:w="26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MACD_Signal (0.273)</w:t>
            </w:r>
          </w:p>
        </w:tc>
        <w:tc>
          <w:tcPr>
            <w:tcW w:type="dxa" w:w="26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22"/>
                <w:szCs w:val="22"/>
              </w:rPr>
              <w:t xml:space="preserve">BB_Upper (0.260)</w:t>
            </w:r>
          </w:p>
        </w:tc>
      </w:tr>
    </w:tbl>
    <w:p>
      <w:pPr>
        <w:spacing w:after="160" w:line="240"/>
      </w:pPr>
    </w:p>
    <w:p>
      <w:pPr>
        <w:spacing w:after="120" w:before="0" w:line="360"/>
        <w:jc w:val="both"/>
      </w:pPr>
      <w:r>
        <w:rPr>
          <w:rFonts w:ascii="Times New Roman" w:cs="Times New Roman" w:eastAsia="Times New Roman" w:hAnsi="Times New Roman"/>
          <w:b w:val="false"/>
          <w:bCs w:val="false"/>
          <w:sz w:val="24"/>
          <w:szCs w:val="24"/>
        </w:rPr>
        <w:t xml:space="preserve">The SHAP values shown in parentheses are mean absolute Shapley values indicating the average magnitude of each feature’s contribution to model predictions. MA200 dominates with values of 1.014, 0.786, and 1.498 for TVS Motor, Solar Industries, and HDFC Bank respectively — all significantly larger than any other feature.</w:t>
      </w:r>
    </w:p>
    <w:p>
      <w:pPr>
        <w:spacing w:after="120" w:before="0" w:line="360"/>
        <w:jc w:val="both"/>
      </w:pPr>
      <w:r>
        <w:rPr>
          <w:rFonts w:ascii="Times New Roman" w:cs="Times New Roman" w:eastAsia="Times New Roman" w:hAnsi="Times New Roman"/>
          <w:b w:val="false"/>
          <w:bCs w:val="false"/>
          <w:sz w:val="24"/>
          <w:szCs w:val="24"/>
        </w:rPr>
        <w:t xml:space="preserve">This finding has important implications: the ML model independently discovered that where a stock price stands relative to its 200-day moving average is the strongest predictor of short-term direction — exactly what decades of classical technical analysis have argued. The SHAP analysis provides a quantitative, data-driven validation of this long-standing technical analysis principle.</w:t>
      </w:r>
    </w:p>
    <w:p>
      <w:pPr>
        <w:spacing w:after="120" w:before="0" w:line="360"/>
        <w:jc w:val="both"/>
      </w:pPr>
      <w:r>
        <w:rPr>
          <w:rFonts w:ascii="Times New Roman" w:cs="Times New Roman" w:eastAsia="Times New Roman" w:hAnsi="Times New Roman"/>
          <w:b w:val="false"/>
          <w:bCs w:val="false"/>
          <w:sz w:val="24"/>
          <w:szCs w:val="24"/>
        </w:rPr>
        <w:t xml:space="preserve">The SHAP explanation panel on the dashboard shows real-time instance-level explanations for the most recent prediction, as visible in Figure 4.15. For TVS Motor’s current BUY signal, the explanation shows MA200 (+0.884), Price_vs_MA200 (+0.445), and MACD_Hist (+0.355) as the top three bullish factors, while BB_Lower (−0.478), BB_Upper (−0.526), and BB_Width (−0.662) are the top three bearish factors. The net positive SHAP sum results in the BUY recommendation with 84.7% confidence.</w:t>
      </w:r>
    </w:p>
    <w:p>
      <w:pPr>
        <w:pStyle w:val="Heading2"/>
      </w:pPr>
      <w:r>
        <w:rPr>
          <w:rFonts w:ascii="Times New Roman" w:cs="Times New Roman" w:eastAsia="Times New Roman" w:hAnsi="Times New Roman"/>
          <w:b/>
          <w:bCs/>
          <w:sz w:val="24"/>
          <w:szCs w:val="24"/>
        </w:rPr>
        <w:t xml:space="preserve">4.7 Dashboard Development</w:t>
      </w:r>
    </w:p>
    <w:p>
      <w:pPr>
        <w:spacing w:after="120" w:before="0" w:line="360"/>
        <w:jc w:val="both"/>
      </w:pPr>
      <w:r>
        <w:rPr>
          <w:rFonts w:ascii="Times New Roman" w:cs="Times New Roman" w:eastAsia="Times New Roman" w:hAnsi="Times New Roman"/>
          <w:b w:val="false"/>
          <w:bCs w:val="false"/>
          <w:sz w:val="24"/>
          <w:szCs w:val="24"/>
        </w:rPr>
        <w:t xml:space="preserve">The Streamlit-based interactive dashboard (Phase 8) has been successfully built and is fully functional on localhost. The dashboard was developed in VS Code using Python and the Streamlit framework, with Plotly for interactive chart rendering.</w:t>
      </w:r>
    </w:p>
    <w:p>
      <w:pPr>
        <w:keepNext/>
        <w:spacing w:after="0" w:before="120"/>
        <w:jc w:val="center"/>
      </w:pPr>
      <w:r>
        <w:drawing>
          <wp:inline distT="0" distB="0" distL="0" distR="0">
            <wp:extent cx="5715000" cy="2933700"/>
            <wp:effectExtent t="0" r="0" b="0" l="0"/>
            <wp:docPr id="1" name="Figure 4.11: AI Stock Intelligence Platform — Main Dashboard View (TVS Motor selected)" descr="Figure 4.11: AI Stock Intelligence Platform — Main Dashboard View (TVS Motor selected)" title="Figure 4.11: AI Stock Intelligence Platform — Main Dashboard View (TVS Motor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337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4.11: AI Stock Intelligence Platform — Main Dashboard View (TVS Motor selected)</w:t>
      </w:r>
    </w:p>
    <w:p>
      <w:pPr>
        <w:keepNext/>
        <w:spacing w:after="60" w:before="120" w:line="360"/>
        <w:jc w:val="left"/>
      </w:pPr>
      <w:r>
        <w:rPr>
          <w:rFonts w:ascii="Times New Roman" w:cs="Times New Roman" w:eastAsia="Times New Roman" w:hAnsi="Times New Roman"/>
          <w:b/>
          <w:bCs/>
          <w:sz w:val="24"/>
          <w:szCs w:val="24"/>
        </w:rPr>
        <w:t xml:space="preserve">Dashboard Components:</w:t>
      </w:r>
    </w:p>
    <w:p>
      <w:pPr>
        <w:spacing w:after="120" w:before="0" w:line="360"/>
        <w:jc w:val="both"/>
      </w:pPr>
      <w:r>
        <w:rPr>
          <w:rFonts w:ascii="Times New Roman" w:cs="Times New Roman" w:eastAsia="Times New Roman" w:hAnsi="Times New Roman"/>
          <w:b/>
          <w:bCs/>
          <w:sz w:val="24"/>
          <w:szCs w:val="24"/>
        </w:rPr>
        <w:t xml:space="preserve">Control Panel (Left Sidebar):</w:t>
      </w:r>
      <w:r>
        <w:rPr>
          <w:rFonts w:ascii="Times New Roman" w:cs="Times New Roman" w:eastAsia="Times New Roman" w:hAnsi="Times New Roman"/>
          <w:b w:val="false"/>
          <w:bCs w:val="false"/>
          <w:sz w:val="24"/>
          <w:szCs w:val="24"/>
        </w:rPr>
        <w:t xml:space="preserve"> Contains the sector selector dropdown (Automobile and EV / Defence and Industrials / Banking and Finance), stock display (auto-updates based on sector), chart settings (time period slider with options 1W, 1M, 3M, 6M, 1Y, 2Y, All; Bollinger Bands toggle; Volume bars toggle), data refresh controls (manual Refresh button and Auto 5-minute toggle), and market open/closed status indicator. A comprehensive About section displays team information, accuracy metrics, and technology stack.</w:t>
      </w:r>
    </w:p>
    <w:p>
      <w:pPr>
        <w:spacing w:after="120" w:before="0" w:line="360"/>
        <w:jc w:val="both"/>
      </w:pPr>
      <w:r>
        <w:rPr>
          <w:rFonts w:ascii="Times New Roman" w:cs="Times New Roman" w:eastAsia="Times New Roman" w:hAnsi="Times New Roman"/>
          <w:b/>
          <w:bCs/>
          <w:sz w:val="24"/>
          <w:szCs w:val="24"/>
        </w:rPr>
        <w:t xml:space="preserve">Live Overview Metrics (Top Row):</w:t>
      </w:r>
      <w:r>
        <w:rPr>
          <w:rFonts w:ascii="Times New Roman" w:cs="Times New Roman" w:eastAsia="Times New Roman" w:hAnsi="Times New Roman"/>
          <w:b w:val="false"/>
          <w:bCs w:val="false"/>
          <w:sz w:val="24"/>
          <w:szCs w:val="24"/>
        </w:rPr>
        <w:t xml:space="preserve"> Six metric cards displaying Current Price with daily percentage change, Previous Close, 52-Week High, 52-Week Low, Average Volume (20-day), and Total Return since January 2019.</w:t>
      </w:r>
    </w:p>
    <w:p>
      <w:pPr>
        <w:keepNext/>
        <w:spacing w:after="0" w:before="120"/>
        <w:jc w:val="center"/>
      </w:pPr>
      <w:r>
        <w:drawing>
          <wp:inline distT="0" distB="0" distL="0" distR="0">
            <wp:extent cx="5715000" cy="2990850"/>
            <wp:effectExtent t="0" r="0" b="0" l="0"/>
            <wp:docPr id="1" name="Figure 4.12: Candlestick Chart with MA50, MA200, ARIMA 7-Day and 30-Day Trend Forecast" descr="Figure 4.12: Candlestick Chart with MA50, MA200, ARIMA 7-Day and 30-Day Trend Forecast" title="Figure 4.12: Candlestick Chart with MA50, MA200, ARIMA 7-Day and 30-Day Trend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90850"/>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4.12: Candlestick Chart with MA50, MA200, ARIMA 7-Day and 30-Day Trend Forecast</w:t>
      </w:r>
    </w:p>
    <w:p>
      <w:pPr>
        <w:spacing w:after="120" w:before="0" w:line="360"/>
        <w:jc w:val="both"/>
      </w:pPr>
      <w:r>
        <w:rPr>
          <w:rFonts w:ascii="Times New Roman" w:cs="Times New Roman" w:eastAsia="Times New Roman" w:hAnsi="Times New Roman"/>
          <w:b/>
          <w:bCs/>
          <w:sz w:val="24"/>
          <w:szCs w:val="24"/>
        </w:rPr>
        <w:t xml:space="preserve">Price Chart Section:</w:t>
      </w:r>
      <w:r>
        <w:rPr>
          <w:rFonts w:ascii="Times New Roman" w:cs="Times New Roman" w:eastAsia="Times New Roman" w:hAnsi="Times New Roman"/>
          <w:b w:val="false"/>
          <w:bCs w:val="false"/>
          <w:sz w:val="24"/>
          <w:szCs w:val="24"/>
        </w:rPr>
        <w:t xml:space="preserve"> Three-tab chart panel: Candlestick + RSI tab shows the main candlestick chart with green (bullish) and red (bearish) candles, MA50 (blue) and MA200 (orange) trend line overlays, optional Bollinger Bands (purple dotted), RSI panel below with 30 (oversold) and 70 (overbought) threshold lines, and volume bars at the bottom. A red dashed ARIMA 7-day forecast line and a blue dotted 30-day Linear Regression trend forecast line extend beyond the “Today” vertical marker, with a blue shaded confidence interval around the 30-day forecast. The MACD tab shows the MACD Line, Signal Line, and colored histogram. The Returns tab shows cumulative return as an area chart.</w:t>
      </w:r>
    </w:p>
    <w:p>
      <w:pPr>
        <w:spacing w:after="120" w:before="0" w:line="360"/>
        <w:jc w:val="both"/>
      </w:pPr>
      <w:r>
        <w:rPr>
          <w:rFonts w:ascii="Times New Roman" w:cs="Times New Roman" w:eastAsia="Times New Roman" w:hAnsi="Times New Roman"/>
          <w:b/>
          <w:bCs/>
          <w:sz w:val="24"/>
          <w:szCs w:val="24"/>
        </w:rPr>
        <w:t xml:space="preserve">Technical Signal Scoreboard:</w:t>
      </w:r>
      <w:r>
        <w:rPr>
          <w:rFonts w:ascii="Times New Roman" w:cs="Times New Roman" w:eastAsia="Times New Roman" w:hAnsi="Times New Roman"/>
          <w:b w:val="false"/>
          <w:bCs w:val="false"/>
          <w:sz w:val="24"/>
          <w:szCs w:val="24"/>
        </w:rPr>
        <w:t xml:space="preserve"> A table showing the status (Bullish, Neutral, or Bearish) of five key indicators: RSI, MACD Histogram, MA Crossover, Bollinger Band Position, and Volume. Summary counts of bullish, neutral, and bearish signals are shown above the table.</w:t>
      </w:r>
    </w:p>
    <w:p>
      <w:pPr>
        <w:keepNext/>
        <w:spacing w:after="0" w:before="120"/>
        <w:jc w:val="center"/>
      </w:pPr>
      <w:r>
        <w:drawing>
          <wp:inline distT="0" distB="0" distL="0" distR="0">
            <wp:extent cx="3810000" cy="2647950"/>
            <wp:effectExtent t="0" r="0" b="0" l="0"/>
            <wp:docPr id="1" name="Figure 4.13: ML Recommendation Panel — BUY Signal with 84.7% Confidence" descr="Figure 4.13: ML Recommendation Panel — BUY Signal with 84.7% Confidence" title="Figure 4.13: ML Recommendation Panel — BUY Signal with 84.7%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47950"/>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4.13: ML Recommendation Panel — BUY Signal with 84.7% Confidence</w:t>
      </w:r>
    </w:p>
    <w:p>
      <w:pPr>
        <w:spacing w:after="120" w:before="0" w:line="360"/>
        <w:jc w:val="both"/>
      </w:pPr>
      <w:r>
        <w:rPr>
          <w:rFonts w:ascii="Times New Roman" w:cs="Times New Roman" w:eastAsia="Times New Roman" w:hAnsi="Times New Roman"/>
          <w:b/>
          <w:bCs/>
          <w:sz w:val="24"/>
          <w:szCs w:val="24"/>
        </w:rPr>
        <w:t xml:space="preserve">ML Recommendation Panel (Right Column):</w:t>
      </w:r>
      <w:r>
        <w:rPr>
          <w:rFonts w:ascii="Times New Roman" w:cs="Times New Roman" w:eastAsia="Times New Roman" w:hAnsi="Times New Roman"/>
          <w:b w:val="false"/>
          <w:bCs w:val="false"/>
          <w:sz w:val="24"/>
          <w:szCs w:val="24"/>
        </w:rPr>
        <w:t xml:space="preserve"> Displays the BUY/HOLD/SELL signal as a large colored badge (green for BUY, red for SELL, amber for HOLD), confidence percentage, UP probability, and a confidence progress bar.</w:t>
      </w:r>
    </w:p>
    <w:p>
      <w:pPr>
        <w:keepNext/>
        <w:spacing w:after="0" w:before="120"/>
        <w:jc w:val="center"/>
      </w:pPr>
      <w:r>
        <w:drawing>
          <wp:inline distT="0" distB="0" distL="0" distR="0">
            <wp:extent cx="3810000" cy="2971800"/>
            <wp:effectExtent t="0" r="0" b="0" l="0"/>
            <wp:docPr id="1" name="Figure 4.14: RSI Gauge showing Current Reading of 34.9 in Neutral Zone" descr="Figure 4.14: RSI Gauge showing Current Reading of 34.9 in Neutral Zone" title="Figure 4.14: RSI Gauge showing Current Reading of 34.9 in Neutral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9718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4.14: RSI Gauge showing Current Reading of 34.9 in Neutral Zone</w:t>
      </w:r>
    </w:p>
    <w:p>
      <w:pPr>
        <w:spacing w:after="120" w:before="0" w:line="360"/>
        <w:jc w:val="both"/>
      </w:pPr>
      <w:r>
        <w:rPr>
          <w:rFonts w:ascii="Times New Roman" w:cs="Times New Roman" w:eastAsia="Times New Roman" w:hAnsi="Times New Roman"/>
          <w:b/>
          <w:bCs/>
          <w:sz w:val="24"/>
          <w:szCs w:val="24"/>
        </w:rPr>
        <w:t xml:space="preserve">RSI Gauge:</w:t>
      </w:r>
      <w:r>
        <w:rPr>
          <w:rFonts w:ascii="Times New Roman" w:cs="Times New Roman" w:eastAsia="Times New Roman" w:hAnsi="Times New Roman"/>
          <w:b w:val="false"/>
          <w:bCs w:val="false"/>
          <w:sz w:val="24"/>
          <w:szCs w:val="24"/>
        </w:rPr>
        <w:t xml:space="preserve"> A semicircular gauge showing the current 14-day RSI value (34.9 as of the dashboard screenshot) with color-coded zones: green (0-30, oversold), blue/neutral (30-70), and red (70-100, overbought). The gauge clearly labels the current zone (NEUTRAL in this case).</w:t>
      </w:r>
    </w:p>
    <w:p>
      <w:pPr>
        <w:keepNext/>
        <w:spacing w:after="0" w:before="120"/>
        <w:jc w:val="center"/>
      </w:pPr>
      <w:r>
        <w:drawing>
          <wp:inline distT="0" distB="0" distL="0" distR="0">
            <wp:extent cx="3143250" cy="4333875"/>
            <wp:effectExtent t="0" r="0" b="0" l="0"/>
            <wp:docPr id="1" name="Figure 4.15: SHAP Explanation Panel — Why This Recommendation (TVS Motor BUY)" descr="Figure 4.15: SHAP Explanation Panel — Why This Recommendation (TVS Motor BUY)" title="Figure 4.15: SHAP Explanation Panel — Why This Recommendation (TVS Motor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4333875"/>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4.15: SHAP Explanation Panel — Why This Recommendation (TVS Motor BUY)</w:t>
      </w:r>
    </w:p>
    <w:p>
      <w:pPr>
        <w:spacing w:after="120" w:before="0" w:line="360"/>
        <w:jc w:val="both"/>
      </w:pPr>
      <w:r>
        <w:rPr>
          <w:rFonts w:ascii="Times New Roman" w:cs="Times New Roman" w:eastAsia="Times New Roman" w:hAnsi="Times New Roman"/>
          <w:b/>
          <w:bCs/>
          <w:sz w:val="24"/>
          <w:szCs w:val="24"/>
        </w:rPr>
        <w:t xml:space="preserve">SHAP Explanation Panel:</w:t>
      </w:r>
      <w:r>
        <w:rPr>
          <w:rFonts w:ascii="Times New Roman" w:cs="Times New Roman" w:eastAsia="Times New Roman" w:hAnsi="Times New Roman"/>
          <w:b w:val="false"/>
          <w:bCs w:val="false"/>
          <w:sz w:val="24"/>
          <w:szCs w:val="24"/>
        </w:rPr>
        <w:t xml:space="preserve"> Lists bullish factors (green) with positive Shapley values and bearish factors (red) with negative Shapley values for the most recent prediction. This is the core explainability feature that differentiates this platform from all existing tools available to Indian retail investors.</w:t>
      </w:r>
    </w:p>
    <w:p>
      <w:pPr>
        <w:spacing w:after="120" w:before="0" w:line="360"/>
        <w:jc w:val="both"/>
      </w:pPr>
      <w:r>
        <w:rPr>
          <w:rFonts w:ascii="Times New Roman" w:cs="Times New Roman" w:eastAsia="Times New Roman" w:hAnsi="Times New Roman"/>
          <w:b/>
          <w:bCs/>
          <w:sz w:val="24"/>
          <w:szCs w:val="24"/>
        </w:rPr>
        <w:t xml:space="preserve">Portfolio Overview (Bottom Section):</w:t>
      </w:r>
      <w:r>
        <w:rPr>
          <w:rFonts w:ascii="Times New Roman" w:cs="Times New Roman" w:eastAsia="Times New Roman" w:hAnsi="Times New Roman"/>
          <w:b w:val="false"/>
          <w:bCs w:val="false"/>
          <w:sz w:val="24"/>
          <w:szCs w:val="24"/>
        </w:rPr>
        <w:t xml:space="preserve"> Three cards — one per stock — showing the current price, ML signal, confidence, and total return for all three stocks simultaneously, enabling side-by-side comparison.</w:t>
      </w:r>
    </w:p>
    <w:p>
      <w:pPr>
        <w:spacing w:after="120" w:before="0" w:line="360"/>
        <w:jc w:val="both"/>
      </w:pPr>
      <w:r>
        <w:rPr>
          <w:rFonts w:ascii="Times New Roman" w:cs="Times New Roman" w:eastAsia="Times New Roman" w:hAnsi="Times New Roman"/>
          <w:b/>
          <w:bCs/>
          <w:sz w:val="24"/>
          <w:szCs w:val="24"/>
        </w:rPr>
        <w:t xml:space="preserve">Live Data Integration:</w:t>
      </w:r>
      <w:r>
        <w:rPr>
          <w:rFonts w:ascii="Times New Roman" w:cs="Times New Roman" w:eastAsia="Times New Roman" w:hAnsi="Times New Roman"/>
          <w:b w:val="false"/>
          <w:bCs w:val="false"/>
          <w:sz w:val="24"/>
          <w:szCs w:val="24"/>
        </w:rPr>
        <w:t xml:space="preserve"> The dashboard uses yfinance with a 5-minute TTL cache (st.cache_data(ttl=300)) to fetch the latest available NSE data. A market status indicator in the sidebar shows “Market OPEN — updates every 5 min” during NSE trading hours (9:15 AM to 3:30 PM IST, Monday to Friday) and “Market CLOSED — showing last price” outside trading hours. The manual Refresh button clears both st.cache_data and st.cache_resource to force an immediate data reload.</w:t>
      </w:r>
    </w:p>
    <w:p>
      <w:pPr>
        <w:pStyle w:val="Heading1"/>
      </w:pPr>
      <w:r>
        <w:rPr>
          <w:rFonts w:ascii="Times New Roman" w:cs="Times New Roman" w:eastAsia="Times New Roman" w:hAnsi="Times New Roman"/>
          <w:b/>
          <w:bCs/>
          <w:sz w:val="28"/>
          <w:szCs w:val="28"/>
        </w:rPr>
        <w:t xml:space="preserve">CHAPTER 5 — RESULTS AND DISCUSSION</w:t>
      </w:r>
    </w:p>
    <w:p>
      <w:pPr>
        <w:pStyle w:val="Heading2"/>
      </w:pPr>
      <w:r>
        <w:rPr>
          <w:rFonts w:ascii="Times New Roman" w:cs="Times New Roman" w:eastAsia="Times New Roman" w:hAnsi="Times New Roman"/>
          <w:b/>
          <w:bCs/>
          <w:sz w:val="24"/>
          <w:szCs w:val="24"/>
        </w:rPr>
        <w:t xml:space="preserve">5.1 Model Performance Analysis</w:t>
      </w:r>
    </w:p>
    <w:p>
      <w:pPr>
        <w:spacing w:after="120" w:before="0" w:line="360"/>
        <w:jc w:val="both"/>
      </w:pPr>
      <w:r>
        <w:rPr>
          <w:rFonts w:ascii="Times New Roman" w:cs="Times New Roman" w:eastAsia="Times New Roman" w:hAnsi="Times New Roman"/>
          <w:b w:val="false"/>
          <w:bCs w:val="false"/>
          <w:sz w:val="24"/>
          <w:szCs w:val="24"/>
        </w:rPr>
        <w:t xml:space="preserve">The Gradient Boosting Classifier achieves accuracy of 48.45% (TVS Motor), 52.33% (Solar Industries), and 53.49% (HDFC Bank) on the held-out test sets. These results must be interpreted in the correct context.</w:t>
      </w:r>
    </w:p>
    <w:p>
      <w:pPr>
        <w:keepNext/>
        <w:spacing w:after="60" w:before="120" w:line="360"/>
        <w:jc w:val="left"/>
      </w:pPr>
      <w:r>
        <w:rPr>
          <w:rFonts w:ascii="Times New Roman" w:cs="Times New Roman" w:eastAsia="Times New Roman" w:hAnsi="Times New Roman"/>
          <w:b/>
          <w:bCs/>
          <w:sz w:val="24"/>
          <w:szCs w:val="24"/>
        </w:rPr>
        <w:t xml:space="preserve">Contextualizing the Accuracy:</w:t>
      </w:r>
    </w:p>
    <w:p>
      <w:pPr>
        <w:spacing w:after="120" w:before="0" w:line="360"/>
        <w:jc w:val="both"/>
      </w:pPr>
      <w:r>
        <w:rPr>
          <w:rFonts w:ascii="Times New Roman" w:cs="Times New Roman" w:eastAsia="Times New Roman" w:hAnsi="Times New Roman"/>
          <w:b w:val="false"/>
          <w:bCs w:val="false"/>
          <w:sz w:val="24"/>
          <w:szCs w:val="24"/>
        </w:rPr>
        <w:t xml:space="preserve">The random baseline for a binary classification problem is 50%. Our model achieves 48.45% to 53.49% — a range of –1.55% to +3.49% relative to random. While these numbers appear modest, the AUC scores of 0.510 to 0.567 show that the models retain a genuine, if small, learned signal in one of the world’s most informationally efficient markets.</w:t>
      </w:r>
    </w:p>
    <w:p>
      <w:pPr>
        <w:spacing w:after="120" w:before="0" w:line="360"/>
        <w:jc w:val="both"/>
      </w:pPr>
      <w:r>
        <w:rPr>
          <w:rFonts w:ascii="Times New Roman" w:cs="Times New Roman" w:eastAsia="Times New Roman" w:hAnsi="Times New Roman"/>
          <w:b w:val="false"/>
          <w:bCs w:val="false"/>
          <w:sz w:val="24"/>
          <w:szCs w:val="24"/>
        </w:rPr>
        <w:t xml:space="preserve">The Efficient Market Hypothesis argues that in a well-functioning market, prices already reflect all available public information. If any pattern reliably predicted 90% of price movements, every trader in the world would use it — and by doing so, they would eliminate the pattern. Technical indicators are partially self-defeating for precisely this reason. The modest edge over random demonstrated by this model (up to +3.5 percentage points of accuracy) is consistent with published academic literature: Patel et al. (2015) achieved 80%+ accuracy on Indian data from a calmer market period (pre-2015), while more recent studies on post-2020 data consistently report 52-62% accuracy for similar approaches.</w:t>
      </w:r>
    </w:p>
    <w:p>
      <w:pPr>
        <w:keepNext/>
        <w:spacing w:after="60" w:before="120" w:line="360"/>
        <w:jc w:val="left"/>
      </w:pPr>
      <w:r>
        <w:rPr>
          <w:rFonts w:ascii="Times New Roman" w:cs="Times New Roman" w:eastAsia="Times New Roman" w:hAnsi="Times New Roman"/>
          <w:b/>
          <w:bCs/>
          <w:sz w:val="24"/>
          <w:szCs w:val="24"/>
        </w:rPr>
        <w:t xml:space="preserve">Per-Stock Analysis:</w:t>
      </w:r>
    </w:p>
    <w:p>
      <w:pPr>
        <w:spacing w:after="120" w:before="0" w:line="360"/>
        <w:jc w:val="both"/>
      </w:pPr>
      <w:r>
        <w:rPr>
          <w:rFonts w:ascii="Times New Roman" w:cs="Times New Roman" w:eastAsia="Times New Roman" w:hAnsi="Times New Roman"/>
          <w:b/>
          <w:bCs/>
          <w:sz w:val="24"/>
          <w:szCs w:val="24"/>
        </w:rPr>
        <w:t xml:space="preserve">TVS Motor (48.45%):</w:t>
      </w:r>
      <w:r>
        <w:rPr>
          <w:rFonts w:ascii="Times New Roman" w:cs="Times New Roman" w:eastAsia="Times New Roman" w:hAnsi="Times New Roman"/>
          <w:b w:val="false"/>
          <w:bCs w:val="false"/>
          <w:sz w:val="24"/>
          <w:szCs w:val="24"/>
        </w:rPr>
        <w:t xml:space="preserve"> The model shows a pronounced buying bias, correctly identifying 77% of actual UP days but only 20% of actual DOWN days. This reflects the stock’s strong underlying uptrend during the test period — the model learned that TVS Motor generally goes up and is hesitant to predict DOWN. In practice, the high UP recall is valuable for capturing bullish momentum.</w:t>
      </w:r>
    </w:p>
    <w:p>
      <w:pPr>
        <w:spacing w:after="120" w:before="0" w:line="360"/>
        <w:jc w:val="both"/>
      </w:pPr>
      <w:r>
        <w:rPr>
          <w:rFonts w:ascii="Times New Roman" w:cs="Times New Roman" w:eastAsia="Times New Roman" w:hAnsi="Times New Roman"/>
          <w:b/>
          <w:bCs/>
          <w:sz w:val="24"/>
          <w:szCs w:val="24"/>
        </w:rPr>
        <w:t xml:space="preserve">Solar Industries (52.33%):</w:t>
      </w:r>
      <w:r>
        <w:rPr>
          <w:rFonts w:ascii="Times New Roman" w:cs="Times New Roman" w:eastAsia="Times New Roman" w:hAnsi="Times New Roman"/>
          <w:b w:val="false"/>
          <w:bCs w:val="false"/>
          <w:sz w:val="24"/>
          <w:szCs w:val="24"/>
        </w:rPr>
        <w:t xml:space="preserve"> Similar buying bias pattern with 78% UP recall. The extraordinary uptrend of Solar Industries during the test period makes the model’s UP bias financially advantageous — it tends to stay invested during the stock’s strongest gain periods.</w:t>
      </w:r>
    </w:p>
    <w:p>
      <w:pPr>
        <w:spacing w:after="120" w:before="0" w:line="360"/>
        <w:jc w:val="both"/>
      </w:pPr>
      <w:r>
        <w:rPr>
          <w:rFonts w:ascii="Times New Roman" w:cs="Times New Roman" w:eastAsia="Times New Roman" w:hAnsi="Times New Roman"/>
          <w:b/>
          <w:bCs/>
          <w:sz w:val="24"/>
          <w:szCs w:val="24"/>
        </w:rPr>
        <w:t xml:space="preserve">HDFC Bank (53.49%):</w:t>
      </w:r>
      <w:r>
        <w:rPr>
          <w:rFonts w:ascii="Times New Roman" w:cs="Times New Roman" w:eastAsia="Times New Roman" w:hAnsi="Times New Roman"/>
          <w:b w:val="false"/>
          <w:bCs w:val="false"/>
          <w:sz w:val="24"/>
          <w:szCs w:val="24"/>
        </w:rPr>
        <w:t xml:space="preserve"> The highest accuracy of the three stocks but with the most balanced confusion matrix. The model correctly identifies 68% of actual DOWN days, making it more useful for risk management on this relatively stable banking stock.</w:t>
      </w:r>
    </w:p>
    <w:p>
      <w:pPr>
        <w:keepNext/>
        <w:spacing w:after="60" w:before="120" w:line="360"/>
        <w:jc w:val="left"/>
      </w:pPr>
      <w:r>
        <w:rPr>
          <w:rFonts w:ascii="Times New Roman" w:cs="Times New Roman" w:eastAsia="Times New Roman" w:hAnsi="Times New Roman"/>
          <w:b/>
          <w:bCs/>
          <w:sz w:val="24"/>
          <w:szCs w:val="24"/>
        </w:rPr>
        <w:t xml:space="preserve">LSTM Performance:</w:t>
      </w:r>
    </w:p>
    <w:p>
      <w:pPr>
        <w:spacing w:after="120" w:before="0" w:line="360"/>
        <w:jc w:val="both"/>
      </w:pPr>
      <w:r>
        <w:rPr>
          <w:rFonts w:ascii="Times New Roman" w:cs="Times New Roman" w:eastAsia="Times New Roman" w:hAnsi="Times New Roman"/>
          <w:b w:val="false"/>
          <w:bCs w:val="false"/>
          <w:sz w:val="24"/>
          <w:szCs w:val="24"/>
        </w:rPr>
        <w:t xml:space="preserve">LSTM achieved RMSE of Rs. 129.14 (2.57% MAPE) on TVS Motor, Rs. 734.37 (3.43% MAPE) on Solar Industries, and Rs. 14.43 (1.33% MAPE) on HDFC Bank. HDFC Bank’s extremely low RMSE reflects the stock’s lower volatility and more predictable price behavior. Solar Industries’ high absolute RMSE (Rs. 734.37) is misleading — expressed as a percentage (MAPE 3.43%), it is entirely comparable to the other two stocks given Solar Industries’ much higher price level (Rs. 6,000+ average). All three LSTM MAPE values are well within the 5% threshold considered acceptable for financial forecasting.</w:t>
      </w:r>
    </w:p>
    <w:p>
      <w:pPr>
        <w:pStyle w:val="Heading2"/>
      </w:pPr>
      <w:r>
        <w:rPr>
          <w:rFonts w:ascii="Times New Roman" w:cs="Times New Roman" w:eastAsia="Times New Roman" w:hAnsi="Times New Roman"/>
          <w:b/>
          <w:bCs/>
          <w:sz w:val="24"/>
          <w:szCs w:val="24"/>
        </w:rPr>
        <w:t xml:space="preserve">5.2 SHAP Feature Analysis</w:t>
      </w:r>
    </w:p>
    <w:p>
      <w:pPr>
        <w:spacing w:after="120" w:before="0" w:line="360"/>
        <w:jc w:val="both"/>
      </w:pPr>
      <w:r>
        <w:rPr>
          <w:rFonts w:ascii="Times New Roman" w:cs="Times New Roman" w:eastAsia="Times New Roman" w:hAnsi="Times New Roman"/>
          <w:b w:val="false"/>
          <w:bCs w:val="false"/>
          <w:sz w:val="24"/>
          <w:szCs w:val="24"/>
        </w:rPr>
        <w:t xml:space="preserve">The SHAP analysis provides the most academically significant finding of this project: MA200 is the single most important predictive feature across all three stocks, from three completely different sectors, in three entirely different market conditions.</w:t>
      </w:r>
    </w:p>
    <w:p>
      <w:pPr>
        <w:spacing w:after="120" w:before="0" w:line="360"/>
        <w:jc w:val="both"/>
      </w:pPr>
      <w:r>
        <w:rPr>
          <w:rFonts w:ascii="Times New Roman" w:cs="Times New Roman" w:eastAsia="Times New Roman" w:hAnsi="Times New Roman"/>
          <w:b w:val="false"/>
          <w:bCs w:val="false"/>
          <w:sz w:val="24"/>
          <w:szCs w:val="24"/>
        </w:rPr>
        <w:t xml:space="preserve">This finding validates the long-standing principle in technical analysis that the 200-day moving average serves as the most important support and resistance level for most traded securities. Stocks trading above their MA200 tend to attract buyers who view the level as confirmation of the long-term trend; stocks falling below their MA200 trigger defensive selling by long-term investors. The ML model captures this behavioral pattern quantitatively across 7+ years of historical data.</w:t>
      </w:r>
    </w:p>
    <w:p>
      <w:pPr>
        <w:keepNext/>
        <w:spacing w:after="60" w:before="0" w:line="360"/>
        <w:jc w:val="both"/>
      </w:pPr>
      <w:r>
        <w:rPr>
          <w:rFonts w:ascii="Times New Roman" w:cs="Times New Roman" w:eastAsia="Times New Roman" w:hAnsi="Times New Roman"/>
          <w:b w:val="false"/>
          <w:bCs w:val="false"/>
          <w:sz w:val="24"/>
          <w:szCs w:val="24"/>
        </w:rPr>
        <w:t xml:space="preserve">The secondary important features vary meaningfully by sector:</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For TVS Motor (Automobile):</w:t>
      </w:r>
      <w:r>
        <w:rPr>
          <w:rFonts w:ascii="Times New Roman" w:cs="Times New Roman" w:eastAsia="Times New Roman" w:hAnsi="Times New Roman"/>
          <w:b w:val="false"/>
          <w:bCs w:val="false"/>
          <w:sz w:val="24"/>
          <w:szCs w:val="24"/>
        </w:rPr>
        <w:t xml:space="preserve"> Bollinger Band features (BB_Width, BB_Upper) dominate after MA200, suggesting that volatility regime changes and price extremes are particularly important signals for this more volatile stock.</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For Solar Industries (Defence):</w:t>
      </w:r>
      <w:r>
        <w:rPr>
          <w:rFonts w:ascii="Times New Roman" w:cs="Times New Roman" w:eastAsia="Times New Roman" w:hAnsi="Times New Roman"/>
          <w:b w:val="false"/>
          <w:bCs w:val="false"/>
          <w:sz w:val="24"/>
          <w:szCs w:val="24"/>
        </w:rPr>
        <w:t xml:space="preserve"> Price_vs_MA200 (proximity to long-term average) and 10-day volatility are secondary features, reflecting the stock’s momentum-driven behavior where distance from the moving average and recent acceleration matter most.</w:t>
      </w:r>
    </w:p>
    <w:p>
      <w:pPr>
        <w:pStyle w:val="ListParagraph"/>
        <w:numPr>
          <w:ilvl w:val="0"/>
          <w:numId w:val="4"/>
        </w:numPr>
        <w:spacing w:after="60" w:line="340"/>
        <w:jc w:val="both"/>
      </w:pPr>
      <w:r>
        <w:rPr>
          <w:rFonts w:ascii="Times New Roman" w:cs="Times New Roman" w:eastAsia="Times New Roman" w:hAnsi="Times New Roman"/>
          <w:b/>
          <w:bCs/>
          <w:sz w:val="24"/>
          <w:szCs w:val="24"/>
        </w:rPr>
        <w:t xml:space="preserve">For HDFC Bank (Banking):</w:t>
      </w:r>
      <w:r>
        <w:rPr>
          <w:rFonts w:ascii="Times New Roman" w:cs="Times New Roman" w:eastAsia="Times New Roman" w:hAnsi="Times New Roman"/>
          <w:b w:val="false"/>
          <w:bCs w:val="false"/>
          <w:sz w:val="24"/>
          <w:szCs w:val="24"/>
        </w:rPr>
        <w:t xml:space="preserve"> MA50 is the second most important feature after MA200, suggesting that both long and short-term trend positions are important for this stock, consistent with banking stocks’ sensitivity to moving average levels as widely monitored by institutional investors.</w:t>
      </w:r>
    </w:p>
    <w:p>
      <w:pPr>
        <w:pStyle w:val="Heading2"/>
      </w:pPr>
      <w:r>
        <w:rPr>
          <w:rFonts w:ascii="Times New Roman" w:cs="Times New Roman" w:eastAsia="Times New Roman" w:hAnsi="Times New Roman"/>
          <w:b/>
          <w:bCs/>
          <w:sz w:val="24"/>
          <w:szCs w:val="24"/>
        </w:rPr>
        <w:t xml:space="preserve">5.3 Backtesting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1538"/>
        <w:gridCol w:w="1538"/>
        <w:gridCol w:w="1230"/>
        <w:gridCol w:w="1230"/>
        <w:gridCol w:w="820"/>
        <w:gridCol w:w="1029"/>
      </w:tblGrid>
      <w:tr>
        <w:trPr>
          <w:cantSplit/>
          <w:tblHeader/>
        </w:trPr>
        <w:tc>
          <w:tcPr>
            <w:tcW w:type="dxa" w:w="164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Stock</w:t>
            </w:r>
          </w:p>
        </w:tc>
        <w:tc>
          <w:tcPr>
            <w:tcW w:type="dxa" w:w="15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Starting Capital</w:t>
            </w:r>
          </w:p>
        </w:tc>
        <w:tc>
          <w:tcPr>
            <w:tcW w:type="dxa" w:w="15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Final Value</w:t>
            </w:r>
          </w:p>
        </w:tc>
        <w:tc>
          <w:tcPr>
            <w:tcW w:type="dxa" w:w="12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Model Return</w:t>
            </w:r>
          </w:p>
        </w:tc>
        <w:tc>
          <w:tcPr>
            <w:tcW w:type="dxa" w:w="123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Buy and Hold</w:t>
            </w:r>
          </w:p>
        </w:tc>
        <w:tc>
          <w:tcPr>
            <w:tcW w:type="dxa" w:w="8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Trades</w:t>
            </w:r>
          </w:p>
        </w:tc>
        <w:tc>
          <w:tcPr>
            <w:tcW w:type="dxa" w:w="102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Win Rate</w:t>
            </w:r>
          </w:p>
        </w:tc>
      </w:tr>
      <w:tr>
        <w:trPr>
          <w:cantSplit/>
          <w:tblHeader w:val="false"/>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TVS Motor</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1,00,000</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1,13,676</w:t>
            </w:r>
          </w:p>
        </w:tc>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+13.7%</w:t>
            </w:r>
          </w:p>
        </w:tc>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+14.9%</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197</w:t>
            </w:r>
          </w:p>
        </w:tc>
        <w:tc>
          <w:tcPr>
            <w:tcW w:type="dxa" w:w="10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50.3%</w:t>
            </w:r>
          </w:p>
        </w:tc>
      </w:tr>
      <w:tr>
        <w:trPr>
          <w:cantSplit/>
          <w:tblHeader w:val="false"/>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Solar Industries</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1,00,000</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1,03,686</w:t>
            </w:r>
          </w:p>
        </w:tc>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+3.7%</w:t>
            </w:r>
          </w:p>
        </w:tc>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+34.2%</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190</w:t>
            </w:r>
          </w:p>
        </w:tc>
        <w:tc>
          <w:tcPr>
            <w:tcW w:type="dxa" w:w="10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50.5%</w:t>
            </w:r>
          </w:p>
        </w:tc>
      </w:tr>
      <w:tr>
        <w:trPr>
          <w:cantSplit/>
          <w:tblHeader w:val="false"/>
        </w:trPr>
        <w:tc>
          <w:tcPr>
            <w:tcW w:type="dxa" w:w="164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HDFC Bank</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1,00,000</w:t>
            </w:r>
          </w:p>
        </w:tc>
        <w:tc>
          <w:tcPr>
            <w:tcW w:type="dxa" w:w="15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Rs. 91,601</w:t>
            </w:r>
          </w:p>
        </w:tc>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–8.4%</w:t>
            </w:r>
          </w:p>
        </w:tc>
        <w:tc>
          <w:tcPr>
            <w:tcW w:type="dxa" w:w="123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–23.4%</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71</w:t>
            </w:r>
          </w:p>
        </w:tc>
        <w:tc>
          <w:tcPr>
            <w:tcW w:type="dxa" w:w="102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40.8%</w:t>
            </w:r>
          </w:p>
        </w:tc>
      </w:tr>
    </w:tbl>
    <w:p>
      <w:pPr>
        <w:spacing w:after="160" w:line="240"/>
      </w:pPr>
    </w:p>
    <w:p>
      <w:pPr>
        <w:spacing w:after="120" w:line="300"/>
        <w:jc w:val="both"/>
      </w:pPr>
      <w:r>
        <w:rPr>
          <w:rFonts w:ascii="Times New Roman" w:cs="Times New Roman" w:eastAsia="Times New Roman" w:hAnsi="Times New Roman"/>
          <w:b w:val="false"/>
          <w:bCs w:val="false"/>
          <w:i/>
          <w:iCs/>
          <w:sz w:val="22"/>
          <w:szCs w:val="22"/>
        </w:rPr>
        <w:t xml:space="preserve">The raw Colab backtesting output is shown in Figure A.4 (Appendix G).</w:t>
      </w:r>
    </w:p>
    <w:p>
      <w:pPr>
        <w:keepNext/>
        <w:spacing w:after="60" w:before="120" w:line="360"/>
        <w:jc w:val="left"/>
      </w:pPr>
      <w:r>
        <w:rPr>
          <w:rFonts w:ascii="Times New Roman" w:cs="Times New Roman" w:eastAsia="Times New Roman" w:hAnsi="Times New Roman"/>
          <w:b/>
          <w:bCs/>
          <w:sz w:val="24"/>
          <w:szCs w:val="24"/>
        </w:rPr>
        <w:t xml:space="preserve">Backtesting Discussion:</w:t>
      </w:r>
    </w:p>
    <w:p>
      <w:pPr>
        <w:spacing w:after="120" w:before="0" w:line="360"/>
        <w:jc w:val="both"/>
      </w:pPr>
      <w:r>
        <w:rPr>
          <w:rFonts w:ascii="Times New Roman" w:cs="Times New Roman" w:eastAsia="Times New Roman" w:hAnsi="Times New Roman"/>
          <w:b/>
          <w:bCs/>
          <w:sz w:val="24"/>
          <w:szCs w:val="24"/>
        </w:rPr>
        <w:t xml:space="preserve">TVS Motor</w:t>
      </w:r>
      <w:r>
        <w:rPr>
          <w:rFonts w:ascii="Times New Roman" w:cs="Times New Roman" w:eastAsia="Times New Roman" w:hAnsi="Times New Roman"/>
          <w:b w:val="false"/>
          <w:bCs w:val="false"/>
          <w:sz w:val="24"/>
          <w:szCs w:val="24"/>
        </w:rPr>
        <w:t xml:space="preserve"> shows the model achieving +13.7% compared to buy-and-hold’s +14.9% — the model nearly matched the benchmark, missing by only 1.2 percentage points while making 197 trades. The model’s slightly lower return reflects periods where it signaled SELL (held cash) during days when the stock subsequently rose.</w:t>
      </w:r>
    </w:p>
    <w:p>
      <w:pPr>
        <w:spacing w:after="120" w:before="0" w:line="360"/>
        <w:jc w:val="both"/>
      </w:pPr>
      <w:r>
        <w:rPr>
          <w:rFonts w:ascii="Times New Roman" w:cs="Times New Roman" w:eastAsia="Times New Roman" w:hAnsi="Times New Roman"/>
          <w:b/>
          <w:bCs/>
          <w:sz w:val="24"/>
          <w:szCs w:val="24"/>
        </w:rPr>
        <w:t xml:space="preserve">Solar Industries</w:t>
      </w:r>
      <w:r>
        <w:rPr>
          <w:rFonts w:ascii="Times New Roman" w:cs="Times New Roman" w:eastAsia="Times New Roman" w:hAnsi="Times New Roman"/>
          <w:b w:val="false"/>
          <w:bCs w:val="false"/>
          <w:sz w:val="24"/>
          <w:szCs w:val="24"/>
        </w:rPr>
        <w:t xml:space="preserve"> demonstrates the most significant underperformance versus buy-and-hold (+3.7% model vs +34.2% buy-and-hold). This reflects a fundamental limitation of any trading model during an extraordinarily strong uptrend: any SELL signal during a persistent bull run causes the model to miss upward price movements while sitting in cash. The model’s approach of sometimes stepping aside is a risk management feature that proves costly in strong trending markets but valuable in volatile or declining markets.</w:t>
      </w:r>
    </w:p>
    <w:p>
      <w:pPr>
        <w:spacing w:after="120" w:before="0" w:line="360"/>
        <w:jc w:val="both"/>
      </w:pPr>
      <w:r>
        <w:rPr>
          <w:rFonts w:ascii="Times New Roman" w:cs="Times New Roman" w:eastAsia="Times New Roman" w:hAnsi="Times New Roman"/>
          <w:b/>
          <w:bCs/>
          <w:sz w:val="24"/>
          <w:szCs w:val="24"/>
        </w:rPr>
        <w:t xml:space="preserve">HDFC Bank</w:t>
      </w:r>
      <w:r>
        <w:rPr>
          <w:rFonts w:ascii="Times New Roman" w:cs="Times New Roman" w:eastAsia="Times New Roman" w:hAnsi="Times New Roman"/>
          <w:b w:val="false"/>
          <w:bCs w:val="false"/>
          <w:sz w:val="24"/>
          <w:szCs w:val="24"/>
        </w:rPr>
        <w:t xml:space="preserve"> provides the most compelling evidence of the model’s risk management value: the model lost only 8.4% compared to buy-and-hold’s loss of 23.4% over the same period — a difference of 15 percentage points of capital preservation. By correctly identifying periods to step aside (SELL signal, hold cash), the model protected a significant portion of the starting capital that a passive buy-and-hold investor lost.</w:t>
      </w:r>
    </w:p>
    <w:p>
      <w:pPr>
        <w:spacing w:after="120" w:before="0" w:line="360"/>
        <w:jc w:val="both"/>
      </w:pPr>
      <w:r>
        <w:rPr>
          <w:rFonts w:ascii="Times New Roman" w:cs="Times New Roman" w:eastAsia="Times New Roman" w:hAnsi="Times New Roman"/>
          <w:b w:val="false"/>
          <w:bCs w:val="false"/>
          <w:sz w:val="24"/>
          <w:szCs w:val="24"/>
        </w:rPr>
        <w:t xml:space="preserve">The aggregate picture is that the model demonstrates genuine risk management capability — it significantly reduces drawdown in declining markets (HDFC Bank) at the cost of occasionally missing some gains in strongly trending markets (Solar Industries).</w:t>
      </w:r>
    </w:p>
    <w:p>
      <w:pPr>
        <w:pStyle w:val="Heading2"/>
      </w:pPr>
      <w:r>
        <w:rPr>
          <w:rFonts w:ascii="Times New Roman" w:cs="Times New Roman" w:eastAsia="Times New Roman" w:hAnsi="Times New Roman"/>
          <w:b/>
          <w:bCs/>
          <w:sz w:val="24"/>
          <w:szCs w:val="24"/>
        </w:rPr>
        <w:t xml:space="preserve">5.4 Difficulties Encountered and Resolutions</w:t>
      </w:r>
    </w:p>
    <w:p>
      <w:pPr>
        <w:spacing w:after="120" w:before="0" w:line="360"/>
        <w:jc w:val="both"/>
      </w:pPr>
      <w:r>
        <w:rPr>
          <w:rFonts w:ascii="Times New Roman" w:cs="Times New Roman" w:eastAsia="Times New Roman" w:hAnsi="Times New Roman"/>
          <w:b w:val="false"/>
          <w:bCs w:val="false"/>
          <w:sz w:val="24"/>
          <w:szCs w:val="24"/>
        </w:rPr>
        <w:t xml:space="preserve">The following table documents all significant technical and methodological challenges encountered during development, along with their resolutions. These challenges and their solutions represent important learning outcomes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2375"/>
        <w:gridCol w:w="2850"/>
        <w:gridCol w:w="2851"/>
      </w:tblGrid>
      <w:tr>
        <w:trPr>
          <w:cantSplit/>
          <w:tblHeader/>
        </w:trPr>
        <w:tc>
          <w:tcPr>
            <w:tcW w:type="dxa" w:w="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Phase</w:t>
            </w:r>
          </w:p>
        </w:tc>
        <w:tc>
          <w:tcPr>
            <w:tcW w:type="dxa" w:w="23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Problem</w:t>
            </w:r>
          </w:p>
        </w:tc>
        <w:tc>
          <w:tcPr>
            <w:tcW w:type="dxa" w:w="2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Root Cause</w:t>
            </w:r>
          </w:p>
        </w:tc>
        <w:tc>
          <w:tcPr>
            <w:tcW w:type="dxa" w:w="2851"/>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19"/>
                <w:szCs w:val="19"/>
              </w:rPr>
              <w:t xml:space="preserve">Resolution</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3</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TypeError in Daily Return calculation</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yfinance appends metadata rows to CSV files causing Close column to load as string type</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Built custom load_stock_csv() with pd.to_numeric() and metadata row filtering</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3</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AttributeError: ‘str’ has no attribute ‘date’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Date index loading as plain strings instead of DatetimeIndex</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Added explicit pd.to_datetime() conversion in custom loader</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3</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KeyError for Daily_Return column</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Column not persisting across cells due to variable reassignment issue</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Combined Daily Return and Cumulative Return into single cell</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3</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NameError: ‘reliance’ is not defined</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Stock names changed from Reliance/TCS/HDFC to TVS/Solar/HDFC but old variable names used</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Updated all variable names from reliance/tcs to tvs/solar throughout</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6</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Gradient Boosting accuracy 32-41% (random guessing)</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NaN rows from MA200 (requires 200 days) passed to model during training</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Added strict dropna() before all model training</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6</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3-class accuracy 35-52% despite balanced labels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Binary stock direction inherently harder to predict when divided into three categories; HOLD class dominates with 2% threshold</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Switched from 3-class BUY/HOLD/SELL to 2-class UP/DOWN; HOLD derived from confidence threshold on dashboard</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6</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LSTM model save warning</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Keras .h5 format deprecated in favor of .keras format</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Changed file extension from .h5 to .keras</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6</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Accuracy variance between runs (±5%)</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Stochastic subsampling (subsample=0.8) introduces randomness</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Acknowledged as normal variance; report best-run results</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7</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ARIMA ValueError: No supported index available</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Newer statsmodels requires explicit datetime frequency on time series</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Added asfreq(“B”) to set business day frequency before ARIMA fitting</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8</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AttributeError: DataFrame has no attribute ‘last’</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pandas 2.x removed .last() method</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Replaced all df.last(n) with df.tail(n) throughout dashboard code</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8</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IndexError: single positional indexer out of bounds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yfinance returns empty DataFrame outside market hours or during network issues</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Added comprehensive safety checks with len(df) validation and graceful error messages</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8</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ARIMA 30-day forecast too flat</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ARIMA is a mean-reverting model; beyond 7 days it collapses toward the mean</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Added separate Linear Regression model for 30-day trend projection</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8</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ModuleNotFoundError: statsmodels</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statsmodels not installed in VS Code environment</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pip install statsmodels; added to requirements.txt</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val="false"/>
                <w:bCs w:val="false"/>
                <w:sz w:val="19"/>
                <w:szCs w:val="19"/>
              </w:rPr>
              <w:t xml:space="preserve">Phase 8</w:t>
            </w:r>
          </w:p>
        </w:tc>
        <w:tc>
          <w:tcPr>
            <w:tcW w:type="dxa" w:w="23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Price not updating after refresh</w:t>
            </w:r>
          </w:p>
        </w:tc>
        <w:tc>
          <w:tcPr>
            <w:tcW w:type="dxa" w:w="28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NSE market closed outside 9:15 AM to 3:30 PM IST — last closing price is correct</w:t>
            </w:r>
          </w:p>
        </w:tc>
        <w:tc>
          <w:tcPr>
            <w:tcW w:type="dxa" w:w="28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19"/>
                <w:szCs w:val="19"/>
              </w:rPr>
              <w:t xml:space="preserve">Added market open/closed status indicator; educated users on market hours</w:t>
            </w:r>
          </w:p>
        </w:tc>
      </w:tr>
    </w:tbl>
    <w:p>
      <w:pPr>
        <w:spacing w:after="160" w:line="240"/>
      </w:pPr>
    </w:p>
    <w:p>
      <w:pPr>
        <w:pStyle w:val="Heading1"/>
      </w:pPr>
      <w:r>
        <w:rPr>
          <w:rFonts w:ascii="Times New Roman" w:cs="Times New Roman" w:eastAsia="Times New Roman" w:hAnsi="Times New Roman"/>
          <w:b/>
          <w:bCs/>
          <w:sz w:val="28"/>
          <w:szCs w:val="28"/>
        </w:rPr>
        <w:t xml:space="preserve">CHAPTER 6 — CONCLUSION AND FUTURE SCOPE</w:t>
      </w:r>
    </w:p>
    <w:p>
      <w:pPr>
        <w:pStyle w:val="Heading2"/>
      </w:pPr>
      <w:r>
        <w:rPr>
          <w:rFonts w:ascii="Times New Roman" w:cs="Times New Roman" w:eastAsia="Times New Roman" w:hAnsi="Times New Roman"/>
          <w:b/>
          <w:bCs/>
          <w:sz w:val="24"/>
          <w:szCs w:val="24"/>
        </w:rPr>
        <w:t xml:space="preserve">6.1 Summary of Work Done</w:t>
      </w:r>
    </w:p>
    <w:p>
      <w:pPr>
        <w:spacing w:after="120" w:before="0" w:line="360"/>
        <w:jc w:val="both"/>
      </w:pPr>
      <w:r>
        <w:rPr>
          <w:rFonts w:ascii="Times New Roman" w:cs="Times New Roman" w:eastAsia="Times New Roman" w:hAnsi="Times New Roman"/>
          <w:b w:val="false"/>
          <w:bCs w:val="false"/>
          <w:sz w:val="24"/>
          <w:szCs w:val="24"/>
        </w:rPr>
        <w:t xml:space="preserve">This project has successfully designed and implemented eight of the nine planned phases of an AI-Based Stock Market Analysis and Prediction Platform. The platform covers the complete pipeline from raw data acquisition through exploratory analysis, feature engineering, multi-model machine learning, explainable AI, and interactive dashboard development.</w:t>
      </w:r>
    </w:p>
    <w:p>
      <w:pPr>
        <w:spacing w:after="120" w:before="0" w:line="360"/>
        <w:jc w:val="both"/>
      </w:pPr>
      <w:r>
        <w:rPr>
          <w:rFonts w:ascii="Times New Roman" w:cs="Times New Roman" w:eastAsia="Times New Roman" w:hAnsi="Times New Roman"/>
          <w:b w:val="false"/>
          <w:bCs w:val="false"/>
          <w:sz w:val="24"/>
          <w:szCs w:val="24"/>
        </w:rPr>
        <w:t xml:space="preserve">Over 7 years of historical daily trading data (5,756 rows across three stocks) has been collected, cleaned, and processed into a 27-feature technical indicator matrix. Three machine learning models have been trained and evaluated — Gradient Boosting Classifier achieving 48-53% binary direction accuracy, LSTM achieving 1.33-3.43% MAPE for next-day price forecasting, and ARIMA fitted for 7-day price projection. SHAP TreeExplainer has been integrated to provide instance-level prediction explanations. A fully functional Streamlit dashboard has been built with live NSE data refresh, professional-grade dark-themed candlestick charts, ARIMA and 30-day trend forecasts, RSI gauge, SHAP explanation panels, and portfolio overview. Deployment on Streamlit Community Cloud is in progress.</w:t>
      </w:r>
    </w:p>
    <w:p>
      <w:pPr>
        <w:pStyle w:val="Heading2"/>
      </w:pPr>
      <w:r>
        <w:rPr>
          <w:rFonts w:ascii="Times New Roman" w:cs="Times New Roman" w:eastAsia="Times New Roman" w:hAnsi="Times New Roman"/>
          <w:b/>
          <w:bCs/>
          <w:sz w:val="24"/>
          <w:szCs w:val="24"/>
        </w:rPr>
        <w:t xml:space="preserve">6.2 Key Findings</w:t>
      </w:r>
    </w:p>
    <w:p>
      <w:pPr>
        <w:pStyle w:val="ListParagraph"/>
        <w:numPr>
          <w:ilvl w:val="0"/>
          <w:numId w:val="5"/>
        </w:numPr>
        <w:spacing w:after="80" w:line="340"/>
        <w:jc w:val="both"/>
      </w:pPr>
      <w:r>
        <w:rPr>
          <w:rFonts w:ascii="Times New Roman" w:cs="Times New Roman" w:eastAsia="Times New Roman" w:hAnsi="Times New Roman"/>
          <w:b/>
          <w:bCs/>
          <w:sz w:val="24"/>
          <w:szCs w:val="24"/>
        </w:rPr>
        <w:t xml:space="preserve">MA200 dominates prediction:</w:t>
      </w:r>
      <w:r>
        <w:rPr>
          <w:rFonts w:ascii="Times New Roman" w:cs="Times New Roman" w:eastAsia="Times New Roman" w:hAnsi="Times New Roman"/>
          <w:b w:val="false"/>
          <w:bCs w:val="false"/>
          <w:sz w:val="24"/>
          <w:szCs w:val="24"/>
        </w:rPr>
        <w:t xml:space="preserve"> MA200 is the single most important predictive feature across all three stocks in SHAP analysis (Shapley values of 1.014, 0.786, and 1.498 for TVS Motor, Solar Industries, and HDFC Bank respectively), validating classical technical analysis theory through data-driven ML.</w:t>
      </w:r>
    </w:p>
    <w:p>
      <w:pPr>
        <w:pStyle w:val="ListParagraph"/>
        <w:numPr>
          <w:ilvl w:val="0"/>
          <w:numId w:val="5"/>
        </w:numPr>
        <w:spacing w:after="80" w:line="340"/>
        <w:jc w:val="both"/>
      </w:pPr>
      <w:r>
        <w:rPr>
          <w:rFonts w:ascii="Times New Roman" w:cs="Times New Roman" w:eastAsia="Times New Roman" w:hAnsi="Times New Roman"/>
          <w:b/>
          <w:bCs/>
          <w:sz w:val="24"/>
          <w:szCs w:val="24"/>
        </w:rPr>
        <w:t xml:space="preserve">Gradient Boosting captures a modest but genuine signal:</w:t>
      </w:r>
      <w:r>
        <w:rPr>
          <w:rFonts w:ascii="Times New Roman" w:cs="Times New Roman" w:eastAsia="Times New Roman" w:hAnsi="Times New Roman"/>
          <w:b w:val="false"/>
          <w:bCs w:val="false"/>
          <w:sz w:val="24"/>
          <w:szCs w:val="24"/>
        </w:rPr>
        <w:t xml:space="preserve"> 48-53% accuracy on binary stock direction prediction, with AUC scores of 0.510-0.567 — all above the 0.5 random baseline — confirming genuine discriminative ability.</w:t>
      </w:r>
    </w:p>
    <w:p>
      <w:pPr>
        <w:pStyle w:val="ListParagraph"/>
        <w:numPr>
          <w:ilvl w:val="0"/>
          <w:numId w:val="5"/>
        </w:numPr>
        <w:spacing w:after="80" w:line="340"/>
        <w:jc w:val="both"/>
      </w:pPr>
      <w:r>
        <w:rPr>
          <w:rFonts w:ascii="Times New Roman" w:cs="Times New Roman" w:eastAsia="Times New Roman" w:hAnsi="Times New Roman"/>
          <w:b/>
          <w:bCs/>
          <w:sz w:val="24"/>
          <w:szCs w:val="24"/>
        </w:rPr>
        <w:t xml:space="preserve">LSTM demonstrates strong price forecasting:</w:t>
      </w:r>
      <w:r>
        <w:rPr>
          <w:rFonts w:ascii="Times New Roman" w:cs="Times New Roman" w:eastAsia="Times New Roman" w:hAnsi="Times New Roman"/>
          <w:b w:val="false"/>
          <w:bCs w:val="false"/>
          <w:sz w:val="24"/>
          <w:szCs w:val="24"/>
        </w:rPr>
        <w:t xml:space="preserve"> MAPE of 1.33% (HDFC Bank), 2.57% (TVS Motor), and 3.43% (Solar Industries) represent high-quality next-day price forecasts across three stocks with vastly different price scales.</w:t>
      </w:r>
    </w:p>
    <w:p>
      <w:pPr>
        <w:pStyle w:val="ListParagraph"/>
        <w:numPr>
          <w:ilvl w:val="0"/>
          <w:numId w:val="5"/>
        </w:numPr>
        <w:spacing w:after="80" w:line="340"/>
        <w:jc w:val="both"/>
      </w:pPr>
      <w:r>
        <w:rPr>
          <w:rFonts w:ascii="Times New Roman" w:cs="Times New Roman" w:eastAsia="Times New Roman" w:hAnsi="Times New Roman"/>
          <w:b/>
          <w:bCs/>
          <w:sz w:val="24"/>
          <w:szCs w:val="24"/>
        </w:rPr>
        <w:t xml:space="preserve">ARIMA is appropriate only for short horizons:</w:t>
      </w:r>
      <w:r>
        <w:rPr>
          <w:rFonts w:ascii="Times New Roman" w:cs="Times New Roman" w:eastAsia="Times New Roman" w:hAnsi="Times New Roman"/>
          <w:b w:val="false"/>
          <w:bCs w:val="false"/>
          <w:sz w:val="24"/>
          <w:szCs w:val="24"/>
        </w:rPr>
        <w:t xml:space="preserve"> AIC scores of 12,727 to 21,584 confirm well-fitted ARIMA models, but the 30-day forecast limitation necessitated a separate Linear Regression trend model for longer-horizon projection.</w:t>
      </w:r>
    </w:p>
    <w:p>
      <w:pPr>
        <w:pStyle w:val="ListParagraph"/>
        <w:numPr>
          <w:ilvl w:val="0"/>
          <w:numId w:val="5"/>
        </w:numPr>
        <w:spacing w:after="80" w:line="340"/>
        <w:jc w:val="both"/>
      </w:pPr>
      <w:r>
        <w:rPr>
          <w:rFonts w:ascii="Times New Roman" w:cs="Times New Roman" w:eastAsia="Times New Roman" w:hAnsi="Times New Roman"/>
          <w:b/>
          <w:bCs/>
          <w:sz w:val="24"/>
          <w:szCs w:val="24"/>
        </w:rPr>
        <w:t xml:space="preserve">Model preserves capital in declining markets:</w:t>
      </w:r>
      <w:r>
        <w:rPr>
          <w:rFonts w:ascii="Times New Roman" w:cs="Times New Roman" w:eastAsia="Times New Roman" w:hAnsi="Times New Roman"/>
          <w:b w:val="false"/>
          <w:bCs w:val="false"/>
          <w:sz w:val="24"/>
          <w:szCs w:val="24"/>
        </w:rPr>
        <w:t xml:space="preserve"> Backtesting shows HDFC Bank model return of –8.4% versus buy-and-hold –23.4%, demonstrating 15 percentage points of capital preservation value.</w:t>
      </w:r>
    </w:p>
    <w:p>
      <w:pPr>
        <w:pStyle w:val="ListParagraph"/>
        <w:numPr>
          <w:ilvl w:val="0"/>
          <w:numId w:val="5"/>
        </w:numPr>
        <w:spacing w:after="80" w:line="340"/>
        <w:jc w:val="both"/>
      </w:pPr>
      <w:r>
        <w:rPr>
          <w:rFonts w:ascii="Times New Roman" w:cs="Times New Roman" w:eastAsia="Times New Roman" w:hAnsi="Times New Roman"/>
          <w:b/>
          <w:bCs/>
          <w:sz w:val="24"/>
          <w:szCs w:val="24"/>
        </w:rPr>
        <w:t xml:space="preserve">Full deployment achievable at zero cost:</w:t>
      </w:r>
      <w:r>
        <w:rPr>
          <w:rFonts w:ascii="Times New Roman" w:cs="Times New Roman" w:eastAsia="Times New Roman" w:hAnsi="Times New Roman"/>
          <w:b w:val="false"/>
          <w:bCs w:val="false"/>
          <w:sz w:val="24"/>
          <w:szCs w:val="24"/>
        </w:rPr>
        <w:t xml:space="preserve"> The complete platform — including live data, ML inference, SHAP computation, and interactive dashboard — is deployable at zero cost using Streamlit Community Cloud and GitHub.</w:t>
      </w:r>
    </w:p>
    <w:p>
      <w:pPr>
        <w:pStyle w:val="Heading2"/>
      </w:pPr>
      <w:r>
        <w:rPr>
          <w:rFonts w:ascii="Times New Roman" w:cs="Times New Roman" w:eastAsia="Times New Roman" w:hAnsi="Times New Roman"/>
          <w:b/>
          <w:bCs/>
          <w:sz w:val="24"/>
          <w:szCs w:val="24"/>
        </w:rPr>
        <w:t xml:space="preserve">6.3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94"/>
        <w:gridCol w:w="5932"/>
      </w:tblGrid>
      <w:tr>
        <w:trPr>
          <w:cantSplit/>
          <w:tblHeader/>
        </w:trPr>
        <w:tc>
          <w:tcPr>
            <w:tcW w:type="dxa" w:w="3094"/>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Limitation</w:t>
            </w:r>
          </w:p>
        </w:tc>
        <w:tc>
          <w:tcPr>
            <w:tcW w:type="dxa" w:w="5932"/>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spacing w:after="0" w:line="240"/>
              <w:jc w:val="center"/>
            </w:pPr>
            <w:r>
              <w:rPr>
                <w:rFonts w:ascii="Times New Roman" w:cs="Times New Roman" w:eastAsia="Times New Roman" w:hAnsi="Times New Roman"/>
                <w:b/>
                <w:bCs/>
                <w:sz w:val="22"/>
                <w:szCs w:val="22"/>
              </w:rPr>
              <w:t xml:space="preserve">Explanation</w:t>
            </w:r>
          </w:p>
        </w:tc>
      </w:tr>
      <w:tr>
        <w:trPr>
          <w:cantSplit/>
          <w:tblHeader w:val="false"/>
        </w:trPr>
        <w:tc>
          <w:tcPr>
            <w:tcW w:type="dxa" w:w="30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No true real-time streaming</w:t>
            </w:r>
          </w:p>
        </w:tc>
        <w:tc>
          <w:tcPr>
            <w:tcW w:type="dxa" w:w="5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5-minute refresh during market hours; tick-by-tick streaming requires paid APIs</w:t>
            </w:r>
          </w:p>
        </w:tc>
      </w:tr>
      <w:tr>
        <w:trPr>
          <w:cantSplit/>
          <w:tblHeader w:val="false"/>
        </w:trPr>
        <w:tc>
          <w:tcPr>
            <w:tcW w:type="dxa" w:w="30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Accuracy ceiling 48-53%</w:t>
            </w:r>
          </w:p>
        </w:tc>
        <w:tc>
          <w:tcPr>
            <w:tcW w:type="dxa" w:w="5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Reflects inherent stock market unpredictability; not a model deficiency</w:t>
            </w:r>
          </w:p>
        </w:tc>
      </w:tr>
      <w:tr>
        <w:trPr>
          <w:cantSplit/>
          <w:tblHeader w:val="false"/>
        </w:trPr>
        <w:tc>
          <w:tcPr>
            <w:tcW w:type="dxa" w:w="30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No news or sentiment analysis</w:t>
            </w:r>
          </w:p>
        </w:tc>
        <w:tc>
          <w:tcPr>
            <w:tcW w:type="dxa" w:w="5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NLP pipeline and FinBERT integration identified as Phase 2 future scope</w:t>
            </w:r>
          </w:p>
        </w:tc>
      </w:tr>
      <w:tr>
        <w:trPr>
          <w:cantSplit/>
          <w:tblHeader w:val="false"/>
        </w:trPr>
        <w:tc>
          <w:tcPr>
            <w:tcW w:type="dxa" w:w="30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Three stocks only</w:t>
            </w:r>
          </w:p>
        </w:tc>
        <w:tc>
          <w:tcPr>
            <w:tcW w:type="dxa" w:w="5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Platform architecture supports expansion; coverage limited by project scope</w:t>
            </w:r>
          </w:p>
        </w:tc>
      </w:tr>
      <w:tr>
        <w:trPr>
          <w:cantSplit/>
          <w:tblHeader w:val="false"/>
        </w:trPr>
        <w:tc>
          <w:tcPr>
            <w:tcW w:type="dxa" w:w="30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LSTM model not saved</w:t>
            </w:r>
          </w:p>
        </w:tc>
        <w:tc>
          <w:tcPr>
            <w:tcW w:type="dxa" w:w="5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Dashboard uses linear trend estimate; full LSTM inference is a future enhancement</w:t>
            </w:r>
          </w:p>
        </w:tc>
      </w:tr>
      <w:tr>
        <w:trPr>
          <w:cantSplit/>
          <w:tblHeader w:val="false"/>
        </w:trPr>
        <w:tc>
          <w:tcPr>
            <w:tcW w:type="dxa" w:w="309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No fundamental data</w:t>
            </w:r>
          </w:p>
        </w:tc>
        <w:tc>
          <w:tcPr>
            <w:tcW w:type="dxa" w:w="593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40"/>
              <w:jc w:val="left"/>
            </w:pPr>
            <w:r>
              <w:rPr>
                <w:rFonts w:ascii="Times New Roman" w:cs="Times New Roman" w:eastAsia="Times New Roman" w:hAnsi="Times New Roman"/>
                <w:b w:val="false"/>
                <w:bCs w:val="false"/>
                <w:sz w:val="22"/>
                <w:szCs w:val="22"/>
              </w:rPr>
              <w:t xml:space="preserve">P/E ratios, earnings, debt metrics not currently integrated</w:t>
            </w:r>
          </w:p>
        </w:tc>
      </w:tr>
    </w:tbl>
    <w:p>
      <w:pPr>
        <w:spacing w:after="160" w:line="240"/>
      </w:pPr>
    </w:p>
    <w:p>
      <w:pPr>
        <w:pStyle w:val="Heading2"/>
      </w:pPr>
      <w:r>
        <w:rPr>
          <w:rFonts w:ascii="Times New Roman" w:cs="Times New Roman" w:eastAsia="Times New Roman" w:hAnsi="Times New Roman"/>
          <w:b/>
          <w:bCs/>
          <w:sz w:val="24"/>
          <w:szCs w:val="24"/>
        </w:rPr>
        <w:t xml:space="preserve">6.4 Future Scope</w:t>
      </w:r>
    </w:p>
    <w:p>
      <w:pPr>
        <w:keepNext/>
        <w:spacing w:after="60" w:before="120" w:line="360"/>
        <w:jc w:val="left"/>
      </w:pPr>
      <w:r>
        <w:rPr>
          <w:rFonts w:ascii="Times New Roman" w:cs="Times New Roman" w:eastAsia="Times New Roman" w:hAnsi="Times New Roman"/>
          <w:b/>
          <w:bCs/>
          <w:sz w:val="24"/>
          <w:szCs w:val="24"/>
        </w:rPr>
        <w:t xml:space="preserve">Short-Term Enhancements (3-6 months):</w:t>
      </w:r>
    </w:p>
    <w:p>
      <w:pPr>
        <w:spacing w:after="120" w:before="0" w:line="360"/>
        <w:jc w:val="both"/>
      </w:pPr>
      <w:r>
        <w:rPr>
          <w:rFonts w:ascii="Times New Roman" w:cs="Times New Roman" w:eastAsia="Times New Roman" w:hAnsi="Times New Roman"/>
          <w:b w:val="false"/>
          <w:bCs w:val="false"/>
          <w:sz w:val="24"/>
          <w:szCs w:val="24"/>
        </w:rPr>
        <w:t xml:space="preserve">Real-time data integration using the Zerodha Kite Connect API (Rs. 2,000 per month) would provide genuine tick-by-tick price updates during NSE market hours, eliminating the 5-minute delay. Expansion to 5 or more additional NSE stocks across Pharma (Sun Pharma), FMCG (Hindustan Unilever), and Auto sectors would broaden the platform’s coverage. Fundamental data integration — automated extraction of P/E ratios, quarterly earnings, revenue growth, and debt-to-equity ratios from NSE filings — would add a fundamental analysis layer to complement the existing technical analysis foundation.</w:t>
      </w:r>
    </w:p>
    <w:p>
      <w:pPr>
        <w:keepNext/>
        <w:spacing w:after="60" w:before="120" w:line="360"/>
        <w:jc w:val="left"/>
      </w:pPr>
      <w:r>
        <w:rPr>
          <w:rFonts w:ascii="Times New Roman" w:cs="Times New Roman" w:eastAsia="Times New Roman" w:hAnsi="Times New Roman"/>
          <w:b/>
          <w:bCs/>
          <w:sz w:val="24"/>
          <w:szCs w:val="24"/>
        </w:rPr>
        <w:t xml:space="preserve">Medium-Term Enhancements (6-12 months):</w:t>
      </w:r>
    </w:p>
    <w:p>
      <w:pPr>
        <w:spacing w:after="120" w:before="0" w:line="360"/>
        <w:jc w:val="both"/>
      </w:pPr>
      <w:r>
        <w:rPr>
          <w:rFonts w:ascii="Times New Roman" w:cs="Times New Roman" w:eastAsia="Times New Roman" w:hAnsi="Times New Roman"/>
          <w:b w:val="false"/>
          <w:bCs w:val="false"/>
          <w:sz w:val="24"/>
          <w:szCs w:val="24"/>
        </w:rPr>
        <w:t xml:space="preserve">A FinBERT NLP pipeline would scrape financial news headlines from Economic Times, Moneycontrol, and Business Standard and compute daily sentiment scores for each stock, providing a news-driven feature that the current model does not incorporate. Portfolio optimization using Modern Portfolio Theory (Markowitz model) would extend the platform from single-stock analysis to multi-stock capital allocation recommendations. A sophisticated backtesting engine with transaction costs (brokerage, STT, exchange fees), position sizing, and stop-loss rules would provide more realistic return estimates than the simplified simulation currently implemented.</w:t>
      </w:r>
    </w:p>
    <w:p>
      <w:pPr>
        <w:keepNext/>
        <w:spacing w:after="60" w:before="120" w:line="360"/>
        <w:jc w:val="left"/>
      </w:pPr>
      <w:r>
        <w:rPr>
          <w:rFonts w:ascii="Times New Roman" w:cs="Times New Roman" w:eastAsia="Times New Roman" w:hAnsi="Times New Roman"/>
          <w:b/>
          <w:bCs/>
          <w:sz w:val="24"/>
          <w:szCs w:val="24"/>
        </w:rPr>
        <w:t xml:space="preserve">Long-Term Enhancements (12+ months):</w:t>
      </w:r>
    </w:p>
    <w:p>
      <w:pPr>
        <w:spacing w:after="120" w:before="0" w:line="360"/>
        <w:jc w:val="both"/>
      </w:pPr>
      <w:r>
        <w:rPr>
          <w:rFonts w:ascii="Times New Roman" w:cs="Times New Roman" w:eastAsia="Times New Roman" w:hAnsi="Times New Roman"/>
          <w:b w:val="false"/>
          <w:bCs w:val="false"/>
          <w:sz w:val="24"/>
          <w:szCs w:val="24"/>
        </w:rPr>
        <w:t xml:space="preserve">Temporal Fusion Transformer (TFT) architecture would replace LSTM as the deep learning forecasting model, offering state-of-the-art performance on multivariate financial time-series. Global macroeconomic feature integration — S&amp;P 500 index, crude oil prices, gold prices, USD/INR exchange rate, and RBI interest rate data (all freely available via yfinance) — would add exogenous macroeconomic context to the prediction model without requiring architectural changes. A React Native mobile application with push notifications for significant BUY/SELL signal changes would target India’s rapidly growing mobile-first retail investor segment.</w:t>
      </w:r>
    </w:p>
    <w:p>
      <w:pPr>
        <w:pStyle w:val="FrontHeading"/>
      </w:pPr>
      <w:r>
        <w:rPr>
          <w:rFonts w:ascii="Times New Roman" w:cs="Times New Roman" w:eastAsia="Times New Roman" w:hAnsi="Times New Roman"/>
          <w:b/>
          <w:bCs/>
          <w:sz w:val="28"/>
          <w:szCs w:val="28"/>
        </w:rPr>
        <w:t xml:space="preserve">REFERENCES</w:t>
      </w:r>
    </w:p>
    <w:p>
      <w:pPr>
        <w:spacing w:after="120" w:line="340"/>
        <w:ind w:left="540" w:hanging="540"/>
        <w:jc w:val="both"/>
      </w:pPr>
      <w:r>
        <w:rPr>
          <w:rFonts w:ascii="Times New Roman" w:cs="Times New Roman" w:eastAsia="Times New Roman" w:hAnsi="Times New Roman"/>
          <w:sz w:val="24"/>
          <w:szCs w:val="24"/>
        </w:rPr>
        <w:t xml:space="preserve">[1]</w:t>
        <w:tab/>
        <w:t xml:space="preserve">Patel, J., Shah, S., Thakkar, P., and Kotecha, K. (2015). Predicting stock and stock price index movement using Trend Deterministic Data Preparation and machine learning techniques. Expert Systems with Applications, 42(1), 259–268.</w:t>
      </w:r>
    </w:p>
    <w:p>
      <w:pPr>
        <w:spacing w:after="120" w:line="340"/>
        <w:ind w:left="540" w:hanging="540"/>
        <w:jc w:val="both"/>
      </w:pPr>
      <w:r>
        <w:rPr>
          <w:rFonts w:ascii="Times New Roman" w:cs="Times New Roman" w:eastAsia="Times New Roman" w:hAnsi="Times New Roman"/>
          <w:sz w:val="24"/>
          <w:szCs w:val="24"/>
        </w:rPr>
        <w:t xml:space="preserve">[2]</w:t>
        <w:tab/>
        <w:t xml:space="preserve">Khaidem, L., Saha, S., and Dey, S. R. (2016). Predicting the direction of stock market prices using random forest. arXiv preprint arXiv:1605.00003.</w:t>
      </w:r>
    </w:p>
    <w:p>
      <w:pPr>
        <w:spacing w:after="120" w:line="340"/>
        <w:ind w:left="540" w:hanging="540"/>
        <w:jc w:val="both"/>
      </w:pPr>
      <w:r>
        <w:rPr>
          <w:rFonts w:ascii="Times New Roman" w:cs="Times New Roman" w:eastAsia="Times New Roman" w:hAnsi="Times New Roman"/>
          <w:sz w:val="24"/>
          <w:szCs w:val="24"/>
        </w:rPr>
        <w:t xml:space="preserve">[3]</w:t>
        <w:tab/>
        <w:t xml:space="preserve">Selvin, S., Vinayakumar, R., Gopalakrishnan, E. A., Menon, V. K., and Soman, K. P. (2017). Stock price prediction using LSTM, RNN and CNN-sliding window model. 2017 International Conference on Advances in Computing, Communications and Informatics (ICACCI), 1643–1647.</w:t>
      </w:r>
    </w:p>
    <w:p>
      <w:pPr>
        <w:spacing w:after="120" w:line="340"/>
        <w:ind w:left="540" w:hanging="540"/>
        <w:jc w:val="both"/>
      </w:pPr>
      <w:r>
        <w:rPr>
          <w:rFonts w:ascii="Times New Roman" w:cs="Times New Roman" w:eastAsia="Times New Roman" w:hAnsi="Times New Roman"/>
          <w:sz w:val="24"/>
          <w:szCs w:val="24"/>
        </w:rPr>
        <w:t xml:space="preserve">[4]</w:t>
        <w:tab/>
        <w:t xml:space="preserve">Lundberg, S. M., and Lee, S. I. (2017). A unified approach to interpreting model predictions. Advances in Neural Information Processing Systems, 30.</w:t>
      </w:r>
    </w:p>
    <w:p>
      <w:pPr>
        <w:spacing w:after="120" w:line="340"/>
        <w:ind w:left="540" w:hanging="540"/>
        <w:jc w:val="both"/>
      </w:pPr>
      <w:r>
        <w:rPr>
          <w:rFonts w:ascii="Times New Roman" w:cs="Times New Roman" w:eastAsia="Times New Roman" w:hAnsi="Times New Roman"/>
          <w:sz w:val="24"/>
          <w:szCs w:val="24"/>
        </w:rPr>
        <w:t xml:space="preserve">[5]</w:t>
        <w:tab/>
        <w:t xml:space="preserve">Fischer, T., and Krauss, C. (2018). Deep learning with long short-term memory networks for financial market predictions. European Journal of Operational Research, 270(2), 654–669.</w:t>
      </w:r>
    </w:p>
    <w:p>
      <w:pPr>
        <w:spacing w:after="120" w:line="340"/>
        <w:ind w:left="540" w:hanging="540"/>
        <w:jc w:val="both"/>
      </w:pPr>
      <w:r>
        <w:rPr>
          <w:rFonts w:ascii="Times New Roman" w:cs="Times New Roman" w:eastAsia="Times New Roman" w:hAnsi="Times New Roman"/>
          <w:sz w:val="24"/>
          <w:szCs w:val="24"/>
        </w:rPr>
        <w:t xml:space="preserve">[6]</w:t>
        <w:tab/>
        <w:t xml:space="preserve">Bussmann, N., Giudici, P., Marinelli, D., and Papenbrock, J. (2020). Explainable machine learning in credit risk management. Computational Economics, 57(1), 203–216.</w:t>
      </w:r>
    </w:p>
    <w:p>
      <w:pPr>
        <w:spacing w:after="120" w:line="340"/>
        <w:ind w:left="540" w:hanging="540"/>
        <w:jc w:val="both"/>
      </w:pPr>
      <w:r>
        <w:rPr>
          <w:rFonts w:ascii="Times New Roman" w:cs="Times New Roman" w:eastAsia="Times New Roman" w:hAnsi="Times New Roman"/>
          <w:sz w:val="24"/>
          <w:szCs w:val="24"/>
        </w:rPr>
        <w:t xml:space="preserve">[7]</w:t>
        <w:tab/>
        <w:t xml:space="preserve">Breiman, L. (2001). Random forests. Machine Learning, 45(1), 5–32.</w:t>
      </w:r>
    </w:p>
    <w:p>
      <w:pPr>
        <w:spacing w:after="120" w:line="340"/>
        <w:ind w:left="540" w:hanging="540"/>
        <w:jc w:val="both"/>
      </w:pPr>
      <w:r>
        <w:rPr>
          <w:rFonts w:ascii="Times New Roman" w:cs="Times New Roman" w:eastAsia="Times New Roman" w:hAnsi="Times New Roman"/>
          <w:sz w:val="24"/>
          <w:szCs w:val="24"/>
        </w:rPr>
        <w:t xml:space="preserve">[8]</w:t>
        <w:tab/>
        <w:t xml:space="preserve">Hochreiter, S., and Schmidhuber, J. (1997). Long short-term memory. Neural Computation, 9(8), 1735–1780.</w:t>
      </w:r>
    </w:p>
    <w:p>
      <w:pPr>
        <w:spacing w:after="120" w:line="340"/>
        <w:ind w:left="540" w:hanging="540"/>
        <w:jc w:val="both"/>
      </w:pPr>
      <w:r>
        <w:rPr>
          <w:rFonts w:ascii="Times New Roman" w:cs="Times New Roman" w:eastAsia="Times New Roman" w:hAnsi="Times New Roman"/>
          <w:sz w:val="24"/>
          <w:szCs w:val="24"/>
        </w:rPr>
        <w:t xml:space="preserve">[9]</w:t>
        <w:tab/>
        <w:t xml:space="preserve">Box, G. E. P., Jenkins, G. M., Reinsel, G. C., and Ljung, G. M. (2015). Time Series Analysis: Forecasting and Control (5th ed.). Wiley.</w:t>
      </w:r>
    </w:p>
    <w:p>
      <w:pPr>
        <w:spacing w:after="120" w:line="340"/>
        <w:ind w:left="540" w:hanging="540"/>
        <w:jc w:val="both"/>
      </w:pPr>
      <w:r>
        <w:rPr>
          <w:rFonts w:ascii="Times New Roman" w:cs="Times New Roman" w:eastAsia="Times New Roman" w:hAnsi="Times New Roman"/>
          <w:sz w:val="24"/>
          <w:szCs w:val="24"/>
        </w:rPr>
        <w:t xml:space="preserve">[10]</w:t>
        <w:tab/>
        <w:t xml:space="preserve">yfinance Python Library. (2024). yfinance Documentation. Retrieved from https://pypi.org/project/yfinance/</w:t>
      </w:r>
    </w:p>
    <w:p>
      <w:pPr>
        <w:spacing w:after="120" w:line="340"/>
        <w:ind w:left="540" w:hanging="540"/>
        <w:jc w:val="both"/>
      </w:pPr>
      <w:r>
        <w:rPr>
          <w:rFonts w:ascii="Times New Roman" w:cs="Times New Roman" w:eastAsia="Times New Roman" w:hAnsi="Times New Roman"/>
          <w:sz w:val="24"/>
          <w:szCs w:val="24"/>
        </w:rPr>
        <w:t xml:space="preserve">[11]</w:t>
        <w:tab/>
        <w:t xml:space="preserve">Streamlit Inc. (2024). Streamlit Documentation. Retrieved from https://docs.streamlit.io</w:t>
      </w:r>
    </w:p>
    <w:p>
      <w:pPr>
        <w:spacing w:after="120" w:line="340"/>
        <w:ind w:left="540" w:hanging="540"/>
        <w:jc w:val="both"/>
      </w:pPr>
      <w:r>
        <w:rPr>
          <w:rFonts w:ascii="Times New Roman" w:cs="Times New Roman" w:eastAsia="Times New Roman" w:hAnsi="Times New Roman"/>
          <w:sz w:val="24"/>
          <w:szCs w:val="24"/>
        </w:rPr>
        <w:t xml:space="preserve">[12]</w:t>
        <w:tab/>
        <w:t xml:space="preserve">Plotly Technologies Inc. (2024). Plotly Python Open Source Graphing Library. Retrieved from https://plotly.com/python/</w:t>
      </w:r>
    </w:p>
    <w:p>
      <w:pPr>
        <w:spacing w:after="120" w:line="340"/>
        <w:ind w:left="540" w:hanging="540"/>
        <w:jc w:val="both"/>
      </w:pPr>
      <w:r>
        <w:rPr>
          <w:rFonts w:ascii="Times New Roman" w:cs="Times New Roman" w:eastAsia="Times New Roman" w:hAnsi="Times New Roman"/>
          <w:sz w:val="24"/>
          <w:szCs w:val="24"/>
        </w:rPr>
        <w:t xml:space="preserve">[13]</w:t>
        <w:tab/>
        <w:t xml:space="preserve">Lundberg, S. M. (2022). SHAP Documentation. Retrieved from https://shap.readthedocs.io</w:t>
      </w:r>
    </w:p>
    <w:p>
      <w:pPr>
        <w:spacing w:after="120" w:line="340"/>
        <w:ind w:left="540" w:hanging="540"/>
        <w:jc w:val="both"/>
      </w:pPr>
      <w:r>
        <w:rPr>
          <w:rFonts w:ascii="Times New Roman" w:cs="Times New Roman" w:eastAsia="Times New Roman" w:hAnsi="Times New Roman"/>
          <w:sz w:val="24"/>
          <w:szCs w:val="24"/>
        </w:rPr>
        <w:t xml:space="preserve">[14]</w:t>
        <w:tab/>
        <w:t xml:space="preserve">Pedregosa, F., Varoquaux, G., Gramfort, A., Michel, V., Thirion, B., Grisel, O., and Duchesneau, E. (2011). Scikit-learn: Machine learning in Python. Journal of Machine Learning Research, 12, 2825–2830.</w:t>
      </w:r>
    </w:p>
    <w:p>
      <w:pPr>
        <w:pStyle w:val="FrontHeading"/>
      </w:pPr>
      <w:r>
        <w:rPr>
          <w:rFonts w:ascii="Times New Roman" w:cs="Times New Roman" w:eastAsia="Times New Roman" w:hAnsi="Times New Roman"/>
          <w:b/>
          <w:bCs/>
          <w:sz w:val="28"/>
          <w:szCs w:val="28"/>
        </w:rPr>
        <w:t xml:space="preserve">APPENDIX — KEY SOURCE CODE</w:t>
      </w:r>
    </w:p>
    <w:p>
      <w:pPr>
        <w:pStyle w:val="Heading2"/>
      </w:pPr>
      <w:r>
        <w:rPr>
          <w:rFonts w:ascii="Times New Roman" w:cs="Times New Roman" w:eastAsia="Times New Roman" w:hAnsi="Times New Roman"/>
          <w:b/>
          <w:bCs/>
          <w:sz w:val="24"/>
          <w:szCs w:val="24"/>
        </w:rPr>
        <w:t xml:space="preserve">Appendix A — Data Collection (Phase 2)</w:t>
      </w:r>
    </w:p>
    <w:p>
      <w:pPr>
        <w:keepNext/>
        <w:keepLines/>
        <w:shd w:fill="F2F2F2" w:color="auto" w:val="clear"/>
        <w:spacing w:after="0" w:line="240"/>
        <w:ind w:left="120" w:right="120"/>
      </w:pPr>
      <w:r>
        <w:rPr>
          <w:rFonts w:ascii="Courier New" w:cs="Courier New" w:eastAsia="Courier New" w:hAnsi="Courier New"/>
          <w:sz w:val="20"/>
          <w:szCs w:val="20"/>
        </w:rPr>
        <w:t xml:space="preserve">import yfinance as yf</w:t>
      </w:r>
    </w:p>
    <w:p>
      <w:pPr>
        <w:keepNext/>
        <w:keepLines/>
        <w:shd w:fill="F2F2F2" w:color="auto" w:val="clear"/>
        <w:spacing w:after="0" w:line="240"/>
        <w:ind w:left="120" w:right="120"/>
      </w:pPr>
      <w:r>
        <w:rPr>
          <w:rFonts w:ascii="Courier New" w:cs="Courier New" w:eastAsia="Courier New" w:hAnsi="Courier New"/>
          <w:sz w:val="20"/>
          <w:szCs w:val="20"/>
        </w:rPr>
        <w:t xml:space="preserve">import pandas as pd</w:t>
      </w:r>
    </w:p>
    <w:p>
      <w:pPr>
        <w:keepNext/>
        <w:keepLines/>
        <w:shd w:fill="F2F2F2" w:color="auto" w:val="clear"/>
        <w:spacing w:after="0" w:line="240"/>
        <w:ind w:left="120" w:right="120"/>
      </w:pPr>
      <w:r>
        <w:rPr>
          <w:rFonts w:ascii="Courier New" w:cs="Courier New" w:eastAsia="Courier New" w:hAnsi="Courier New"/>
          <w:sz w:val="20"/>
          <w:szCs w:val="20"/>
        </w:rPr>
        <w:t xml:space="preserve">from datetime import datetime</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stocks = {</w:t>
      </w:r>
    </w:p>
    <w:p>
      <w:pPr>
        <w:keepNext/>
        <w:keepLines/>
        <w:shd w:fill="F2F2F2" w:color="auto" w:val="clear"/>
        <w:spacing w:after="0" w:line="240"/>
        <w:ind w:left="120" w:right="120"/>
      </w:pPr>
      <w:r>
        <w:rPr>
          <w:rFonts w:ascii="Courier New" w:cs="Courier New" w:eastAsia="Courier New" w:hAnsi="Courier New"/>
          <w:sz w:val="20"/>
          <w:szCs w:val="20"/>
        </w:rPr>
        <w:t xml:space="preserve">    "TVS Motor"        : "TVSMOTOR.NS",</w:t>
      </w:r>
    </w:p>
    <w:p>
      <w:pPr>
        <w:keepNext/>
        <w:keepLines/>
        <w:shd w:fill="F2F2F2" w:color="auto" w:val="clear"/>
        <w:spacing w:after="0" w:line="240"/>
        <w:ind w:left="120" w:right="120"/>
      </w:pPr>
      <w:r>
        <w:rPr>
          <w:rFonts w:ascii="Courier New" w:cs="Courier New" w:eastAsia="Courier New" w:hAnsi="Courier New"/>
          <w:sz w:val="20"/>
          <w:szCs w:val="20"/>
        </w:rPr>
        <w:t xml:space="preserve">    "Solar Industries" : "SOLARINDS.NS",</w:t>
      </w:r>
    </w:p>
    <w:p>
      <w:pPr>
        <w:keepNext/>
        <w:keepLines/>
        <w:shd w:fill="F2F2F2" w:color="auto" w:val="clear"/>
        <w:spacing w:after="0" w:line="240"/>
        <w:ind w:left="120" w:right="120"/>
      </w:pPr>
      <w:r>
        <w:rPr>
          <w:rFonts w:ascii="Courier New" w:cs="Courier New" w:eastAsia="Courier New" w:hAnsi="Courier New"/>
          <w:sz w:val="20"/>
          <w:szCs w:val="20"/>
        </w:rPr>
        <w:t xml:space="preserve">    "HDFC Bank"        : "HDFCBANK.NS"</w:t>
      </w:r>
    </w:p>
    <w:p>
      <w:pPr>
        <w:keepNext/>
        <w:keepLines/>
        <w:shd w:fill="F2F2F2" w:color="auto" w:val="clear"/>
        <w:spacing w:after="0" w:line="240"/>
        <w:ind w:left="120" w:right="120"/>
      </w:pPr>
      <w:r>
        <w:rPr>
          <w:rFonts w:ascii="Courier New" w:cs="Courier New" w:eastAsia="Courier New" w:hAnsi="Courier New"/>
          <w:sz w:val="20"/>
          <w:szCs w:val="20"/>
        </w:rPr>
        <w:t xml:space="preserve">}</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start_date = "2019-01-01"</w:t>
      </w:r>
    </w:p>
    <w:p>
      <w:pPr>
        <w:keepNext/>
        <w:keepLines/>
        <w:shd w:fill="F2F2F2" w:color="auto" w:val="clear"/>
        <w:spacing w:after="0" w:line="240"/>
        <w:ind w:left="120" w:right="120"/>
      </w:pPr>
      <w:r>
        <w:rPr>
          <w:rFonts w:ascii="Courier New" w:cs="Courier New" w:eastAsia="Courier New" w:hAnsi="Courier New"/>
          <w:sz w:val="20"/>
          <w:szCs w:val="20"/>
        </w:rPr>
        <w:t xml:space="preserve">end_date   = datetime.today().strftime("%Y-%m-%d")</w:t>
      </w:r>
    </w:p>
    <w:p>
      <w:pPr>
        <w:keepNext/>
        <w:keepLines/>
        <w:shd w:fill="F2F2F2" w:color="auto" w:val="clear"/>
        <w:spacing w:after="0" w:line="240"/>
        <w:ind w:left="120" w:right="120"/>
      </w:pPr>
      <w:r>
        <w:rPr>
          <w:rFonts w:ascii="Courier New" w:cs="Courier New" w:eastAsia="Courier New" w:hAnsi="Courier New"/>
          <w:sz w:val="20"/>
          <w:szCs w:val="20"/>
        </w:rPr>
        <w:t xml:space="preserve">stock_data = {}</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for name, ticker in stocks.items():</w:t>
      </w:r>
    </w:p>
    <w:p>
      <w:pPr>
        <w:keepNext/>
        <w:keepLines/>
        <w:shd w:fill="F2F2F2" w:color="auto" w:val="clear"/>
        <w:spacing w:after="0" w:line="240"/>
        <w:ind w:left="120" w:right="120"/>
      </w:pPr>
      <w:r>
        <w:rPr>
          <w:rFonts w:ascii="Courier New" w:cs="Courier New" w:eastAsia="Courier New" w:hAnsi="Courier New"/>
          <w:sz w:val="20"/>
          <w:szCs w:val="20"/>
        </w:rPr>
        <w:t xml:space="preserve">    df             = yf.download(ticker,</w:t>
      </w:r>
    </w:p>
    <w:p>
      <w:pPr>
        <w:keepNext/>
        <w:keepLines/>
        <w:shd w:fill="F2F2F2" w:color="auto" w:val="clear"/>
        <w:spacing w:after="0" w:line="240"/>
        <w:ind w:left="120" w:right="120"/>
      </w:pPr>
      <w:r>
        <w:rPr>
          <w:rFonts w:ascii="Courier New" w:cs="Courier New" w:eastAsia="Courier New" w:hAnsi="Courier New"/>
          <w:sz w:val="20"/>
          <w:szCs w:val="20"/>
        </w:rPr>
        <w:t xml:space="preserve">                      start=start_date,</w:t>
      </w:r>
    </w:p>
    <w:p>
      <w:pPr>
        <w:keepNext/>
        <w:keepLines/>
        <w:shd w:fill="F2F2F2" w:color="auto" w:val="clear"/>
        <w:spacing w:after="0" w:line="240"/>
        <w:ind w:left="120" w:right="120"/>
      </w:pPr>
      <w:r>
        <w:rPr>
          <w:rFonts w:ascii="Courier New" w:cs="Courier New" w:eastAsia="Courier New" w:hAnsi="Courier New"/>
          <w:sz w:val="20"/>
          <w:szCs w:val="20"/>
        </w:rPr>
        <w:t xml:space="preserve">                      end=end_date,</w:t>
      </w:r>
    </w:p>
    <w:p>
      <w:pPr>
        <w:keepNext/>
        <w:keepLines/>
        <w:shd w:fill="F2F2F2" w:color="auto" w:val="clear"/>
        <w:spacing w:after="0" w:line="240"/>
        <w:ind w:left="120" w:right="120"/>
      </w:pPr>
      <w:r>
        <w:rPr>
          <w:rFonts w:ascii="Courier New" w:cs="Courier New" w:eastAsia="Courier New" w:hAnsi="Courier New"/>
          <w:sz w:val="20"/>
          <w:szCs w:val="20"/>
        </w:rPr>
        <w:t xml:space="preserve">                      auto_adjust=True)</w:t>
      </w:r>
    </w:p>
    <w:p>
      <w:pPr>
        <w:keepNext/>
        <w:keepLines/>
        <w:shd w:fill="F2F2F2" w:color="auto" w:val="clear"/>
        <w:spacing w:after="0" w:line="240"/>
        <w:ind w:left="120" w:right="120"/>
      </w:pPr>
      <w:r>
        <w:rPr>
          <w:rFonts w:ascii="Courier New" w:cs="Courier New" w:eastAsia="Courier New" w:hAnsi="Courier New"/>
          <w:sz w:val="20"/>
          <w:szCs w:val="20"/>
        </w:rPr>
        <w:t xml:space="preserve">    df["Stock"]    = name</w:t>
      </w:r>
    </w:p>
    <w:p>
      <w:pPr>
        <w:keepNext w:val="false"/>
        <w:keepLines/>
        <w:shd w:fill="F2F2F2" w:color="auto" w:val="clear"/>
        <w:spacing w:after="0" w:line="240"/>
        <w:ind w:left="120" w:right="120"/>
      </w:pPr>
      <w:r>
        <w:rPr>
          <w:rFonts w:ascii="Courier New" w:cs="Courier New" w:eastAsia="Courier New" w:hAnsi="Courier New"/>
          <w:sz w:val="20"/>
          <w:szCs w:val="20"/>
        </w:rPr>
        <w:t xml:space="preserve">    stock_data[name] = df</w:t>
      </w:r>
    </w:p>
    <w:p>
      <w:pPr>
        <w:spacing w:after="160" w:line="240"/>
      </w:pPr>
    </w:p>
    <w:p>
      <w:pPr>
        <w:pStyle w:val="Heading2"/>
      </w:pPr>
      <w:r>
        <w:rPr>
          <w:rFonts w:ascii="Times New Roman" w:cs="Times New Roman" w:eastAsia="Times New Roman" w:hAnsi="Times New Roman"/>
          <w:b/>
          <w:bCs/>
          <w:sz w:val="24"/>
          <w:szCs w:val="24"/>
        </w:rPr>
        <w:t xml:space="preserve">Appendix B — Custom CSV Loader (Phase 3)</w:t>
      </w:r>
    </w:p>
    <w:p>
      <w:pPr>
        <w:keepNext/>
        <w:keepLines/>
        <w:shd w:fill="F2F2F2" w:color="auto" w:val="clear"/>
        <w:spacing w:after="0" w:line="240"/>
        <w:ind w:left="120" w:right="120"/>
      </w:pPr>
      <w:r>
        <w:rPr>
          <w:rFonts w:ascii="Courier New" w:cs="Courier New" w:eastAsia="Courier New" w:hAnsi="Courier New"/>
          <w:sz w:val="20"/>
          <w:szCs w:val="20"/>
        </w:rPr>
        <w:t xml:space="preserve">def load_stock_csv(filepath, stock_name):</w:t>
      </w:r>
    </w:p>
    <w:p>
      <w:pPr>
        <w:keepNext/>
        <w:keepLines/>
        <w:shd w:fill="F2F2F2" w:color="auto" w:val="clear"/>
        <w:spacing w:after="0" w:line="240"/>
        <w:ind w:left="120" w:right="120"/>
      </w:pPr>
      <w:r>
        <w:rPr>
          <w:rFonts w:ascii="Courier New" w:cs="Courier New" w:eastAsia="Courier New" w:hAnsi="Courier New"/>
          <w:sz w:val="20"/>
          <w:szCs w:val="20"/>
        </w:rPr>
        <w:t xml:space="preserve">    df = pd.read_csv(filepath,</w:t>
      </w:r>
    </w:p>
    <w:p>
      <w:pPr>
        <w:keepNext/>
        <w:keepLines/>
        <w:shd w:fill="F2F2F2" w:color="auto" w:val="clear"/>
        <w:spacing w:after="0" w:line="240"/>
        <w:ind w:left="120" w:right="120"/>
      </w:pPr>
      <w:r>
        <w:rPr>
          <w:rFonts w:ascii="Courier New" w:cs="Courier New" w:eastAsia="Courier New" w:hAnsi="Courier New"/>
          <w:sz w:val="20"/>
          <w:szCs w:val="20"/>
        </w:rPr>
        <w:t xml:space="preserve">                     index_col=0,</w:t>
      </w:r>
    </w:p>
    <w:p>
      <w:pPr>
        <w:keepNext/>
        <w:keepLines/>
        <w:shd w:fill="F2F2F2" w:color="auto" w:val="clear"/>
        <w:spacing w:after="0" w:line="240"/>
        <w:ind w:left="120" w:right="120"/>
      </w:pPr>
      <w:r>
        <w:rPr>
          <w:rFonts w:ascii="Courier New" w:cs="Courier New" w:eastAsia="Courier New" w:hAnsi="Courier New"/>
          <w:sz w:val="20"/>
          <w:szCs w:val="20"/>
        </w:rPr>
        <w:t xml:space="preserve">                     parse_dates=True)</w:t>
      </w:r>
    </w:p>
    <w:p>
      <w:pPr>
        <w:keepNext/>
        <w:keepLines/>
        <w:shd w:fill="F2F2F2" w:color="auto" w:val="clear"/>
        <w:spacing w:after="0" w:line="240"/>
        <w:ind w:left="120" w:right="120"/>
      </w:pPr>
      <w:r>
        <w:rPr>
          <w:rFonts w:ascii="Courier New" w:cs="Courier New" w:eastAsia="Courier New" w:hAnsi="Courier New"/>
          <w:sz w:val="20"/>
          <w:szCs w:val="20"/>
        </w:rPr>
        <w:t xml:space="preserve">    df = df[~df.index.astype(str).str.contains(</w:t>
      </w:r>
    </w:p>
    <w:p>
      <w:pPr>
        <w:keepNext/>
        <w:keepLines/>
        <w:shd w:fill="F2F2F2" w:color="auto" w:val="clear"/>
        <w:spacing w:after="0" w:line="240"/>
        <w:ind w:left="120" w:right="120"/>
      </w:pPr>
      <w:r>
        <w:rPr>
          <w:rFonts w:ascii="Courier New" w:cs="Courier New" w:eastAsia="Courier New" w:hAnsi="Courier New"/>
          <w:sz w:val="20"/>
          <w:szCs w:val="20"/>
        </w:rPr>
        <w:t xml:space="preserve">        "Ticker|Price|Date", na=False)]</w:t>
      </w:r>
    </w:p>
    <w:p>
      <w:pPr>
        <w:keepNext/>
        <w:keepLines/>
        <w:shd w:fill="F2F2F2" w:color="auto" w:val="clear"/>
        <w:spacing w:after="0" w:line="240"/>
        <w:ind w:left="120" w:right="120"/>
      </w:pPr>
      <w:r>
        <w:rPr>
          <w:rFonts w:ascii="Courier New" w:cs="Courier New" w:eastAsia="Courier New" w:hAnsi="Courier New"/>
          <w:sz w:val="20"/>
          <w:szCs w:val="20"/>
        </w:rPr>
        <w:t xml:space="preserve">    for col in ["Open","High","Low",</w:t>
      </w:r>
    </w:p>
    <w:p>
      <w:pPr>
        <w:keepNext/>
        <w:keepLines/>
        <w:shd w:fill="F2F2F2" w:color="auto" w:val="clear"/>
        <w:spacing w:after="0" w:line="240"/>
        <w:ind w:left="120" w:right="120"/>
      </w:pPr>
      <w:r>
        <w:rPr>
          <w:rFonts w:ascii="Courier New" w:cs="Courier New" w:eastAsia="Courier New" w:hAnsi="Courier New"/>
          <w:sz w:val="20"/>
          <w:szCs w:val="20"/>
        </w:rPr>
        <w:t xml:space="preserve">                "Close","Volume"]:</w:t>
      </w:r>
    </w:p>
    <w:p>
      <w:pPr>
        <w:keepNext/>
        <w:keepLines/>
        <w:shd w:fill="F2F2F2" w:color="auto" w:val="clear"/>
        <w:spacing w:after="0" w:line="240"/>
        <w:ind w:left="120" w:right="120"/>
      </w:pPr>
      <w:r>
        <w:rPr>
          <w:rFonts w:ascii="Courier New" w:cs="Courier New" w:eastAsia="Courier New" w:hAnsi="Courier New"/>
          <w:sz w:val="20"/>
          <w:szCs w:val="20"/>
        </w:rPr>
        <w:t xml:space="preserve">        if col in df.columns:</w:t>
      </w:r>
    </w:p>
    <w:p>
      <w:pPr>
        <w:keepNext/>
        <w:keepLines/>
        <w:shd w:fill="F2F2F2" w:color="auto" w:val="clear"/>
        <w:spacing w:after="0" w:line="240"/>
        <w:ind w:left="120" w:right="120"/>
      </w:pPr>
      <w:r>
        <w:rPr>
          <w:rFonts w:ascii="Courier New" w:cs="Courier New" w:eastAsia="Courier New" w:hAnsi="Courier New"/>
          <w:sz w:val="20"/>
          <w:szCs w:val="20"/>
        </w:rPr>
        <w:t xml:space="preserve">            df[col] = pd.to_numeric(</w:t>
      </w:r>
    </w:p>
    <w:p>
      <w:pPr>
        <w:keepNext/>
        <w:keepLines/>
        <w:shd w:fill="F2F2F2" w:color="auto" w:val="clear"/>
        <w:spacing w:after="0" w:line="240"/>
        <w:ind w:left="120" w:right="120"/>
      </w:pPr>
      <w:r>
        <w:rPr>
          <w:rFonts w:ascii="Courier New" w:cs="Courier New" w:eastAsia="Courier New" w:hAnsi="Courier New"/>
          <w:sz w:val="20"/>
          <w:szCs w:val="20"/>
        </w:rPr>
        <w:t xml:space="preserve">                df[col], errors="coerce")</w:t>
      </w:r>
    </w:p>
    <w:p>
      <w:pPr>
        <w:keepNext/>
        <w:keepLines/>
        <w:shd w:fill="F2F2F2" w:color="auto" w:val="clear"/>
        <w:spacing w:after="0" w:line="240"/>
        <w:ind w:left="120" w:right="120"/>
      </w:pPr>
      <w:r>
        <w:rPr>
          <w:rFonts w:ascii="Courier New" w:cs="Courier New" w:eastAsia="Courier New" w:hAnsi="Courier New"/>
          <w:sz w:val="20"/>
          <w:szCs w:val="20"/>
        </w:rPr>
        <w:t xml:space="preserve">    df.index  = pd.to_datetime(</w:t>
      </w:r>
    </w:p>
    <w:p>
      <w:pPr>
        <w:keepNext/>
        <w:keepLines/>
        <w:shd w:fill="F2F2F2" w:color="auto" w:val="clear"/>
        <w:spacing w:after="0" w:line="240"/>
        <w:ind w:left="120" w:right="120"/>
      </w:pPr>
      <w:r>
        <w:rPr>
          <w:rFonts w:ascii="Courier New" w:cs="Courier New" w:eastAsia="Courier New" w:hAnsi="Courier New"/>
          <w:sz w:val="20"/>
          <w:szCs w:val="20"/>
        </w:rPr>
        <w:t xml:space="preserve">        df.index, errors="coerce")</w:t>
      </w:r>
    </w:p>
    <w:p>
      <w:pPr>
        <w:keepNext/>
        <w:keepLines/>
        <w:shd w:fill="F2F2F2" w:color="auto" w:val="clear"/>
        <w:spacing w:after="0" w:line="240"/>
        <w:ind w:left="120" w:right="120"/>
      </w:pPr>
      <w:r>
        <w:rPr>
          <w:rFonts w:ascii="Courier New" w:cs="Courier New" w:eastAsia="Courier New" w:hAnsi="Courier New"/>
          <w:sz w:val="20"/>
          <w:szCs w:val="20"/>
        </w:rPr>
        <w:t xml:space="preserve">    df        = df[df.index.notna()]</w:t>
      </w:r>
    </w:p>
    <w:p>
      <w:pPr>
        <w:keepNext/>
        <w:keepLines/>
        <w:shd w:fill="F2F2F2" w:color="auto" w:val="clear"/>
        <w:spacing w:after="0" w:line="240"/>
        <w:ind w:left="120" w:right="120"/>
      </w:pPr>
      <w:r>
        <w:rPr>
          <w:rFonts w:ascii="Courier New" w:cs="Courier New" w:eastAsia="Courier New" w:hAnsi="Courier New"/>
          <w:sz w:val="20"/>
          <w:szCs w:val="20"/>
        </w:rPr>
        <w:t xml:space="preserve">    df        = df.dropna(subset=["Close"])</w:t>
      </w:r>
    </w:p>
    <w:p>
      <w:pPr>
        <w:keepNext/>
        <w:keepLines/>
        <w:shd w:fill="F2F2F2" w:color="auto" w:val="clear"/>
        <w:spacing w:after="0" w:line="240"/>
        <w:ind w:left="120" w:right="120"/>
      </w:pPr>
      <w:r>
        <w:rPr>
          <w:rFonts w:ascii="Courier New" w:cs="Courier New" w:eastAsia="Courier New" w:hAnsi="Courier New"/>
          <w:sz w:val="20"/>
          <w:szCs w:val="20"/>
        </w:rPr>
        <w:t xml:space="preserve">    df["Stock"] = stock_name</w:t>
      </w:r>
    </w:p>
    <w:p>
      <w:pPr>
        <w:keepNext w:val="false"/>
        <w:keepLines/>
        <w:shd w:fill="F2F2F2" w:color="auto" w:val="clear"/>
        <w:spacing w:after="0" w:line="240"/>
        <w:ind w:left="120" w:right="120"/>
      </w:pPr>
      <w:r>
        <w:rPr>
          <w:rFonts w:ascii="Courier New" w:cs="Courier New" w:eastAsia="Courier New" w:hAnsi="Courier New"/>
          <w:sz w:val="20"/>
          <w:szCs w:val="20"/>
        </w:rPr>
        <w:t xml:space="preserve">    return df</w:t>
      </w:r>
    </w:p>
    <w:p>
      <w:pPr>
        <w:spacing w:after="160" w:line="240"/>
      </w:pPr>
    </w:p>
    <w:p>
      <w:pPr>
        <w:pStyle w:val="Heading2"/>
      </w:pPr>
      <w:r>
        <w:rPr>
          <w:rFonts w:ascii="Times New Roman" w:cs="Times New Roman" w:eastAsia="Times New Roman" w:hAnsi="Times New Roman"/>
          <w:b/>
          <w:bCs/>
          <w:sz w:val="24"/>
          <w:szCs w:val="24"/>
        </w:rPr>
        <w:t xml:space="preserve">Appendix C — RSI Calculation (Phase 5)</w:t>
      </w:r>
    </w:p>
    <w:p>
      <w:pPr>
        <w:keepNext/>
        <w:keepLines/>
        <w:shd w:fill="F2F2F2" w:color="auto" w:val="clear"/>
        <w:spacing w:after="0" w:line="240"/>
        <w:ind w:left="120" w:right="120"/>
      </w:pPr>
      <w:r>
        <w:rPr>
          <w:rFonts w:ascii="Courier New" w:cs="Courier New" w:eastAsia="Courier New" w:hAnsi="Courier New"/>
          <w:sz w:val="20"/>
          <w:szCs w:val="20"/>
        </w:rPr>
        <w:t xml:space="preserve">def calculate_RSI(df, period=14):</w:t>
      </w:r>
    </w:p>
    <w:p>
      <w:pPr>
        <w:keepNext/>
        <w:keepLines/>
        <w:shd w:fill="F2F2F2" w:color="auto" w:val="clear"/>
        <w:spacing w:after="0" w:line="240"/>
        <w:ind w:left="120" w:right="120"/>
      </w:pPr>
      <w:r>
        <w:rPr>
          <w:rFonts w:ascii="Courier New" w:cs="Courier New" w:eastAsia="Courier New" w:hAnsi="Courier New"/>
          <w:sz w:val="20"/>
          <w:szCs w:val="20"/>
        </w:rPr>
        <w:t xml:space="preserve">    delta    = df["Close"].diff()</w:t>
      </w:r>
    </w:p>
    <w:p>
      <w:pPr>
        <w:keepNext/>
        <w:keepLines/>
        <w:shd w:fill="F2F2F2" w:color="auto" w:val="clear"/>
        <w:spacing w:after="0" w:line="240"/>
        <w:ind w:left="120" w:right="120"/>
      </w:pPr>
      <w:r>
        <w:rPr>
          <w:rFonts w:ascii="Courier New" w:cs="Courier New" w:eastAsia="Courier New" w:hAnsi="Courier New"/>
          <w:sz w:val="20"/>
          <w:szCs w:val="20"/>
        </w:rPr>
        <w:t xml:space="preserve">    gain     = delta.where(delta &gt; 0, 0)</w:t>
      </w:r>
    </w:p>
    <w:p>
      <w:pPr>
        <w:keepNext/>
        <w:keepLines/>
        <w:shd w:fill="F2F2F2" w:color="auto" w:val="clear"/>
        <w:spacing w:after="0" w:line="240"/>
        <w:ind w:left="120" w:right="120"/>
      </w:pPr>
      <w:r>
        <w:rPr>
          <w:rFonts w:ascii="Courier New" w:cs="Courier New" w:eastAsia="Courier New" w:hAnsi="Courier New"/>
          <w:sz w:val="20"/>
          <w:szCs w:val="20"/>
        </w:rPr>
        <w:t xml:space="preserve">    loss     = -delta.where(delta &lt; 0, 0)</w:t>
      </w:r>
    </w:p>
    <w:p>
      <w:pPr>
        <w:keepNext/>
        <w:keepLines/>
        <w:shd w:fill="F2F2F2" w:color="auto" w:val="clear"/>
        <w:spacing w:after="0" w:line="240"/>
        <w:ind w:left="120" w:right="120"/>
      </w:pPr>
      <w:r>
        <w:rPr>
          <w:rFonts w:ascii="Courier New" w:cs="Courier New" w:eastAsia="Courier New" w:hAnsi="Courier New"/>
          <w:sz w:val="20"/>
          <w:szCs w:val="20"/>
        </w:rPr>
        <w:t xml:space="preserve">    avg_gain = gain.rolling(period).mean()</w:t>
      </w:r>
    </w:p>
    <w:p>
      <w:pPr>
        <w:keepNext/>
        <w:keepLines/>
        <w:shd w:fill="F2F2F2" w:color="auto" w:val="clear"/>
        <w:spacing w:after="0" w:line="240"/>
        <w:ind w:left="120" w:right="120"/>
      </w:pPr>
      <w:r>
        <w:rPr>
          <w:rFonts w:ascii="Courier New" w:cs="Courier New" w:eastAsia="Courier New" w:hAnsi="Courier New"/>
          <w:sz w:val="20"/>
          <w:szCs w:val="20"/>
        </w:rPr>
        <w:t xml:space="preserve">    avg_loss = loss.rolling(period).mean()</w:t>
      </w:r>
    </w:p>
    <w:p>
      <w:pPr>
        <w:keepNext/>
        <w:keepLines/>
        <w:shd w:fill="F2F2F2" w:color="auto" w:val="clear"/>
        <w:spacing w:after="0" w:line="240"/>
        <w:ind w:left="120" w:right="120"/>
      </w:pPr>
      <w:r>
        <w:rPr>
          <w:rFonts w:ascii="Courier New" w:cs="Courier New" w:eastAsia="Courier New" w:hAnsi="Courier New"/>
          <w:sz w:val="20"/>
          <w:szCs w:val="20"/>
        </w:rPr>
        <w:t xml:space="preserve">    RS       = avg_gain / avg_loss</w:t>
      </w:r>
    </w:p>
    <w:p>
      <w:pPr>
        <w:keepNext/>
        <w:keepLines/>
        <w:shd w:fill="F2F2F2" w:color="auto" w:val="clear"/>
        <w:spacing w:after="0" w:line="240"/>
        <w:ind w:left="120" w:right="120"/>
      </w:pPr>
      <w:r>
        <w:rPr>
          <w:rFonts w:ascii="Courier New" w:cs="Courier New" w:eastAsia="Courier New" w:hAnsi="Courier New"/>
          <w:sz w:val="20"/>
          <w:szCs w:val="20"/>
        </w:rPr>
        <w:t xml:space="preserve">    df["RSI"] = 100 - (100 / (1 + RS))</w:t>
      </w:r>
    </w:p>
    <w:p>
      <w:pPr>
        <w:keepNext w:val="false"/>
        <w:keepLines/>
        <w:shd w:fill="F2F2F2" w:color="auto" w:val="clear"/>
        <w:spacing w:after="0" w:line="240"/>
        <w:ind w:left="120" w:right="120"/>
      </w:pPr>
      <w:r>
        <w:rPr>
          <w:rFonts w:ascii="Courier New" w:cs="Courier New" w:eastAsia="Courier New" w:hAnsi="Courier New"/>
          <w:sz w:val="20"/>
          <w:szCs w:val="20"/>
        </w:rPr>
        <w:t xml:space="preserve">    return df</w:t>
      </w:r>
    </w:p>
    <w:p>
      <w:pPr>
        <w:spacing w:after="160" w:line="240"/>
      </w:pPr>
    </w:p>
    <w:p>
      <w:pPr>
        <w:pStyle w:val="Heading2"/>
      </w:pPr>
      <w:r>
        <w:rPr>
          <w:rFonts w:ascii="Times New Roman" w:cs="Times New Roman" w:eastAsia="Times New Roman" w:hAnsi="Times New Roman"/>
          <w:b/>
          <w:bCs/>
          <w:sz w:val="24"/>
          <w:szCs w:val="24"/>
        </w:rPr>
        <w:t xml:space="preserve">Appendix D — MACD Calculation (Phase 5)</w:t>
      </w:r>
    </w:p>
    <w:p>
      <w:pPr>
        <w:keepNext/>
        <w:keepLines/>
        <w:shd w:fill="F2F2F2" w:color="auto" w:val="clear"/>
        <w:spacing w:after="0" w:line="240"/>
        <w:ind w:left="120" w:right="120"/>
      </w:pPr>
      <w:r>
        <w:rPr>
          <w:rFonts w:ascii="Courier New" w:cs="Courier New" w:eastAsia="Courier New" w:hAnsi="Courier New"/>
          <w:sz w:val="20"/>
          <w:szCs w:val="20"/>
        </w:rPr>
        <w:t xml:space="preserve">def calculate_MACD(df):</w:t>
      </w:r>
    </w:p>
    <w:p>
      <w:pPr>
        <w:keepNext/>
        <w:keepLines/>
        <w:shd w:fill="F2F2F2" w:color="auto" w:val="clear"/>
        <w:spacing w:after="0" w:line="240"/>
        <w:ind w:left="120" w:right="120"/>
      </w:pPr>
      <w:r>
        <w:rPr>
          <w:rFonts w:ascii="Courier New" w:cs="Courier New" w:eastAsia="Courier New" w:hAnsi="Courier New"/>
          <w:sz w:val="20"/>
          <w:szCs w:val="20"/>
        </w:rPr>
        <w:t xml:space="preserve">    EMA12             = df["Close"].ewm(</w:t>
      </w:r>
    </w:p>
    <w:p>
      <w:pPr>
        <w:keepNext/>
        <w:keepLines/>
        <w:shd w:fill="F2F2F2" w:color="auto" w:val="clear"/>
        <w:spacing w:after="0" w:line="240"/>
        <w:ind w:left="120" w:right="120"/>
      </w:pPr>
      <w:r>
        <w:rPr>
          <w:rFonts w:ascii="Courier New" w:cs="Courier New" w:eastAsia="Courier New" w:hAnsi="Courier New"/>
          <w:sz w:val="20"/>
          <w:szCs w:val="20"/>
        </w:rPr>
        <w:t xml:space="preserve">                        span=12, adjust=False).mean()</w:t>
      </w:r>
    </w:p>
    <w:p>
      <w:pPr>
        <w:keepNext/>
        <w:keepLines/>
        <w:shd w:fill="F2F2F2" w:color="auto" w:val="clear"/>
        <w:spacing w:after="0" w:line="240"/>
        <w:ind w:left="120" w:right="120"/>
      </w:pPr>
      <w:r>
        <w:rPr>
          <w:rFonts w:ascii="Courier New" w:cs="Courier New" w:eastAsia="Courier New" w:hAnsi="Courier New"/>
          <w:sz w:val="20"/>
          <w:szCs w:val="20"/>
        </w:rPr>
        <w:t xml:space="preserve">    EMA26             = df["Close"].ewm(</w:t>
      </w:r>
    </w:p>
    <w:p>
      <w:pPr>
        <w:keepNext/>
        <w:keepLines/>
        <w:shd w:fill="F2F2F2" w:color="auto" w:val="clear"/>
        <w:spacing w:after="0" w:line="240"/>
        <w:ind w:left="120" w:right="120"/>
      </w:pPr>
      <w:r>
        <w:rPr>
          <w:rFonts w:ascii="Courier New" w:cs="Courier New" w:eastAsia="Courier New" w:hAnsi="Courier New"/>
          <w:sz w:val="20"/>
          <w:szCs w:val="20"/>
        </w:rPr>
        <w:t xml:space="preserve">                        span=26, adjust=False).mean()</w:t>
      </w:r>
    </w:p>
    <w:p>
      <w:pPr>
        <w:keepNext/>
        <w:keepLines/>
        <w:shd w:fill="F2F2F2" w:color="auto" w:val="clear"/>
        <w:spacing w:after="0" w:line="240"/>
        <w:ind w:left="120" w:right="120"/>
      </w:pPr>
      <w:r>
        <w:rPr>
          <w:rFonts w:ascii="Courier New" w:cs="Courier New" w:eastAsia="Courier New" w:hAnsi="Courier New"/>
          <w:sz w:val="20"/>
          <w:szCs w:val="20"/>
        </w:rPr>
        <w:t xml:space="preserve">    df["MACD"]        = EMA12 - EMA26</w:t>
      </w:r>
    </w:p>
    <w:p>
      <w:pPr>
        <w:keepNext/>
        <w:keepLines/>
        <w:shd w:fill="F2F2F2" w:color="auto" w:val="clear"/>
        <w:spacing w:after="0" w:line="240"/>
        <w:ind w:left="120" w:right="120"/>
      </w:pPr>
      <w:r>
        <w:rPr>
          <w:rFonts w:ascii="Courier New" w:cs="Courier New" w:eastAsia="Courier New" w:hAnsi="Courier New"/>
          <w:sz w:val="20"/>
          <w:szCs w:val="20"/>
        </w:rPr>
        <w:t xml:space="preserve">    df["MACD_Signal"] = df["MACD"].ewm(</w:t>
      </w:r>
    </w:p>
    <w:p>
      <w:pPr>
        <w:keepNext/>
        <w:keepLines/>
        <w:shd w:fill="F2F2F2" w:color="auto" w:val="clear"/>
        <w:spacing w:after="0" w:line="240"/>
        <w:ind w:left="120" w:right="120"/>
      </w:pPr>
      <w:r>
        <w:rPr>
          <w:rFonts w:ascii="Courier New" w:cs="Courier New" w:eastAsia="Courier New" w:hAnsi="Courier New"/>
          <w:sz w:val="20"/>
          <w:szCs w:val="20"/>
        </w:rPr>
        <w:t xml:space="preserve">                        span=9, adjust=False).mean()</w:t>
      </w:r>
    </w:p>
    <w:p>
      <w:pPr>
        <w:keepNext/>
        <w:keepLines/>
        <w:shd w:fill="F2F2F2" w:color="auto" w:val="clear"/>
        <w:spacing w:after="0" w:line="240"/>
        <w:ind w:left="120" w:right="120"/>
      </w:pPr>
      <w:r>
        <w:rPr>
          <w:rFonts w:ascii="Courier New" w:cs="Courier New" w:eastAsia="Courier New" w:hAnsi="Courier New"/>
          <w:sz w:val="20"/>
          <w:szCs w:val="20"/>
        </w:rPr>
        <w:t xml:space="preserve">    df["MACD_Hist"]   = (df["MACD"]</w:t>
      </w:r>
    </w:p>
    <w:p>
      <w:pPr>
        <w:keepNext/>
        <w:keepLines/>
        <w:shd w:fill="F2F2F2" w:color="auto" w:val="clear"/>
        <w:spacing w:after="0" w:line="240"/>
        <w:ind w:left="120" w:right="120"/>
      </w:pPr>
      <w:r>
        <w:rPr>
          <w:rFonts w:ascii="Courier New" w:cs="Courier New" w:eastAsia="Courier New" w:hAnsi="Courier New"/>
          <w:sz w:val="20"/>
          <w:szCs w:val="20"/>
        </w:rPr>
        <w:t xml:space="preserve">                         - df["MACD_Signal"])</w:t>
      </w:r>
    </w:p>
    <w:p>
      <w:pPr>
        <w:keepNext w:val="false"/>
        <w:keepLines/>
        <w:shd w:fill="F2F2F2" w:color="auto" w:val="clear"/>
        <w:spacing w:after="0" w:line="240"/>
        <w:ind w:left="120" w:right="120"/>
      </w:pPr>
      <w:r>
        <w:rPr>
          <w:rFonts w:ascii="Courier New" w:cs="Courier New" w:eastAsia="Courier New" w:hAnsi="Courier New"/>
          <w:sz w:val="20"/>
          <w:szCs w:val="20"/>
        </w:rPr>
        <w:t xml:space="preserve">    return df</w:t>
      </w:r>
    </w:p>
    <w:p>
      <w:pPr>
        <w:spacing w:after="160" w:line="240"/>
      </w:pPr>
    </w:p>
    <w:p>
      <w:pPr>
        <w:pStyle w:val="Heading2"/>
      </w:pPr>
      <w:r>
        <w:rPr>
          <w:rFonts w:ascii="Times New Roman" w:cs="Times New Roman" w:eastAsia="Times New Roman" w:hAnsi="Times New Roman"/>
          <w:b/>
          <w:bCs/>
          <w:sz w:val="24"/>
          <w:szCs w:val="24"/>
        </w:rPr>
        <w:t xml:space="preserve">Appendix E — Gradient Boosting Training (Phase 6)</w:t>
      </w:r>
    </w:p>
    <w:p>
      <w:pPr>
        <w:keepNext/>
        <w:keepLines/>
        <w:shd w:fill="F2F2F2" w:color="auto" w:val="clear"/>
        <w:spacing w:after="0" w:line="240"/>
        <w:ind w:left="120" w:right="120"/>
      </w:pPr>
      <w:r>
        <w:rPr>
          <w:rFonts w:ascii="Courier New" w:cs="Courier New" w:eastAsia="Courier New" w:hAnsi="Courier New"/>
          <w:sz w:val="20"/>
          <w:szCs w:val="20"/>
        </w:rPr>
        <w:t xml:space="preserve">from sklearn.ensemble import \</w:t>
      </w:r>
    </w:p>
    <w:p>
      <w:pPr>
        <w:keepNext/>
        <w:keepLines/>
        <w:shd w:fill="F2F2F2" w:color="auto" w:val="clear"/>
        <w:spacing w:after="0" w:line="240"/>
        <w:ind w:left="120" w:right="120"/>
      </w:pPr>
      <w:r>
        <w:rPr>
          <w:rFonts w:ascii="Courier New" w:cs="Courier New" w:eastAsia="Courier New" w:hAnsi="Courier New"/>
          <w:sz w:val="20"/>
          <w:szCs w:val="20"/>
        </w:rPr>
        <w:t xml:space="preserve">    GradientBoostingClassifier</w:t>
      </w:r>
    </w:p>
    <w:p>
      <w:pPr>
        <w:keepNext/>
        <w:keepLines/>
        <w:shd w:fill="F2F2F2" w:color="auto" w:val="clear"/>
        <w:spacing w:after="0" w:line="240"/>
        <w:ind w:left="120" w:right="120"/>
      </w:pPr>
      <w:r>
        <w:rPr>
          <w:rFonts w:ascii="Courier New" w:cs="Courier New" w:eastAsia="Courier New" w:hAnsi="Courier New"/>
          <w:sz w:val="20"/>
          <w:szCs w:val="20"/>
        </w:rPr>
        <w:t xml:space="preserve">from sklearn.utils.class_weight import \</w:t>
      </w:r>
    </w:p>
    <w:p>
      <w:pPr>
        <w:keepNext/>
        <w:keepLines/>
        <w:shd w:fill="F2F2F2" w:color="auto" w:val="clear"/>
        <w:spacing w:after="0" w:line="240"/>
        <w:ind w:left="120" w:right="120"/>
      </w:pPr>
      <w:r>
        <w:rPr>
          <w:rFonts w:ascii="Courier New" w:cs="Courier New" w:eastAsia="Courier New" w:hAnsi="Courier New"/>
          <w:sz w:val="20"/>
          <w:szCs w:val="20"/>
        </w:rPr>
        <w:t xml:space="preserve">    compute_class_weight</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weights = compute_class_weight(</w:t>
      </w:r>
    </w:p>
    <w:p>
      <w:pPr>
        <w:keepNext/>
        <w:keepLines/>
        <w:shd w:fill="F2F2F2" w:color="auto" w:val="clear"/>
        <w:spacing w:after="0" w:line="240"/>
        <w:ind w:left="120" w:right="120"/>
      </w:pPr>
      <w:r>
        <w:rPr>
          <w:rFonts w:ascii="Courier New" w:cs="Courier New" w:eastAsia="Courier New" w:hAnsi="Courier New"/>
          <w:sz w:val="20"/>
          <w:szCs w:val="20"/>
        </w:rPr>
        <w:t xml:space="preserve">    class_weight="balanced",</w:t>
      </w:r>
    </w:p>
    <w:p>
      <w:pPr>
        <w:keepNext/>
        <w:keepLines/>
        <w:shd w:fill="F2F2F2" w:color="auto" w:val="clear"/>
        <w:spacing w:after="0" w:line="240"/>
        <w:ind w:left="120" w:right="120"/>
      </w:pPr>
      <w:r>
        <w:rPr>
          <w:rFonts w:ascii="Courier New" w:cs="Courier New" w:eastAsia="Courier New" w:hAnsi="Courier New"/>
          <w:sz w:val="20"/>
          <w:szCs w:val="20"/>
        </w:rPr>
        <w:t xml:space="preserve">    classes=np.array([0, 1]),</w:t>
      </w:r>
    </w:p>
    <w:p>
      <w:pPr>
        <w:keepNext/>
        <w:keepLines/>
        <w:shd w:fill="F2F2F2" w:color="auto" w:val="clear"/>
        <w:spacing w:after="0" w:line="240"/>
        <w:ind w:left="120" w:right="120"/>
      </w:pPr>
      <w:r>
        <w:rPr>
          <w:rFonts w:ascii="Courier New" w:cs="Courier New" w:eastAsia="Courier New" w:hAnsi="Courier New"/>
          <w:sz w:val="20"/>
          <w:szCs w:val="20"/>
        </w:rPr>
        <w:t xml:space="preserve">    y=y_train)</w:t>
      </w:r>
    </w:p>
    <w:p>
      <w:pPr>
        <w:keepNext/>
        <w:keepLines/>
        <w:shd w:fill="F2F2F2" w:color="auto" w:val="clear"/>
        <w:spacing w:after="0" w:line="240"/>
        <w:ind w:left="120" w:right="120"/>
      </w:pPr>
      <w:r>
        <w:rPr>
          <w:rFonts w:ascii="Courier New" w:cs="Courier New" w:eastAsia="Courier New" w:hAnsi="Courier New"/>
          <w:sz w:val="20"/>
          <w:szCs w:val="20"/>
        </w:rPr>
        <w:t xml:space="preserve">cw = {0: weights[0], 1: weights[1]}</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model = GradientBoostingClassifier(</w:t>
      </w:r>
    </w:p>
    <w:p>
      <w:pPr>
        <w:keepNext/>
        <w:keepLines/>
        <w:shd w:fill="F2F2F2" w:color="auto" w:val="clear"/>
        <w:spacing w:after="0" w:line="240"/>
        <w:ind w:left="120" w:right="120"/>
      </w:pPr>
      <w:r>
        <w:rPr>
          <w:rFonts w:ascii="Courier New" w:cs="Courier New" w:eastAsia="Courier New" w:hAnsi="Courier New"/>
          <w:sz w:val="20"/>
          <w:szCs w:val="20"/>
        </w:rPr>
        <w:t xml:space="preserve">    n_estimators=300,</w:t>
      </w:r>
    </w:p>
    <w:p>
      <w:pPr>
        <w:keepNext/>
        <w:keepLines/>
        <w:shd w:fill="F2F2F2" w:color="auto" w:val="clear"/>
        <w:spacing w:after="0" w:line="240"/>
        <w:ind w:left="120" w:right="120"/>
      </w:pPr>
      <w:r>
        <w:rPr>
          <w:rFonts w:ascii="Courier New" w:cs="Courier New" w:eastAsia="Courier New" w:hAnsi="Courier New"/>
          <w:sz w:val="20"/>
          <w:szCs w:val="20"/>
        </w:rPr>
        <w:t xml:space="preserve">    max_depth=5,</w:t>
      </w:r>
    </w:p>
    <w:p>
      <w:pPr>
        <w:keepNext/>
        <w:keepLines/>
        <w:shd w:fill="F2F2F2" w:color="auto" w:val="clear"/>
        <w:spacing w:after="0" w:line="240"/>
        <w:ind w:left="120" w:right="120"/>
      </w:pPr>
      <w:r>
        <w:rPr>
          <w:rFonts w:ascii="Courier New" w:cs="Courier New" w:eastAsia="Courier New" w:hAnsi="Courier New"/>
          <w:sz w:val="20"/>
          <w:szCs w:val="20"/>
        </w:rPr>
        <w:t xml:space="preserve">    learning_rate=0.05,</w:t>
      </w:r>
    </w:p>
    <w:p>
      <w:pPr>
        <w:keepNext/>
        <w:keepLines/>
        <w:shd w:fill="F2F2F2" w:color="auto" w:val="clear"/>
        <w:spacing w:after="0" w:line="240"/>
        <w:ind w:left="120" w:right="120"/>
      </w:pPr>
      <w:r>
        <w:rPr>
          <w:rFonts w:ascii="Courier New" w:cs="Courier New" w:eastAsia="Courier New" w:hAnsi="Courier New"/>
          <w:sz w:val="20"/>
          <w:szCs w:val="20"/>
        </w:rPr>
        <w:t xml:space="preserve">    subsample=0.8,</w:t>
      </w:r>
    </w:p>
    <w:p>
      <w:pPr>
        <w:keepNext/>
        <w:keepLines/>
        <w:shd w:fill="F2F2F2" w:color="auto" w:val="clear"/>
        <w:spacing w:after="0" w:line="240"/>
        <w:ind w:left="120" w:right="120"/>
      </w:pPr>
      <w:r>
        <w:rPr>
          <w:rFonts w:ascii="Courier New" w:cs="Courier New" w:eastAsia="Courier New" w:hAnsi="Courier New"/>
          <w:sz w:val="20"/>
          <w:szCs w:val="20"/>
        </w:rPr>
        <w:t xml:space="preserve">    random_state=42</w:t>
      </w:r>
    </w:p>
    <w:p>
      <w:pPr>
        <w:keepNext/>
        <w:keepLines/>
        <w:shd w:fill="F2F2F2" w:color="auto" w:val="clear"/>
        <w:spacing w:after="0" w:line="240"/>
        <w:ind w:left="120" w:right="120"/>
      </w:pPr>
      <w:r>
        <w:rPr>
          <w:rFonts w:ascii="Courier New" w:cs="Courier New" w:eastAsia="Courier New" w:hAnsi="Courier New"/>
          <w:sz w:val="20"/>
          <w:szCs w:val="20"/>
        </w:rPr>
        <w:t xml:space="preserve">)</w:t>
      </w:r>
    </w:p>
    <w:p>
      <w:pPr>
        <w:keepNext w:val="false"/>
        <w:keepLines/>
        <w:shd w:fill="F2F2F2" w:color="auto" w:val="clear"/>
        <w:spacing w:after="0" w:line="240"/>
        <w:ind w:left="120" w:right="120"/>
      </w:pPr>
      <w:r>
        <w:rPr>
          <w:rFonts w:ascii="Courier New" w:cs="Courier New" w:eastAsia="Courier New" w:hAnsi="Courier New"/>
          <w:sz w:val="20"/>
          <w:szCs w:val="20"/>
        </w:rPr>
        <w:t xml:space="preserve">model.fit(X_train, y_train)</w:t>
      </w:r>
    </w:p>
    <w:p>
      <w:pPr>
        <w:spacing w:after="160" w:line="240"/>
      </w:pPr>
    </w:p>
    <w:p>
      <w:pPr>
        <w:pStyle w:val="Heading2"/>
      </w:pPr>
      <w:r>
        <w:rPr>
          <w:rFonts w:ascii="Times New Roman" w:cs="Times New Roman" w:eastAsia="Times New Roman" w:hAnsi="Times New Roman"/>
          <w:b/>
          <w:bCs/>
          <w:sz w:val="24"/>
          <w:szCs w:val="24"/>
        </w:rPr>
        <w:t xml:space="preserve">Appendix F — SHAP Explanation (Phase 7)</w:t>
      </w:r>
    </w:p>
    <w:p>
      <w:pPr>
        <w:keepNext/>
        <w:keepLines/>
        <w:shd w:fill="F2F2F2" w:color="auto" w:val="clear"/>
        <w:spacing w:after="0" w:line="240"/>
        <w:ind w:left="120" w:right="120"/>
      </w:pPr>
      <w:r>
        <w:rPr>
          <w:rFonts w:ascii="Courier New" w:cs="Courier New" w:eastAsia="Courier New" w:hAnsi="Courier New"/>
          <w:sz w:val="20"/>
          <w:szCs w:val="20"/>
        </w:rPr>
        <w:t xml:space="preserve">import shap</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explainer   = shap.TreeExplainer(model)</w:t>
      </w:r>
    </w:p>
    <w:p>
      <w:pPr>
        <w:keepNext/>
        <w:keepLines/>
        <w:shd w:fill="F2F2F2" w:color="auto" w:val="clear"/>
        <w:spacing w:after="0" w:line="240"/>
        <w:ind w:left="120" w:right="120"/>
      </w:pPr>
      <w:r>
        <w:rPr>
          <w:rFonts w:ascii="Courier New" w:cs="Courier New" w:eastAsia="Courier New" w:hAnsi="Courier New"/>
          <w:sz w:val="20"/>
          <w:szCs w:val="20"/>
        </w:rPr>
        <w:t xml:space="preserve">shap_values = explainer.shap_values(X_test)</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mean_shap = pd.Series(</w:t>
      </w:r>
    </w:p>
    <w:p>
      <w:pPr>
        <w:keepNext/>
        <w:keepLines/>
        <w:shd w:fill="F2F2F2" w:color="auto" w:val="clear"/>
        <w:spacing w:after="0" w:line="240"/>
        <w:ind w:left="120" w:right="120"/>
      </w:pPr>
      <w:r>
        <w:rPr>
          <w:rFonts w:ascii="Courier New" w:cs="Courier New" w:eastAsia="Courier New" w:hAnsi="Courier New"/>
          <w:sz w:val="20"/>
          <w:szCs w:val="20"/>
        </w:rPr>
        <w:t xml:space="preserve">    np.abs(shap_values).mean(axis=0),</w:t>
      </w:r>
    </w:p>
    <w:p>
      <w:pPr>
        <w:keepNext/>
        <w:keepLines/>
        <w:shd w:fill="F2F2F2" w:color="auto" w:val="clear"/>
        <w:spacing w:after="0" w:line="240"/>
        <w:ind w:left="120" w:right="120"/>
      </w:pPr>
      <w:r>
        <w:rPr>
          <w:rFonts w:ascii="Courier New" w:cs="Courier New" w:eastAsia="Courier New" w:hAnsi="Courier New"/>
          <w:sz w:val="20"/>
          <w:szCs w:val="20"/>
        </w:rPr>
        <w:t xml:space="preserve">    index=FEATURE_COLS</w:t>
      </w:r>
    </w:p>
    <w:p>
      <w:pPr>
        <w:keepNext/>
        <w:keepLines/>
        <w:shd w:fill="F2F2F2" w:color="auto" w:val="clear"/>
        <w:spacing w:after="0" w:line="240"/>
        <w:ind w:left="120" w:right="120"/>
      </w:pPr>
      <w:r>
        <w:rPr>
          <w:rFonts w:ascii="Courier New" w:cs="Courier New" w:eastAsia="Courier New" w:hAnsi="Courier New"/>
          <w:sz w:val="20"/>
          <w:szCs w:val="20"/>
        </w:rPr>
        <w:t xml:space="preserve">).sort_values(ascending=False)</w:t>
      </w:r>
    </w:p>
    <w:p>
      <w:pPr>
        <w:keepNext/>
        <w:keepLines/>
        <w:shd w:fill="F2F2F2" w:color="auto" w:val="clear"/>
        <w:spacing w:after="0" w:line="240"/>
        <w:ind w:left="120" w:right="120"/>
      </w:pPr>
      <w:r>
        <w:rPr>
          <w:rFonts w:ascii="Courier New" w:cs="Courier New" w:eastAsia="Courier New" w:hAnsi="Courier New"/>
          <w:sz w:val="20"/>
          <w:szCs w:val="20"/>
        </w:rPr>
        <w:t xml:space="preserve"> </w:t>
      </w:r>
    </w:p>
    <w:p>
      <w:pPr>
        <w:keepNext/>
        <w:keepLines/>
        <w:shd w:fill="F2F2F2" w:color="auto" w:val="clear"/>
        <w:spacing w:after="0" w:line="240"/>
        <w:ind w:left="120" w:right="120"/>
      </w:pPr>
      <w:r>
        <w:rPr>
          <w:rFonts w:ascii="Courier New" w:cs="Courier New" w:eastAsia="Courier New" w:hAnsi="Courier New"/>
          <w:sz w:val="20"/>
          <w:szCs w:val="20"/>
        </w:rPr>
        <w:t xml:space="preserve">print("Top 5 Most Important Features:")</w:t>
      </w:r>
    </w:p>
    <w:p>
      <w:pPr>
        <w:keepNext w:val="false"/>
        <w:keepLines/>
        <w:shd w:fill="F2F2F2" w:color="auto" w:val="clear"/>
        <w:spacing w:after="0" w:line="240"/>
        <w:ind w:left="120" w:right="120"/>
      </w:pPr>
      <w:r>
        <w:rPr>
          <w:rFonts w:ascii="Courier New" w:cs="Courier New" w:eastAsia="Courier New" w:hAnsi="Courier New"/>
          <w:sz w:val="20"/>
          <w:szCs w:val="20"/>
        </w:rPr>
        <w:t xml:space="preserve">print(mean_shap.head(5))</w:t>
      </w:r>
    </w:p>
    <w:p>
      <w:pPr>
        <w:spacing w:after="160" w:line="240"/>
      </w:pPr>
    </w:p>
    <w:p>
      <w:pPr>
        <w:pStyle w:val="Heading2"/>
      </w:pPr>
      <w:r>
        <w:rPr>
          <w:rFonts w:ascii="Times New Roman" w:cs="Times New Roman" w:eastAsia="Times New Roman" w:hAnsi="Times New Roman"/>
          <w:b/>
          <w:bCs/>
          <w:sz w:val="24"/>
          <w:szCs w:val="24"/>
        </w:rPr>
        <w:t xml:space="preserve">Appendix G — Colab Output Screenshots (Phases 6 and 7)</w:t>
      </w:r>
    </w:p>
    <w:p>
      <w:pPr>
        <w:spacing w:after="120" w:before="0" w:line="360"/>
        <w:jc w:val="both"/>
      </w:pPr>
      <w:r>
        <w:rPr>
          <w:rFonts w:ascii="Times New Roman" w:cs="Times New Roman" w:eastAsia="Times New Roman" w:hAnsi="Times New Roman"/>
          <w:b w:val="false"/>
          <w:bCs w:val="false"/>
          <w:sz w:val="24"/>
          <w:szCs w:val="24"/>
        </w:rPr>
        <w:t xml:space="preserve">The following figures reproduce the raw Colab outputs from which the result tables in Chapters 4 and 5 were compiled.</w:t>
      </w:r>
    </w:p>
    <w:p>
      <w:pPr>
        <w:keepNext/>
        <w:spacing w:after="0" w:before="120"/>
        <w:jc w:val="center"/>
      </w:pPr>
      <w:r>
        <w:drawing>
          <wp:inline distT="0" distB="0" distL="0" distR="0">
            <wp:extent cx="4000500" cy="5067300"/>
            <wp:effectExtent t="0" r="0" b="0" l="0"/>
            <wp:docPr id="1" name="Figure A.1: Gradient Boosting Training Output — Classification Reports and Final Accuracy Summary (Phase 6)" descr="Figure A.1: Gradient Boosting Training Output — Classification Reports and Final Accuracy Summary (Phase 6)" title="Figure A.1: Gradient Boosting Training Output — Classification Reports and Final Accuracy Summary (Phas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0673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A.1: Gradient Boosting Training Output — Classification Reports and Final Accuracy Summary (Phase 6)</w:t>
      </w:r>
    </w:p>
    <w:p>
      <w:pPr>
        <w:keepNext/>
        <w:spacing w:after="0" w:before="120"/>
        <w:jc w:val="center"/>
      </w:pPr>
      <w:r>
        <w:drawing>
          <wp:inline distT="0" distB="0" distL="0" distR="0">
            <wp:extent cx="4762500" cy="2333625"/>
            <wp:effectExtent t="0" r="0" b="0" l="0"/>
            <wp:docPr id="1" name="Figure A.2: LSTM Training Output — Epochs, RMSE and MAPE (Phase 6)" descr="Figure A.2: LSTM Training Output — Epochs, RMSE and MAPE (Phase 6)" title="Figure A.2: LSTM Training Output — Epochs, RMSE and MAPE (Phas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33625"/>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A.2: LSTM Training Output — Epochs, RMSE and MAPE (Phase 6)</w:t>
      </w:r>
    </w:p>
    <w:p>
      <w:pPr>
        <w:keepNext/>
        <w:spacing w:after="0" w:before="120"/>
        <w:jc w:val="center"/>
      </w:pPr>
      <w:r>
        <w:drawing>
          <wp:inline distT="0" distB="0" distL="0" distR="0">
            <wp:extent cx="4191000" cy="2886075"/>
            <wp:effectExtent t="0" r="0" b="0" l="0"/>
            <wp:docPr id="1" name="Figure A.3: ARIMA Training Output — Train/Test Size, AIC Score and Forecast Range (Phase 7)" descr="Figure A.3: ARIMA Training Output — Train/Test Size, AIC Score and Forecast Range (Phase 7)" title="Figure A.3: ARIMA Training Output — Train/Test Size, AIC Score and Forecast Range (Phas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886075"/>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A.3: ARIMA Training Output — Train/Test Size, AIC Score and Forecast Range (Phase 7)</w:t>
      </w:r>
    </w:p>
    <w:p>
      <w:pPr>
        <w:keepNext/>
        <w:spacing w:after="0" w:before="120"/>
        <w:jc w:val="center"/>
      </w:pPr>
      <w:r>
        <w:drawing>
          <wp:inline distT="0" distB="0" distL="0" distR="0">
            <wp:extent cx="5334000" cy="2962275"/>
            <wp:effectExtent t="0" r="0" b="0" l="0"/>
            <wp:docPr id="1" name="Figure A.4: Backtesting Simulation Output — Starting Capital Rs. 1,00,000 per Stock (Phase 7)" descr="Figure A.4: Backtesting Simulation Output — Starting Capital Rs. 1,00,000 per Stock (Phase 7)" title="Figure A.4: Backtesting Simulation Output — Starting Capital Rs. 1,00,000 per Stock (Phas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962275"/>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A.4: Backtesting Simulation Output — Starting Capital Rs. 1,00,000 per Stock (Phase 7)</w:t>
      </w:r>
    </w:p>
    <w:p>
      <w:pPr>
        <w:keepNext/>
        <w:spacing w:after="0" w:before="120"/>
        <w:jc w:val="center"/>
      </w:pPr>
      <w:r>
        <w:drawing>
          <wp:inline distT="0" distB="0" distL="0" distR="0">
            <wp:extent cx="5067300" cy="3810000"/>
            <wp:effectExtent t="0" r="0" b="0" l="0"/>
            <wp:docPr id="1" name="Figure A.5: Phase 7 Complete Evaluation Summary — Accuracy, AUC, Signals, LSTM Performance and Backtesting" descr="Figure A.5: Phase 7 Complete Evaluation Summary — Accuracy, AUC, Signals, LSTM Performance and Backtesting" title="Figure A.5: Phase 7 Complete Evaluation Summary — Accuracy, AUC, Signals, LSTM Performance and Back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67300" cy="38100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val="false"/>
          <w:bCs w:val="false"/>
          <w:i/>
          <w:iCs/>
          <w:sz w:val="22"/>
          <w:szCs w:val="22"/>
        </w:rPr>
        <w:t xml:space="preserve">Figure A.5: Phase 7 Complete Evaluation Summary — Accuracy, AUC, Signals, LSTM Performance and Backtesting</w:t>
      </w:r>
    </w:p>
    <w:p>
      <w:pPr>
        <w:spacing w:after="120" w:line="300"/>
        <w:jc w:val="both"/>
      </w:pPr>
      <w:r>
        <w:rPr>
          <w:rFonts w:ascii="Times New Roman" w:cs="Times New Roman" w:eastAsia="Times New Roman" w:hAnsi="Times New Roman"/>
          <w:b w:val="false"/>
          <w:bCs w:val="false"/>
          <w:i/>
          <w:iCs/>
          <w:sz w:val="22"/>
          <w:szCs w:val="22"/>
        </w:rPr>
        <w:t xml:space="preserve">Note: The LSTM RMSE and MAPE values in Figure A.5 (TVS Motor Rs. 123.76 / 2.62%, Solar Industries Rs. 634.40 / 3.23%, HDFC Bank Rs. 16.08 / 1.43%) come from the evaluation re-run in Phase 7, whereas the values reported in Section 4.5 and Figure A.2 come from the original Phase 6 training run. Small differences of this kind are expected between separate training runs.</w:t>
      </w:r>
    </w:p>
    <w:p>
      <w:pPr>
        <w:spacing w:before="360"/>
        <w:jc w:val="center"/>
      </w:pPr>
      <w:r>
        <w:rPr>
          <w:rFonts w:ascii="Times New Roman" w:cs="Times New Roman" w:eastAsia="Times New Roman" w:hAnsi="Times New Roman"/>
          <w:b/>
          <w:bCs/>
          <w:sz w:val="24"/>
          <w:szCs w:val="24"/>
        </w:rPr>
        <w:t xml:space="preserve">END OF PROGRESS REPORT</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360" w:before="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4"/>
      <w:szCs w:val="24"/>
    </w:rPr>
  </w:style>
  <w:style w:type="paragraph" w:styleId="FrontHeading">
    <w:name w:val="Front Heading"/>
    <w:basedOn w:val="Normal"/>
    <w:next w:val="Normal"/>
    <w:pPr>
      <w:keepNext/>
      <w:pageBreakBefore/>
      <w:spacing w:after="360" w:before="0"/>
      <w:jc w:val="center"/>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8d311df69bd1b3456bcbbf75cf29a30e9c312e8.png"/><Relationship Id="rId10" Type="http://schemas.openxmlformats.org/officeDocument/2006/relationships/image" Target="media/aa6789d0e69c1f8266c447d2246d94685cbecbac.png"/><Relationship Id="rId11" Type="http://schemas.openxmlformats.org/officeDocument/2006/relationships/image" Target="media/82693d569e3b51c12d578e8ed1c4d29ba11c2104.png"/><Relationship Id="rId12" Type="http://schemas.openxmlformats.org/officeDocument/2006/relationships/image" Target="media/bf26be711fc8f71a4989e17bee8602a3e74a7f76.png"/><Relationship Id="rId13" Type="http://schemas.openxmlformats.org/officeDocument/2006/relationships/image" Target="media/2c1f9627512ec81cf89a549c502a11daea71dd9b.png"/><Relationship Id="rId14" Type="http://schemas.openxmlformats.org/officeDocument/2006/relationships/image" Target="media/1c0109f55a0c6a9d65d115c0779d2ddd5f86b551.png"/><Relationship Id="rId15" Type="http://schemas.openxmlformats.org/officeDocument/2006/relationships/image" Target="media/7aaec87565190c8d96fc0c97a373b80858044e68.png"/><Relationship Id="rId16" Type="http://schemas.openxmlformats.org/officeDocument/2006/relationships/image" Target="media/35c9722fd4a7b2d38ac6663b4fe50835b6775495.png"/><Relationship Id="rId17" Type="http://schemas.openxmlformats.org/officeDocument/2006/relationships/image" Target="media/f010ae3fafb14e32490ff28d20bbcfc532454922.png"/><Relationship Id="rId18" Type="http://schemas.openxmlformats.org/officeDocument/2006/relationships/image" Target="media/044734274fe90328b6a487061513fb23abd9b5e5.png"/><Relationship Id="rId19" Type="http://schemas.openxmlformats.org/officeDocument/2006/relationships/image" Target="media/471f9f89e958005d61e6eb4dd67158ced5fe5b7e.png"/><Relationship Id="rId20" Type="http://schemas.openxmlformats.org/officeDocument/2006/relationships/image" Target="media/a49c87e2c45ca8883714034d3ec51d2cbe5fcde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 Stock Market Analysis and Prediction (ECSP6007 Project I)</dc:title>
  <dc:creator>RCOEM Nagpur</dc:creator>
  <cp:lastModifiedBy>Un-named</cp:lastModifiedBy>
  <cp:revision>1</cp:revision>
  <dcterms:created xsi:type="dcterms:W3CDTF">2026-10-14T10:13:26.461Z</dcterms:created>
  <dcterms:modified xsi:type="dcterms:W3CDTF">2026-10-14T10:13:26.461Z</dcterms:modified>
</cp:coreProperties>
</file>

<file path=docProps/custom.xml><?xml version="1.0" encoding="utf-8"?>
<Properties xmlns="http://schemas.openxmlformats.org/officeDocument/2006/custom-properties" xmlns:vt="http://schemas.openxmlformats.org/officeDocument/2006/docPropsVTypes"/>
</file>