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28C3" w:rsidRDefault="008728C3" w:rsidP="0068518D">
      <w:pPr>
        <w:spacing w:line="480" w:lineRule="auto"/>
        <w:rPr>
          <w:rFonts w:ascii="Times New Roman" w:eastAsia="Times New Roman" w:hAnsi="Times New Roman" w:cs="Times New Roman"/>
        </w:rPr>
      </w:pPr>
    </w:p>
    <w:p w14:paraId="00000002" w14:textId="77777777" w:rsidR="008728C3" w:rsidRDefault="008728C3" w:rsidP="0068518D">
      <w:pPr>
        <w:spacing w:line="480" w:lineRule="auto"/>
        <w:rPr>
          <w:rFonts w:ascii="Times New Roman" w:eastAsia="Times New Roman" w:hAnsi="Times New Roman" w:cs="Times New Roman"/>
        </w:rPr>
      </w:pPr>
    </w:p>
    <w:p w14:paraId="00000003" w14:textId="0259D5AC" w:rsidR="008728C3" w:rsidRDefault="00000000" w:rsidP="0068518D">
      <w:pPr>
        <w:pStyle w:val="Heading1"/>
        <w:spacing w:before="240" w:after="240" w:line="480" w:lineRule="auto"/>
        <w:jc w:val="center"/>
        <w:rPr>
          <w:rFonts w:ascii="Times New Roman" w:eastAsia="Times New Roman" w:hAnsi="Times New Roman" w:cs="Times New Roman"/>
        </w:rPr>
      </w:pPr>
      <w:bookmarkStart w:id="0" w:name="_rw6yzey1qnfi" w:colFirst="0" w:colLast="0"/>
      <w:bookmarkEnd w:id="0"/>
      <w:r>
        <w:rPr>
          <w:rFonts w:ascii="Times New Roman" w:eastAsia="Times New Roman" w:hAnsi="Times New Roman" w:cs="Times New Roman"/>
        </w:rPr>
        <w:t>Data Analytics</w:t>
      </w:r>
      <w:r w:rsidR="00B00464">
        <w:rPr>
          <w:rFonts w:ascii="Times New Roman" w:eastAsia="Times New Roman" w:hAnsi="Times New Roman" w:cs="Times New Roman"/>
        </w:rPr>
        <w:t xml:space="preserve"> : </w:t>
      </w:r>
      <w:r w:rsidR="00B00464" w:rsidRPr="00B00464">
        <w:rPr>
          <w:rFonts w:ascii="Times New Roman" w:eastAsia="Times New Roman" w:hAnsi="Times New Roman" w:cs="Times New Roman"/>
        </w:rPr>
        <w:t>Can Fundamentals Alone Predict Market Reactions? A Machine Learning Approach to Post-Earnings Stock Movement in Indian Sectors</w:t>
      </w:r>
    </w:p>
    <w:p w14:paraId="00000004" w14:textId="77777777" w:rsidR="008728C3" w:rsidRDefault="00000000" w:rsidP="0068518D">
      <w:pPr>
        <w:pStyle w:val="Heading1"/>
        <w:spacing w:before="240" w:after="240" w:line="480" w:lineRule="auto"/>
        <w:jc w:val="center"/>
        <w:rPr>
          <w:rFonts w:ascii="Times New Roman" w:eastAsia="Times New Roman" w:hAnsi="Times New Roman" w:cs="Times New Roman"/>
        </w:rPr>
      </w:pPr>
      <w:bookmarkStart w:id="1" w:name="_qlhsz4ku7mex" w:colFirst="0" w:colLast="0"/>
      <w:bookmarkEnd w:id="1"/>
      <w:r>
        <w:rPr>
          <w:rFonts w:ascii="Times New Roman" w:eastAsia="Times New Roman" w:hAnsi="Times New Roman" w:cs="Times New Roman"/>
        </w:rPr>
        <w:t>Interim Report</w:t>
      </w:r>
    </w:p>
    <w:p w14:paraId="00000005" w14:textId="7919E3DC" w:rsidR="008728C3" w:rsidRDefault="00B00464" w:rsidP="0068518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 Vedwa</w:t>
      </w:r>
    </w:p>
    <w:p w14:paraId="00000006" w14:textId="77777777" w:rsidR="008728C3" w:rsidRDefault="00000000" w:rsidP="0068518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Walsh College</w:t>
      </w:r>
    </w:p>
    <w:p w14:paraId="00000007" w14:textId="77777777" w:rsidR="008728C3" w:rsidRDefault="00000000" w:rsidP="0068518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QM640 V1: Data Analytics Capstone</w:t>
      </w:r>
    </w:p>
    <w:p w14:paraId="00000008" w14:textId="77777777" w:rsidR="008728C3" w:rsidRDefault="00000000" w:rsidP="0068518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&lt;Mentor Name&gt;</w:t>
      </w:r>
    </w:p>
    <w:p w14:paraId="00000009" w14:textId="77777777" w:rsidR="008728C3" w:rsidRDefault="00000000" w:rsidP="0068518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Winter 2025 Term</w:t>
      </w:r>
    </w:p>
    <w:p w14:paraId="0000000A" w14:textId="77777777" w:rsidR="008728C3" w:rsidRDefault="008728C3" w:rsidP="0068518D">
      <w:pPr>
        <w:spacing w:line="480" w:lineRule="auto"/>
        <w:rPr>
          <w:rFonts w:ascii="Times New Roman" w:eastAsia="Times New Roman" w:hAnsi="Times New Roman" w:cs="Times New Roman"/>
        </w:rPr>
      </w:pPr>
    </w:p>
    <w:p w14:paraId="0000000B" w14:textId="77777777" w:rsidR="008728C3" w:rsidRDefault="008728C3" w:rsidP="0068518D">
      <w:pPr>
        <w:spacing w:line="480" w:lineRule="auto"/>
        <w:rPr>
          <w:rFonts w:ascii="Times New Roman" w:eastAsia="Times New Roman" w:hAnsi="Times New Roman" w:cs="Times New Roman"/>
        </w:rPr>
      </w:pPr>
    </w:p>
    <w:p w14:paraId="0000000C" w14:textId="77777777" w:rsidR="008728C3" w:rsidRDefault="008728C3" w:rsidP="0068518D">
      <w:pPr>
        <w:spacing w:line="480" w:lineRule="auto"/>
        <w:rPr>
          <w:rFonts w:ascii="Times New Roman" w:eastAsia="Times New Roman" w:hAnsi="Times New Roman" w:cs="Times New Roman"/>
        </w:rPr>
      </w:pPr>
    </w:p>
    <w:p w14:paraId="0000000D" w14:textId="77777777" w:rsidR="008728C3" w:rsidRDefault="00000000" w:rsidP="0068518D">
      <w:pPr>
        <w:spacing w:line="480" w:lineRule="auto"/>
        <w:rPr>
          <w:rFonts w:ascii="Times New Roman" w:eastAsia="Times New Roman" w:hAnsi="Times New Roman" w:cs="Times New Roman"/>
        </w:rPr>
      </w:pPr>
      <w:r>
        <w:br w:type="page"/>
      </w:r>
    </w:p>
    <w:p w14:paraId="00000028" w14:textId="77777777" w:rsidR="008728C3" w:rsidRPr="00855AF1" w:rsidRDefault="00000000" w:rsidP="0068518D">
      <w:pPr>
        <w:pStyle w:val="Heading1"/>
        <w:spacing w:line="480" w:lineRule="auto"/>
        <w:jc w:val="center"/>
        <w:rPr>
          <w:rFonts w:ascii="Times New Roman" w:hAnsi="Times New Roman" w:cs="Times New Roman"/>
          <w:b/>
          <w:bCs/>
          <w:sz w:val="28"/>
          <w:szCs w:val="28"/>
        </w:rPr>
      </w:pPr>
      <w:bookmarkStart w:id="2" w:name="_yr0vqci6qasp" w:colFirst="0" w:colLast="0"/>
      <w:bookmarkEnd w:id="2"/>
      <w:r w:rsidRPr="00855AF1">
        <w:rPr>
          <w:rFonts w:ascii="Times New Roman" w:hAnsi="Times New Roman" w:cs="Times New Roman"/>
          <w:b/>
          <w:bCs/>
          <w:sz w:val="28"/>
          <w:szCs w:val="28"/>
        </w:rPr>
        <w:lastRenderedPageBreak/>
        <w:t>Introduction</w:t>
      </w:r>
    </w:p>
    <w:p w14:paraId="5B92487F" w14:textId="31FAD77B" w:rsidR="001B0D69" w:rsidRPr="001B0D69" w:rsidRDefault="001B0D69" w:rsidP="0068518D">
      <w:pPr>
        <w:pStyle w:val="Default"/>
        <w:spacing w:line="480" w:lineRule="auto"/>
        <w:ind w:left="720"/>
        <w:jc w:val="both"/>
        <w:rPr>
          <w:rFonts w:eastAsia="Times New Roman"/>
          <w:color w:val="auto"/>
          <w:lang w:val="en"/>
        </w:rPr>
      </w:pPr>
      <w:r w:rsidRPr="001B0D69">
        <w:rPr>
          <w:rFonts w:eastAsia="Times New Roman"/>
          <w:color w:val="auto"/>
          <w:lang w:val="en"/>
        </w:rPr>
        <w:t xml:space="preserve">In Indian financial markets, Quarterly earnings announcements play a critical role in short-term stock price behavior. These disclosures often trigger significant </w:t>
      </w:r>
      <w:r w:rsidRPr="001B0D69">
        <w:rPr>
          <w:rFonts w:eastAsia="Times New Roman"/>
          <w:color w:val="auto"/>
          <w:lang w:val="en"/>
        </w:rPr>
        <w:t>short-term</w:t>
      </w:r>
      <w:r w:rsidRPr="001B0D69">
        <w:rPr>
          <w:rFonts w:eastAsia="Times New Roman"/>
          <w:color w:val="auto"/>
          <w:lang w:val="en"/>
        </w:rPr>
        <w:t xml:space="preserve"> stock price movements; a dynamic that academic research has captured </w:t>
      </w:r>
      <w:r w:rsidRPr="001B0D69">
        <w:rPr>
          <w:rFonts w:eastAsia="Times New Roman"/>
          <w:color w:val="auto"/>
          <w:lang w:val="en"/>
        </w:rPr>
        <w:t>through phenomena</w:t>
      </w:r>
      <w:r w:rsidRPr="001B0D69">
        <w:rPr>
          <w:rFonts w:eastAsia="Times New Roman"/>
          <w:color w:val="auto"/>
          <w:lang w:val="en"/>
        </w:rPr>
        <w:t xml:space="preserve"> like the post-earnings announcement drift (PEAD). However, while it's widely accepted that financial fundamentals </w:t>
      </w:r>
      <w:r w:rsidRPr="001B0D69">
        <w:rPr>
          <w:rFonts w:eastAsia="Times New Roman"/>
          <w:color w:val="auto"/>
          <w:lang w:val="en"/>
        </w:rPr>
        <w:t>such as</w:t>
      </w:r>
      <w:r w:rsidRPr="001B0D69">
        <w:rPr>
          <w:rFonts w:eastAsia="Times New Roman"/>
          <w:color w:val="auto"/>
          <w:lang w:val="en"/>
        </w:rPr>
        <w:t xml:space="preserve"> earnings per share (EPS), profit after tax (PAT), and operating profit margin (OPM%) are central to these movements, most predictive models still rely on a mix of technical indicators, sentiment data, or textual analysis. This makes it difficult to isolate the true informational value of structured financial disclosures.</w:t>
      </w:r>
    </w:p>
    <w:p w14:paraId="15F418AA" w14:textId="7026F102" w:rsidR="001B0D69" w:rsidRPr="001B0D69" w:rsidRDefault="001B0D69" w:rsidP="0068518D">
      <w:pPr>
        <w:pStyle w:val="Default"/>
        <w:spacing w:line="480" w:lineRule="auto"/>
        <w:ind w:left="720"/>
        <w:jc w:val="both"/>
        <w:rPr>
          <w:rFonts w:eastAsia="Times New Roman"/>
          <w:color w:val="auto"/>
          <w:lang w:val="en"/>
        </w:rPr>
      </w:pPr>
      <w:r w:rsidRPr="001B0D69">
        <w:rPr>
          <w:rFonts w:eastAsia="Times New Roman"/>
          <w:color w:val="auto"/>
          <w:lang w:val="en"/>
        </w:rPr>
        <w:t xml:space="preserve">This study addresses that gap. This study investigates whether structured, numerical financial indicators from quarterly earnings reports , </w:t>
      </w:r>
      <w:r w:rsidRPr="001B0D69">
        <w:rPr>
          <w:rFonts w:eastAsia="Times New Roman"/>
          <w:color w:val="auto"/>
          <w:lang w:val="en"/>
        </w:rPr>
        <w:t>closing</w:t>
      </w:r>
      <w:r w:rsidRPr="001B0D69">
        <w:rPr>
          <w:rFonts w:eastAsia="Times New Roman"/>
          <w:color w:val="auto"/>
          <w:lang w:val="en"/>
        </w:rPr>
        <w:t xml:space="preserve"> price of T, T+1, T+2 and T+3 without any additional data sources can predict the direction of stock price movement (up or down) in the three trading days following the announcement. To explore this, we apply supervised machine learning models (Logistic Regression, Random Forest, and XGBoost) to data from 45 listed Indian companies across five sectors.</w:t>
      </w:r>
    </w:p>
    <w:p w14:paraId="5062F425" w14:textId="77777777" w:rsidR="001B0D69" w:rsidRPr="001B0D69" w:rsidRDefault="001B0D69" w:rsidP="0068518D">
      <w:pPr>
        <w:pStyle w:val="Default"/>
        <w:spacing w:line="480" w:lineRule="auto"/>
        <w:ind w:left="720"/>
        <w:jc w:val="both"/>
        <w:rPr>
          <w:rFonts w:eastAsia="Times New Roman"/>
          <w:color w:val="auto"/>
          <w:lang w:val="en"/>
        </w:rPr>
      </w:pPr>
      <w:r w:rsidRPr="001B0D69">
        <w:rPr>
          <w:rFonts w:eastAsia="Times New Roman"/>
          <w:color w:val="auto"/>
          <w:lang w:val="en"/>
        </w:rPr>
        <w:t xml:space="preserve">What sets this work apart is its strict focus on structured data, 3 day closing price and its cross-sector analysis for Indian market only. Unlike prior research: Huanget al.(2021), Sherasiya and Jadeja (2023) that either targets long-term trends or uses blended inputs, Zhao et al. (2023) provided evidence that financial features could yield robust models in emerging markets like China but also relied on price-based features. Ampomah et al. (2020) compared ensemble methods but did not isolate the post-earnings effect, while Saberironaghi et al. (2025) provided a comprehensive survey highlighting the under-utilization of earnings-based triggers in short-term forecasting. We will also compare </w:t>
      </w:r>
      <w:r w:rsidRPr="001B0D69">
        <w:rPr>
          <w:rFonts w:eastAsia="Times New Roman"/>
          <w:color w:val="auto"/>
          <w:lang w:val="en"/>
        </w:rPr>
        <w:lastRenderedPageBreak/>
        <w:t xml:space="preserve">model performance and assess which financial indicators most influence predictions using interpretation tools like SHAP or permutation importance. </w:t>
      </w:r>
    </w:p>
    <w:p w14:paraId="0C483524" w14:textId="033098CE" w:rsidR="000F186F" w:rsidRDefault="001B0D69" w:rsidP="00C803AB">
      <w:pPr>
        <w:pStyle w:val="ListParagraph"/>
        <w:spacing w:line="480" w:lineRule="auto"/>
        <w:jc w:val="both"/>
        <w:rPr>
          <w:rFonts w:ascii="Times New Roman" w:eastAsia="Times New Roman" w:hAnsi="Times New Roman" w:cs="Times New Roman"/>
          <w:sz w:val="24"/>
          <w:szCs w:val="24"/>
        </w:rPr>
      </w:pPr>
      <w:r w:rsidRPr="001B0D69">
        <w:rPr>
          <w:rFonts w:ascii="Times New Roman" w:eastAsia="Times New Roman" w:hAnsi="Times New Roman" w:cs="Times New Roman"/>
          <w:sz w:val="24"/>
          <w:szCs w:val="24"/>
        </w:rPr>
        <w:t xml:space="preserve">In doing so, the study contributes a transparent, replicable framework for short-term stock movement prediction and clarifies how much insight quarterly fundamentals truly </w:t>
      </w:r>
      <w:r w:rsidRPr="001B0D69">
        <w:rPr>
          <w:rFonts w:ascii="Times New Roman" w:eastAsia="Times New Roman" w:hAnsi="Times New Roman" w:cs="Times New Roman"/>
          <w:sz w:val="24"/>
          <w:szCs w:val="24"/>
        </w:rPr>
        <w:t>provide,</w:t>
      </w:r>
      <w:r w:rsidRPr="001B0D69">
        <w:rPr>
          <w:rFonts w:ascii="Times New Roman" w:eastAsia="Times New Roman" w:hAnsi="Times New Roman" w:cs="Times New Roman"/>
          <w:sz w:val="24"/>
          <w:szCs w:val="24"/>
        </w:rPr>
        <w:t xml:space="preserve"> sector by sector, model by model.</w:t>
      </w:r>
    </w:p>
    <w:p w14:paraId="00000029" w14:textId="1D6A2633" w:rsidR="008728C3" w:rsidRPr="00855AF1" w:rsidRDefault="00000000" w:rsidP="007D697D">
      <w:pPr>
        <w:pStyle w:val="Heading1"/>
        <w:spacing w:line="480" w:lineRule="auto"/>
        <w:jc w:val="center"/>
        <w:rPr>
          <w:rFonts w:ascii="Times New Roman" w:hAnsi="Times New Roman" w:cs="Times New Roman"/>
          <w:b/>
          <w:bCs/>
          <w:sz w:val="28"/>
          <w:szCs w:val="28"/>
        </w:rPr>
      </w:pPr>
      <w:r w:rsidRPr="00855AF1">
        <w:rPr>
          <w:rFonts w:ascii="Times New Roman" w:hAnsi="Times New Roman" w:cs="Times New Roman"/>
          <w:b/>
          <w:bCs/>
          <w:sz w:val="28"/>
          <w:szCs w:val="28"/>
        </w:rPr>
        <w:t>Scope and objectives</w:t>
      </w:r>
    </w:p>
    <w:p w14:paraId="1BB65FB1" w14:textId="77777777" w:rsidR="000F186F" w:rsidRPr="0068518D" w:rsidRDefault="000F186F" w:rsidP="00C803AB">
      <w:pPr>
        <w:pStyle w:val="Heading2"/>
        <w:spacing w:line="480" w:lineRule="auto"/>
        <w:ind w:firstLine="720"/>
        <w:rPr>
          <w:rFonts w:ascii="Times New Roman" w:eastAsia="Times New Roman" w:hAnsi="Times New Roman" w:cs="Times New Roman"/>
          <w:sz w:val="22"/>
          <w:szCs w:val="22"/>
        </w:rPr>
      </w:pPr>
      <w:r w:rsidRPr="0068518D">
        <w:rPr>
          <w:rFonts w:ascii="Times New Roman" w:hAnsi="Times New Roman" w:cs="Times New Roman"/>
          <w:sz w:val="28"/>
          <w:szCs w:val="28"/>
        </w:rPr>
        <w:t>Scope</w:t>
      </w:r>
      <w:r w:rsidRPr="0068518D">
        <w:rPr>
          <w:rFonts w:ascii="Times New Roman" w:eastAsia="Times New Roman" w:hAnsi="Times New Roman" w:cs="Times New Roman"/>
          <w:sz w:val="22"/>
          <w:szCs w:val="22"/>
        </w:rPr>
        <w:t xml:space="preserve"> </w:t>
      </w:r>
    </w:p>
    <w:p w14:paraId="629C826F" w14:textId="196A3D17" w:rsidR="000F186F" w:rsidRPr="000F186F" w:rsidRDefault="000F186F" w:rsidP="00C803AB">
      <w:pPr>
        <w:spacing w:line="480" w:lineRule="auto"/>
        <w:ind w:left="720" w:firstLine="720"/>
        <w:jc w:val="both"/>
        <w:rPr>
          <w:rFonts w:ascii="Times New Roman" w:eastAsia="Times New Roman" w:hAnsi="Times New Roman" w:cs="Times New Roman"/>
          <w:sz w:val="24"/>
          <w:szCs w:val="24"/>
        </w:rPr>
      </w:pPr>
      <w:r w:rsidRPr="000F186F">
        <w:rPr>
          <w:rFonts w:ascii="Times New Roman" w:eastAsia="Times New Roman" w:hAnsi="Times New Roman" w:cs="Times New Roman"/>
          <w:sz w:val="24"/>
          <w:szCs w:val="24"/>
        </w:rPr>
        <w:t xml:space="preserve">This study focuses on listed Indian companies across five selected sectors, aiming to predict short-term stock price movement (Up/Down) in the three trading days post quarterly earnings announcements. The analysis exclusively uses publicly available, structured numerical financial data(e.g., EPS, PAT, OPM%) and does not </w:t>
      </w:r>
      <w:r w:rsidRPr="000F186F">
        <w:rPr>
          <w:rFonts w:ascii="Times New Roman" w:eastAsia="Times New Roman" w:hAnsi="Times New Roman" w:cs="Times New Roman"/>
          <w:sz w:val="24"/>
          <w:szCs w:val="24"/>
        </w:rPr>
        <w:t>include unstructured</w:t>
      </w:r>
      <w:r w:rsidRPr="000F186F">
        <w:rPr>
          <w:rFonts w:ascii="Times New Roman" w:eastAsia="Times New Roman" w:hAnsi="Times New Roman" w:cs="Times New Roman"/>
          <w:sz w:val="24"/>
          <w:szCs w:val="24"/>
        </w:rPr>
        <w:t xml:space="preserve"> inputs such as sentiment, analyst commentary, news, or AI-generated content. This study intentionally excludes unstructured inputs to isolate the predictive power of structured financial disclosures.</w:t>
      </w:r>
    </w:p>
    <w:p w14:paraId="43F0FF36" w14:textId="77777777" w:rsidR="00C803AB" w:rsidRDefault="000F186F" w:rsidP="00C803AB">
      <w:pPr>
        <w:spacing w:line="480" w:lineRule="auto"/>
        <w:ind w:left="720"/>
        <w:jc w:val="both"/>
        <w:rPr>
          <w:rFonts w:ascii="Times New Roman" w:eastAsia="Times New Roman" w:hAnsi="Times New Roman" w:cs="Times New Roman"/>
          <w:sz w:val="24"/>
          <w:szCs w:val="24"/>
        </w:rPr>
      </w:pPr>
      <w:r w:rsidRPr="000F186F">
        <w:rPr>
          <w:rFonts w:ascii="Times New Roman" w:eastAsia="Times New Roman" w:hAnsi="Times New Roman" w:cs="Times New Roman"/>
          <w:sz w:val="24"/>
          <w:szCs w:val="24"/>
        </w:rPr>
        <w:t>Short-term stock movement refers to the price change direction (Up/Down) over three trading days following the earnings announcements(T+1 to T+3). Five sectors will be chosen to ensure diversity in market dynamics and will represent a unique combination of market capitalization, and availability of quarterly disclosures.</w:t>
      </w:r>
    </w:p>
    <w:p w14:paraId="5A75E8CB" w14:textId="25803EAB" w:rsidR="000F186F" w:rsidRPr="007D697D" w:rsidRDefault="000F186F" w:rsidP="007D697D">
      <w:pPr>
        <w:pStyle w:val="Heading2"/>
        <w:spacing w:line="480" w:lineRule="auto"/>
        <w:ind w:firstLine="720"/>
        <w:rPr>
          <w:rFonts w:ascii="Times New Roman" w:hAnsi="Times New Roman" w:cs="Times New Roman"/>
          <w:sz w:val="28"/>
          <w:szCs w:val="28"/>
        </w:rPr>
      </w:pPr>
      <w:r w:rsidRPr="0068518D">
        <w:rPr>
          <w:rFonts w:ascii="Times New Roman" w:hAnsi="Times New Roman" w:cs="Times New Roman"/>
          <w:sz w:val="28"/>
          <w:szCs w:val="28"/>
        </w:rPr>
        <w:t>O</w:t>
      </w:r>
      <w:r w:rsidRPr="0068518D">
        <w:rPr>
          <w:rFonts w:ascii="Times New Roman" w:hAnsi="Times New Roman" w:cs="Times New Roman"/>
          <w:sz w:val="28"/>
          <w:szCs w:val="28"/>
        </w:rPr>
        <w:t>bjectives</w:t>
      </w:r>
      <w:r w:rsidRPr="007D697D">
        <w:rPr>
          <w:rFonts w:ascii="Times New Roman" w:hAnsi="Times New Roman" w:cs="Times New Roman"/>
          <w:sz w:val="28"/>
          <w:szCs w:val="28"/>
        </w:rPr>
        <w:t xml:space="preserve"> </w:t>
      </w:r>
    </w:p>
    <w:p w14:paraId="0000002A" w14:textId="63CA2253" w:rsidR="008728C3" w:rsidRDefault="000F186F" w:rsidP="00C803AB">
      <w:pPr>
        <w:spacing w:line="480" w:lineRule="auto"/>
        <w:ind w:left="720" w:firstLine="720"/>
        <w:jc w:val="both"/>
        <w:rPr>
          <w:rFonts w:ascii="Times New Roman" w:eastAsia="Times New Roman" w:hAnsi="Times New Roman" w:cs="Times New Roman"/>
          <w:sz w:val="24"/>
          <w:szCs w:val="24"/>
        </w:rPr>
      </w:pPr>
      <w:r w:rsidRPr="000F186F">
        <w:rPr>
          <w:rFonts w:ascii="Times New Roman" w:eastAsia="Times New Roman" w:hAnsi="Times New Roman" w:cs="Times New Roman"/>
          <w:sz w:val="24"/>
          <w:szCs w:val="24"/>
        </w:rPr>
        <w:t xml:space="preserve">To evaluate whether structured financial disclosures alone can predict post-earnings stock price direction using supervised machine learning. The study also compares </w:t>
      </w:r>
      <w:r w:rsidRPr="000F186F">
        <w:rPr>
          <w:rFonts w:ascii="Times New Roman" w:eastAsia="Times New Roman" w:hAnsi="Times New Roman" w:cs="Times New Roman"/>
          <w:sz w:val="24"/>
          <w:szCs w:val="24"/>
        </w:rPr>
        <w:lastRenderedPageBreak/>
        <w:t xml:space="preserve">model performance across sectors and algorithms while identifying the most influential financial </w:t>
      </w:r>
      <w:r w:rsidR="001278A5" w:rsidRPr="000F186F">
        <w:rPr>
          <w:rFonts w:ascii="Times New Roman" w:eastAsia="Times New Roman" w:hAnsi="Times New Roman" w:cs="Times New Roman"/>
          <w:sz w:val="24"/>
          <w:szCs w:val="24"/>
        </w:rPr>
        <w:t>indicators.</w:t>
      </w:r>
      <w:r w:rsidR="001278A5">
        <w:rPr>
          <w:rFonts w:ascii="Times New Roman" w:eastAsia="Times New Roman" w:hAnsi="Times New Roman" w:cs="Times New Roman"/>
          <w:sz w:val="24"/>
          <w:szCs w:val="24"/>
        </w:rPr>
        <w:t xml:space="preserve"> Research</w:t>
      </w:r>
      <w:r w:rsidR="00000000">
        <w:rPr>
          <w:rFonts w:ascii="Times New Roman" w:eastAsia="Times New Roman" w:hAnsi="Times New Roman" w:cs="Times New Roman"/>
          <w:sz w:val="24"/>
          <w:szCs w:val="24"/>
        </w:rPr>
        <w:t xml:space="preserve"> problems must be clearly defined (present at least four research questions pertinent to the study.</w:t>
      </w:r>
    </w:p>
    <w:p w14:paraId="175DCCD3" w14:textId="3008C139" w:rsidR="00376F3E" w:rsidRPr="007D697D" w:rsidRDefault="00376F3E" w:rsidP="007D697D">
      <w:pPr>
        <w:pStyle w:val="Heading2"/>
        <w:spacing w:line="480" w:lineRule="auto"/>
        <w:ind w:firstLine="720"/>
        <w:rPr>
          <w:rFonts w:ascii="Times New Roman" w:hAnsi="Times New Roman" w:cs="Times New Roman"/>
          <w:sz w:val="28"/>
          <w:szCs w:val="28"/>
        </w:rPr>
      </w:pPr>
      <w:r w:rsidRPr="007D697D">
        <w:rPr>
          <w:rFonts w:ascii="Times New Roman" w:hAnsi="Times New Roman" w:cs="Times New Roman"/>
          <w:sz w:val="28"/>
          <w:szCs w:val="28"/>
        </w:rPr>
        <w:t>Research Questions (RQs)</w:t>
      </w:r>
      <w:r w:rsidRPr="007D697D">
        <w:rPr>
          <w:rFonts w:ascii="Times New Roman" w:hAnsi="Times New Roman" w:cs="Times New Roman"/>
          <w:sz w:val="28"/>
          <w:szCs w:val="28"/>
        </w:rPr>
        <w:t xml:space="preserve"> and Methodology</w:t>
      </w:r>
    </w:p>
    <w:p w14:paraId="4B023D61" w14:textId="77777777" w:rsidR="00376F3E" w:rsidRPr="00E2496F" w:rsidRDefault="00376F3E" w:rsidP="00C803AB">
      <w:pPr>
        <w:spacing w:line="48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            </w:t>
      </w:r>
      <w:r w:rsidRPr="00376F3E">
        <w:rPr>
          <w:rFonts w:ascii="Times New Roman" w:eastAsia="Times New Roman" w:hAnsi="Times New Roman" w:cs="Times New Roman"/>
          <w:b/>
          <w:bCs/>
          <w:sz w:val="24"/>
          <w:szCs w:val="24"/>
          <w:lang w:val="en-IN"/>
        </w:rPr>
        <w:t>RQ1:</w:t>
      </w:r>
      <w:r w:rsidRPr="00E2496F">
        <w:rPr>
          <w:rFonts w:ascii="Times New Roman" w:eastAsia="Times New Roman" w:hAnsi="Times New Roman" w:cs="Times New Roman"/>
          <w:b/>
          <w:bCs/>
          <w:sz w:val="24"/>
          <w:szCs w:val="24"/>
          <w:lang w:val="en-IN"/>
        </w:rPr>
        <w:t xml:space="preserve"> </w:t>
      </w:r>
      <w:r w:rsidRPr="00376F3E">
        <w:rPr>
          <w:rFonts w:ascii="Times New Roman" w:eastAsia="Times New Roman" w:hAnsi="Times New Roman" w:cs="Times New Roman"/>
          <w:sz w:val="24"/>
          <w:szCs w:val="24"/>
          <w:lang w:val="en-IN"/>
        </w:rPr>
        <w:t>Can structured quarterly financial indicators alone predict the direction of short-term</w:t>
      </w:r>
    </w:p>
    <w:p w14:paraId="0487788C" w14:textId="5BCAFC3C" w:rsidR="00376F3E" w:rsidRPr="00E2496F" w:rsidRDefault="00376F3E" w:rsidP="00ED21DF">
      <w:pPr>
        <w:spacing w:line="480" w:lineRule="auto"/>
        <w:jc w:val="both"/>
        <w:rPr>
          <w:rFonts w:ascii="Times New Roman" w:eastAsia="Times New Roman" w:hAnsi="Times New Roman" w:cs="Times New Roman"/>
          <w:sz w:val="24"/>
          <w:szCs w:val="24"/>
          <w:lang w:val="en-IN"/>
        </w:rPr>
      </w:pPr>
      <w:r w:rsidRPr="00E2496F">
        <w:rPr>
          <w:rFonts w:ascii="Times New Roman" w:eastAsia="Times New Roman" w:hAnsi="Times New Roman" w:cs="Times New Roman"/>
          <w:sz w:val="24"/>
          <w:szCs w:val="24"/>
          <w:lang w:val="en-IN"/>
        </w:rPr>
        <w:t xml:space="preserve">            </w:t>
      </w:r>
      <w:r w:rsidRPr="00376F3E">
        <w:rPr>
          <w:rFonts w:ascii="Times New Roman" w:eastAsia="Times New Roman" w:hAnsi="Times New Roman" w:cs="Times New Roman"/>
          <w:sz w:val="24"/>
          <w:szCs w:val="24"/>
          <w:lang w:val="en-IN"/>
        </w:rPr>
        <w:t xml:space="preserve">stock price movement following </w:t>
      </w:r>
      <w:r w:rsidR="0000306E" w:rsidRPr="00E2496F">
        <w:rPr>
          <w:rFonts w:ascii="Times New Roman" w:eastAsia="Times New Roman" w:hAnsi="Times New Roman" w:cs="Times New Roman"/>
          <w:sz w:val="24"/>
          <w:szCs w:val="24"/>
          <w:lang w:val="en-IN"/>
        </w:rPr>
        <w:t>earnings announcements.</w:t>
      </w:r>
    </w:p>
    <w:p w14:paraId="72AD0191" w14:textId="0D4FB9DF" w:rsidR="00376F3E" w:rsidRPr="00376F3E" w:rsidRDefault="00376F3E" w:rsidP="00ED21DF">
      <w:pPr>
        <w:spacing w:line="480" w:lineRule="auto"/>
        <w:ind w:left="720"/>
        <w:jc w:val="both"/>
        <w:rPr>
          <w:rFonts w:ascii="Times New Roman" w:eastAsia="Times New Roman" w:hAnsi="Times New Roman" w:cs="Times New Roman"/>
          <w:sz w:val="24"/>
          <w:szCs w:val="24"/>
          <w:lang w:val="en-IN"/>
        </w:rPr>
      </w:pPr>
      <w:r w:rsidRPr="00E2496F">
        <w:rPr>
          <w:rFonts w:ascii="Times New Roman" w:eastAsia="Times New Roman" w:hAnsi="Times New Roman" w:cs="Times New Roman"/>
          <w:b/>
          <w:bCs/>
          <w:sz w:val="24"/>
          <w:szCs w:val="24"/>
          <w:lang w:val="en-IN"/>
        </w:rPr>
        <w:t>Methodology:</w:t>
      </w:r>
      <w:r w:rsidRPr="00E2496F">
        <w:rPr>
          <w:rFonts w:ascii="Times New Roman" w:eastAsia="Times New Roman" w:hAnsi="Times New Roman" w:cs="Times New Roman"/>
          <w:b/>
          <w:bCs/>
          <w:sz w:val="24"/>
          <w:szCs w:val="24"/>
          <w:lang w:val="en-IN"/>
        </w:rPr>
        <w:t xml:space="preserve"> </w:t>
      </w:r>
      <w:r w:rsidRPr="00E2496F">
        <w:rPr>
          <w:rFonts w:ascii="Times New Roman" w:eastAsia="Times New Roman" w:hAnsi="Times New Roman" w:cs="Times New Roman"/>
          <w:sz w:val="24"/>
          <w:szCs w:val="24"/>
          <w:lang w:val="en-IN"/>
        </w:rPr>
        <w:t>Supervised classification models</w:t>
      </w:r>
      <w:r w:rsidR="0000306E" w:rsidRPr="00E2496F">
        <w:rPr>
          <w:rFonts w:ascii="Times New Roman" w:eastAsia="Times New Roman" w:hAnsi="Times New Roman" w:cs="Times New Roman"/>
          <w:sz w:val="24"/>
          <w:szCs w:val="24"/>
          <w:lang w:val="en-IN"/>
        </w:rPr>
        <w:t xml:space="preserve"> such as </w:t>
      </w:r>
      <w:r w:rsidRPr="00E2496F">
        <w:rPr>
          <w:rFonts w:ascii="Times New Roman" w:eastAsia="Times New Roman" w:hAnsi="Times New Roman" w:cs="Times New Roman"/>
          <w:sz w:val="24"/>
          <w:szCs w:val="24"/>
          <w:lang w:val="en-IN"/>
        </w:rPr>
        <w:t xml:space="preserve">Logistic Regression, Random Forest, and XGBoost, will be trained on </w:t>
      </w:r>
      <w:r w:rsidR="0000306E" w:rsidRPr="00E2496F">
        <w:rPr>
          <w:rFonts w:ascii="Times New Roman" w:eastAsia="Times New Roman" w:hAnsi="Times New Roman" w:cs="Times New Roman"/>
          <w:sz w:val="24"/>
          <w:szCs w:val="24"/>
          <w:lang w:val="en-IN"/>
        </w:rPr>
        <w:t>labelled</w:t>
      </w:r>
      <w:r w:rsidRPr="00E2496F">
        <w:rPr>
          <w:rFonts w:ascii="Times New Roman" w:eastAsia="Times New Roman" w:hAnsi="Times New Roman" w:cs="Times New Roman"/>
          <w:sz w:val="24"/>
          <w:szCs w:val="24"/>
          <w:lang w:val="en-IN"/>
        </w:rPr>
        <w:t xml:space="preserve"> financial indicators derived from quarterly earnings reports. The dependent variable will be a binary label indicating whether the stock moved “Up” or “</w:t>
      </w:r>
      <w:r w:rsidR="0000306E" w:rsidRPr="00E2496F">
        <w:rPr>
          <w:rFonts w:ascii="Times New Roman" w:eastAsia="Times New Roman" w:hAnsi="Times New Roman" w:cs="Times New Roman"/>
          <w:sz w:val="24"/>
          <w:szCs w:val="24"/>
          <w:lang w:val="en-IN"/>
        </w:rPr>
        <w:t>Down “in</w:t>
      </w:r>
      <w:r w:rsidRPr="00E2496F">
        <w:rPr>
          <w:rFonts w:ascii="Times New Roman" w:eastAsia="Times New Roman" w:hAnsi="Times New Roman" w:cs="Times New Roman"/>
          <w:sz w:val="24"/>
          <w:szCs w:val="24"/>
          <w:lang w:val="en-IN"/>
        </w:rPr>
        <w:t xml:space="preserve"> the three trading days following the announcement. The models will be evaluated using metrics such as accuracy, precision, recall, and F1-score</w:t>
      </w:r>
      <w:r>
        <w:rPr>
          <w:rFonts w:ascii="Times New Roman" w:eastAsia="Times New Roman" w:hAnsi="Times New Roman" w:cs="Times New Roman"/>
          <w:sz w:val="24"/>
          <w:szCs w:val="24"/>
        </w:rPr>
        <w:tab/>
      </w:r>
    </w:p>
    <w:p w14:paraId="4AA4FE2A" w14:textId="674665DD" w:rsidR="00E2496F" w:rsidRPr="00E2496F" w:rsidRDefault="00E2496F" w:rsidP="00ED21DF">
      <w:pPr>
        <w:numPr>
          <w:ilvl w:val="1"/>
          <w:numId w:val="3"/>
        </w:numPr>
        <w:spacing w:line="480" w:lineRule="auto"/>
        <w:ind w:left="720"/>
        <w:jc w:val="both"/>
        <w:rPr>
          <w:rFonts w:ascii="Times New Roman" w:eastAsia="Times New Roman" w:hAnsi="Times New Roman" w:cs="Times New Roman"/>
          <w:b/>
          <w:bCs/>
          <w:sz w:val="24"/>
          <w:szCs w:val="24"/>
          <w:lang w:val="en-IN"/>
        </w:rPr>
      </w:pPr>
      <w:r w:rsidRPr="00376F3E">
        <w:rPr>
          <w:rFonts w:ascii="Times New Roman" w:eastAsia="Times New Roman" w:hAnsi="Times New Roman" w:cs="Times New Roman"/>
          <w:b/>
          <w:bCs/>
          <w:sz w:val="24"/>
          <w:szCs w:val="24"/>
          <w:lang w:val="en-IN"/>
        </w:rPr>
        <w:t>RQ2:</w:t>
      </w:r>
      <w:r w:rsidRPr="00376F3E">
        <w:rPr>
          <w:rFonts w:ascii="Times New Roman" w:eastAsia="Times New Roman" w:hAnsi="Times New Roman" w:cs="Times New Roman"/>
          <w:sz w:val="24"/>
          <w:szCs w:val="24"/>
          <w:lang w:val="en-IN"/>
        </w:rPr>
        <w:t xml:space="preserve">Which structured financial indicators (e.g., EPS, PAT, OPM%) are most influential in determining short-term post-earnings </w:t>
      </w:r>
      <w:r w:rsidRPr="00E2496F">
        <w:rPr>
          <w:rFonts w:ascii="Times New Roman" w:eastAsia="Times New Roman" w:hAnsi="Times New Roman" w:cs="Times New Roman"/>
          <w:sz w:val="24"/>
          <w:szCs w:val="24"/>
          <w:lang w:val="en-IN"/>
        </w:rPr>
        <w:t>stock price</w:t>
      </w:r>
      <w:r w:rsidRPr="00376F3E">
        <w:rPr>
          <w:rFonts w:ascii="Times New Roman" w:eastAsia="Times New Roman" w:hAnsi="Times New Roman" w:cs="Times New Roman"/>
          <w:sz w:val="24"/>
          <w:szCs w:val="24"/>
          <w:lang w:val="en-IN"/>
        </w:rPr>
        <w:t xml:space="preserve"> direction?</w:t>
      </w:r>
    </w:p>
    <w:p w14:paraId="72221720" w14:textId="314A58A0" w:rsidR="00376F3E" w:rsidRPr="00376F3E" w:rsidRDefault="00E2496F" w:rsidP="00ED21DF">
      <w:pPr>
        <w:spacing w:line="480" w:lineRule="auto"/>
        <w:ind w:left="720"/>
        <w:jc w:val="both"/>
        <w:rPr>
          <w:rFonts w:ascii="Times New Roman" w:eastAsia="Times New Roman" w:hAnsi="Times New Roman" w:cs="Times New Roman"/>
          <w:sz w:val="24"/>
          <w:szCs w:val="24"/>
          <w:lang w:val="en-IN"/>
        </w:rPr>
      </w:pPr>
      <w:r w:rsidRPr="00376F3E">
        <w:rPr>
          <w:rFonts w:ascii="Times New Roman" w:eastAsia="Times New Roman" w:hAnsi="Times New Roman" w:cs="Times New Roman"/>
          <w:b/>
          <w:bCs/>
          <w:sz w:val="24"/>
          <w:szCs w:val="24"/>
          <w:lang w:val="en-IN"/>
        </w:rPr>
        <w:t>Methodology:</w:t>
      </w:r>
      <w:r w:rsidRPr="00376F3E">
        <w:rPr>
          <w:rFonts w:ascii="Times New Roman" w:eastAsia="Times New Roman" w:hAnsi="Times New Roman" w:cs="Times New Roman"/>
          <w:sz w:val="24"/>
          <w:szCs w:val="24"/>
          <w:lang w:val="en-IN"/>
        </w:rPr>
        <w:t xml:space="preserve"> To</w:t>
      </w:r>
      <w:r w:rsidR="00376F3E" w:rsidRPr="00376F3E">
        <w:rPr>
          <w:rFonts w:ascii="Times New Roman" w:eastAsia="Times New Roman" w:hAnsi="Times New Roman" w:cs="Times New Roman"/>
          <w:sz w:val="24"/>
          <w:szCs w:val="24"/>
          <w:lang w:val="en-IN"/>
        </w:rPr>
        <w:t xml:space="preserve"> assess feature importance, the study will apply model interpretation techniques such as SHAP (</w:t>
      </w:r>
      <w:r w:rsidRPr="00376F3E">
        <w:rPr>
          <w:rFonts w:ascii="Times New Roman" w:eastAsia="Times New Roman" w:hAnsi="Times New Roman" w:cs="Times New Roman"/>
          <w:sz w:val="24"/>
          <w:szCs w:val="24"/>
          <w:lang w:val="en-IN"/>
        </w:rPr>
        <w:t>Shapley Additive</w:t>
      </w:r>
      <w:r w:rsidR="00376F3E" w:rsidRPr="00376F3E">
        <w:rPr>
          <w:rFonts w:ascii="Times New Roman" w:eastAsia="Times New Roman" w:hAnsi="Times New Roman" w:cs="Times New Roman"/>
          <w:sz w:val="24"/>
          <w:szCs w:val="24"/>
          <w:lang w:val="en-IN"/>
        </w:rPr>
        <w:t xml:space="preserve"> Explanations) and permutation importance. These methods will help rank the financial variables based on their contribution to the model’s prediction, thereby identifying the most influential indicators across all trained models.</w:t>
      </w:r>
    </w:p>
    <w:p w14:paraId="78BD1FF8" w14:textId="7D42798B" w:rsidR="00E2496F" w:rsidRPr="00E2496F" w:rsidRDefault="00E2496F" w:rsidP="00ED21DF">
      <w:pPr>
        <w:numPr>
          <w:ilvl w:val="1"/>
          <w:numId w:val="3"/>
        </w:numPr>
        <w:spacing w:line="480" w:lineRule="auto"/>
        <w:ind w:left="720"/>
        <w:jc w:val="both"/>
        <w:rPr>
          <w:rFonts w:ascii="Times New Roman" w:eastAsia="Times New Roman" w:hAnsi="Times New Roman" w:cs="Times New Roman"/>
          <w:b/>
          <w:bCs/>
          <w:sz w:val="24"/>
          <w:szCs w:val="24"/>
          <w:lang w:val="en-IN"/>
        </w:rPr>
      </w:pPr>
      <w:r w:rsidRPr="00376F3E">
        <w:rPr>
          <w:rFonts w:ascii="Times New Roman" w:eastAsia="Times New Roman" w:hAnsi="Times New Roman" w:cs="Times New Roman"/>
          <w:b/>
          <w:bCs/>
          <w:sz w:val="24"/>
          <w:szCs w:val="24"/>
          <w:lang w:val="en-IN"/>
        </w:rPr>
        <w:t>RQ3:</w:t>
      </w:r>
      <w:r w:rsidRPr="00376F3E">
        <w:rPr>
          <w:rFonts w:ascii="Times New Roman" w:eastAsia="Times New Roman" w:hAnsi="Times New Roman" w:cs="Times New Roman"/>
          <w:sz w:val="24"/>
          <w:szCs w:val="24"/>
          <w:lang w:val="en-IN"/>
        </w:rPr>
        <w:t>How does the predictive performance of structured financial indicators vary across different sectors in the Indian equity market?</w:t>
      </w:r>
    </w:p>
    <w:p w14:paraId="20DE25C8" w14:textId="62F4EC32" w:rsidR="00376F3E" w:rsidRPr="00376F3E" w:rsidRDefault="00E2496F" w:rsidP="00ED21DF">
      <w:pPr>
        <w:spacing w:line="480" w:lineRule="auto"/>
        <w:ind w:left="720"/>
        <w:jc w:val="both"/>
        <w:rPr>
          <w:rFonts w:ascii="Times New Roman" w:eastAsia="Times New Roman" w:hAnsi="Times New Roman" w:cs="Times New Roman"/>
          <w:sz w:val="24"/>
          <w:szCs w:val="24"/>
          <w:lang w:val="en-IN"/>
        </w:rPr>
      </w:pPr>
      <w:r w:rsidRPr="00376F3E">
        <w:rPr>
          <w:rFonts w:ascii="Times New Roman" w:eastAsia="Times New Roman" w:hAnsi="Times New Roman" w:cs="Times New Roman"/>
          <w:b/>
          <w:bCs/>
          <w:sz w:val="24"/>
          <w:szCs w:val="24"/>
          <w:lang w:val="en-IN"/>
        </w:rPr>
        <w:t>Methodology:</w:t>
      </w:r>
      <w:r w:rsidRPr="00376F3E">
        <w:rPr>
          <w:rFonts w:ascii="Times New Roman" w:eastAsia="Times New Roman" w:hAnsi="Times New Roman" w:cs="Times New Roman"/>
          <w:sz w:val="24"/>
          <w:szCs w:val="24"/>
          <w:lang w:val="en-IN"/>
        </w:rPr>
        <w:t xml:space="preserve"> The</w:t>
      </w:r>
      <w:r w:rsidR="00376F3E" w:rsidRPr="00376F3E">
        <w:rPr>
          <w:rFonts w:ascii="Times New Roman" w:eastAsia="Times New Roman" w:hAnsi="Times New Roman" w:cs="Times New Roman"/>
          <w:sz w:val="24"/>
          <w:szCs w:val="24"/>
          <w:lang w:val="en-IN"/>
        </w:rPr>
        <w:t xml:space="preserve"> test dataset will be stratified by sector, and model performance will be evaluated separately for each group. </w:t>
      </w:r>
      <w:r w:rsidRPr="00376F3E">
        <w:rPr>
          <w:rFonts w:ascii="Times New Roman" w:eastAsia="Times New Roman" w:hAnsi="Times New Roman" w:cs="Times New Roman"/>
          <w:sz w:val="24"/>
          <w:szCs w:val="24"/>
          <w:lang w:val="en-IN"/>
        </w:rPr>
        <w:t>Classification metrics</w:t>
      </w:r>
      <w:r w:rsidR="00376F3E" w:rsidRPr="00376F3E">
        <w:rPr>
          <w:rFonts w:ascii="Times New Roman" w:eastAsia="Times New Roman" w:hAnsi="Times New Roman" w:cs="Times New Roman"/>
          <w:sz w:val="24"/>
          <w:szCs w:val="24"/>
          <w:lang w:val="en-IN"/>
        </w:rPr>
        <w:t xml:space="preserve">, primarily F1-score and </w:t>
      </w:r>
      <w:r w:rsidR="00376F3E" w:rsidRPr="00376F3E">
        <w:rPr>
          <w:rFonts w:ascii="Times New Roman" w:eastAsia="Times New Roman" w:hAnsi="Times New Roman" w:cs="Times New Roman"/>
          <w:sz w:val="24"/>
          <w:szCs w:val="24"/>
          <w:lang w:val="en-IN"/>
        </w:rPr>
        <w:lastRenderedPageBreak/>
        <w:t xml:space="preserve">accuracy will be used to identify whether certain sectors yield higher or lower predictive accuracy. </w:t>
      </w:r>
      <w:r w:rsidRPr="00376F3E">
        <w:rPr>
          <w:rFonts w:ascii="Times New Roman" w:eastAsia="Times New Roman" w:hAnsi="Times New Roman" w:cs="Times New Roman"/>
          <w:sz w:val="24"/>
          <w:szCs w:val="24"/>
          <w:lang w:val="en-IN"/>
        </w:rPr>
        <w:t>This will</w:t>
      </w:r>
      <w:r w:rsidR="00376F3E" w:rsidRPr="00376F3E">
        <w:rPr>
          <w:rFonts w:ascii="Times New Roman" w:eastAsia="Times New Roman" w:hAnsi="Times New Roman" w:cs="Times New Roman"/>
          <w:sz w:val="24"/>
          <w:szCs w:val="24"/>
          <w:lang w:val="en-IN"/>
        </w:rPr>
        <w:t xml:space="preserve"> help determine whether the predictive strength of financial indicators is </w:t>
      </w:r>
      <w:r w:rsidRPr="00376F3E">
        <w:rPr>
          <w:rFonts w:ascii="Times New Roman" w:eastAsia="Times New Roman" w:hAnsi="Times New Roman" w:cs="Times New Roman"/>
          <w:sz w:val="24"/>
          <w:szCs w:val="24"/>
          <w:lang w:val="en-IN"/>
        </w:rPr>
        <w:t>sector specific</w:t>
      </w:r>
      <w:r w:rsidR="00376F3E" w:rsidRPr="00376F3E">
        <w:rPr>
          <w:rFonts w:ascii="Times New Roman" w:eastAsia="Times New Roman" w:hAnsi="Times New Roman" w:cs="Times New Roman"/>
          <w:sz w:val="24"/>
          <w:szCs w:val="24"/>
          <w:lang w:val="en-IN"/>
        </w:rPr>
        <w:t>.</w:t>
      </w:r>
    </w:p>
    <w:p w14:paraId="2369FAC8" w14:textId="7114DC14" w:rsidR="00E2496F" w:rsidRPr="00E2496F" w:rsidRDefault="00E2496F" w:rsidP="00ED21DF">
      <w:pPr>
        <w:numPr>
          <w:ilvl w:val="1"/>
          <w:numId w:val="3"/>
        </w:numPr>
        <w:spacing w:line="480" w:lineRule="auto"/>
        <w:ind w:left="720"/>
        <w:jc w:val="both"/>
        <w:rPr>
          <w:rFonts w:ascii="Times New Roman" w:eastAsia="Times New Roman" w:hAnsi="Times New Roman" w:cs="Times New Roman"/>
          <w:b/>
          <w:bCs/>
          <w:sz w:val="24"/>
          <w:szCs w:val="24"/>
          <w:lang w:val="en-IN"/>
        </w:rPr>
      </w:pPr>
      <w:r w:rsidRPr="00376F3E">
        <w:rPr>
          <w:rFonts w:ascii="Times New Roman" w:eastAsia="Times New Roman" w:hAnsi="Times New Roman" w:cs="Times New Roman"/>
          <w:b/>
          <w:bCs/>
          <w:sz w:val="24"/>
          <w:szCs w:val="24"/>
          <w:lang w:val="en-IN"/>
        </w:rPr>
        <w:t>RQ4:</w:t>
      </w:r>
      <w:r w:rsidRPr="00376F3E">
        <w:rPr>
          <w:rFonts w:ascii="Times New Roman" w:eastAsia="Times New Roman" w:hAnsi="Times New Roman" w:cs="Times New Roman"/>
          <w:sz w:val="24"/>
          <w:szCs w:val="24"/>
          <w:lang w:val="en-IN"/>
        </w:rPr>
        <w:t>How does the performance of different machine learning algorithms (e.g., Logistic Regression, Random Forest, XGBoost) compare when trained exclusively on structured financial indicators?</w:t>
      </w:r>
    </w:p>
    <w:p w14:paraId="08D5F4AE" w14:textId="77777777" w:rsidR="004F3920" w:rsidRDefault="00E2496F" w:rsidP="004F3920">
      <w:pPr>
        <w:spacing w:line="480" w:lineRule="auto"/>
        <w:ind w:left="720"/>
        <w:jc w:val="both"/>
        <w:rPr>
          <w:rFonts w:ascii="Times New Roman" w:eastAsia="Times New Roman" w:hAnsi="Times New Roman" w:cs="Times New Roman"/>
          <w:sz w:val="24"/>
          <w:szCs w:val="24"/>
          <w:lang w:val="en-IN"/>
        </w:rPr>
      </w:pPr>
      <w:r w:rsidRPr="00376F3E">
        <w:rPr>
          <w:rFonts w:ascii="Times New Roman" w:eastAsia="Times New Roman" w:hAnsi="Times New Roman" w:cs="Times New Roman"/>
          <w:b/>
          <w:bCs/>
          <w:sz w:val="24"/>
          <w:szCs w:val="24"/>
          <w:lang w:val="en-IN"/>
        </w:rPr>
        <w:t>Methodology:</w:t>
      </w:r>
      <w:r w:rsidRPr="00376F3E">
        <w:rPr>
          <w:rFonts w:ascii="Times New Roman" w:eastAsia="Times New Roman" w:hAnsi="Times New Roman" w:cs="Times New Roman"/>
          <w:sz w:val="24"/>
          <w:szCs w:val="24"/>
          <w:lang w:val="en-IN"/>
        </w:rPr>
        <w:t xml:space="preserve"> A</w:t>
      </w:r>
      <w:r w:rsidR="00376F3E" w:rsidRPr="00376F3E">
        <w:rPr>
          <w:rFonts w:ascii="Times New Roman" w:eastAsia="Times New Roman" w:hAnsi="Times New Roman" w:cs="Times New Roman"/>
          <w:sz w:val="24"/>
          <w:szCs w:val="24"/>
          <w:lang w:val="en-IN"/>
        </w:rPr>
        <w:t xml:space="preserve"> comparative analysis will be conducted using three machine learning models: Logistic Regression, Random Forest, and XGBoost. Each model will be evaluated using stratified k-fold cross-validation. Performance will be compared using classification metrics </w:t>
      </w:r>
      <w:r w:rsidRPr="00376F3E">
        <w:rPr>
          <w:rFonts w:ascii="Times New Roman" w:eastAsia="Times New Roman" w:hAnsi="Times New Roman" w:cs="Times New Roman"/>
          <w:sz w:val="24"/>
          <w:szCs w:val="24"/>
          <w:lang w:val="en-IN"/>
        </w:rPr>
        <w:t>such as</w:t>
      </w:r>
      <w:r w:rsidR="00376F3E" w:rsidRPr="00376F3E">
        <w:rPr>
          <w:rFonts w:ascii="Times New Roman" w:eastAsia="Times New Roman" w:hAnsi="Times New Roman" w:cs="Times New Roman"/>
          <w:sz w:val="24"/>
          <w:szCs w:val="24"/>
          <w:lang w:val="en-IN"/>
        </w:rPr>
        <w:t xml:space="preserve"> F1-score, accuracy, and ROC-AUC to determine which algorithm is most effective for this prediction task.</w:t>
      </w:r>
    </w:p>
    <w:p w14:paraId="0000002B" w14:textId="13185C4E" w:rsidR="008728C3" w:rsidRDefault="00000000" w:rsidP="004F3920">
      <w:pPr>
        <w:spacing w:line="480" w:lineRule="auto"/>
        <w:ind w:left="720"/>
        <w:jc w:val="center"/>
        <w:rPr>
          <w:rFonts w:ascii="Times New Roman" w:hAnsi="Times New Roman" w:cs="Times New Roman"/>
          <w:b/>
          <w:bCs/>
          <w:sz w:val="28"/>
          <w:szCs w:val="28"/>
        </w:rPr>
      </w:pPr>
      <w:r w:rsidRPr="004F3920">
        <w:rPr>
          <w:rFonts w:ascii="Times New Roman" w:hAnsi="Times New Roman" w:cs="Times New Roman"/>
          <w:b/>
          <w:bCs/>
          <w:sz w:val="28"/>
          <w:szCs w:val="28"/>
        </w:rPr>
        <w:t>Literature survey</w:t>
      </w:r>
    </w:p>
    <w:p w14:paraId="6FAFC120" w14:textId="434777E1" w:rsidR="00652359" w:rsidRPr="00652359" w:rsidRDefault="00652359" w:rsidP="004F3920">
      <w:pPr>
        <w:spacing w:line="480" w:lineRule="auto"/>
        <w:ind w:left="720"/>
        <w:jc w:val="center"/>
        <w:rPr>
          <w:rFonts w:ascii="Times New Roman" w:hAnsi="Times New Roman" w:cs="Times New Roman"/>
          <w:b/>
          <w:bCs/>
          <w:color w:val="EE0000"/>
          <w:sz w:val="28"/>
          <w:szCs w:val="28"/>
        </w:rPr>
      </w:pPr>
      <w:r w:rsidRPr="00652359">
        <w:rPr>
          <w:rFonts w:ascii="Times New Roman" w:hAnsi="Times New Roman" w:cs="Times New Roman"/>
          <w:b/>
          <w:bCs/>
          <w:color w:val="EE0000"/>
          <w:sz w:val="28"/>
          <w:szCs w:val="28"/>
        </w:rPr>
        <w:t xml:space="preserve">To be added </w:t>
      </w:r>
    </w:p>
    <w:p w14:paraId="0000002D" w14:textId="77777777" w:rsidR="008728C3" w:rsidRPr="00855AF1" w:rsidRDefault="00000000" w:rsidP="007D697D">
      <w:pPr>
        <w:pStyle w:val="Heading1"/>
        <w:spacing w:line="480" w:lineRule="auto"/>
        <w:jc w:val="center"/>
        <w:rPr>
          <w:rFonts w:ascii="Times New Roman" w:hAnsi="Times New Roman" w:cs="Times New Roman"/>
          <w:b/>
          <w:bCs/>
          <w:sz w:val="28"/>
          <w:szCs w:val="28"/>
        </w:rPr>
      </w:pPr>
      <w:r w:rsidRPr="00855AF1">
        <w:rPr>
          <w:rFonts w:ascii="Times New Roman" w:hAnsi="Times New Roman" w:cs="Times New Roman"/>
          <w:b/>
          <w:bCs/>
          <w:sz w:val="28"/>
          <w:szCs w:val="28"/>
        </w:rPr>
        <w:t>Data Description</w:t>
      </w:r>
    </w:p>
    <w:p w14:paraId="071EEF81" w14:textId="501E2705" w:rsidR="00CB3CF0" w:rsidRDefault="00CB3CF0" w:rsidP="00ED21DF">
      <w:pPr>
        <w:spacing w:line="480" w:lineRule="auto"/>
        <w:ind w:left="720"/>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GITHUB REPO: </w:t>
      </w:r>
      <w:hyperlink r:id="rId7" w:history="1">
        <w:proofErr w:type="spellStart"/>
        <w:r w:rsidRPr="00CB3CF0">
          <w:rPr>
            <w:rStyle w:val="Hyperlink"/>
            <w:rFonts w:ascii="Times New Roman" w:eastAsia="Times New Roman" w:hAnsi="Times New Roman" w:cs="Times New Roman"/>
          </w:rPr>
          <w:t>abhivedwa</w:t>
        </w:r>
        <w:proofErr w:type="spellEnd"/>
        <w:r w:rsidRPr="00CB3CF0">
          <w:rPr>
            <w:rStyle w:val="Hyperlink"/>
            <w:rFonts w:ascii="Times New Roman" w:eastAsia="Times New Roman" w:hAnsi="Times New Roman" w:cs="Times New Roman"/>
          </w:rPr>
          <w:t>/Walsh-</w:t>
        </w:r>
        <w:proofErr w:type="spellStart"/>
        <w:r w:rsidRPr="00CB3CF0">
          <w:rPr>
            <w:rStyle w:val="Hyperlink"/>
            <w:rFonts w:ascii="Times New Roman" w:eastAsia="Times New Roman" w:hAnsi="Times New Roman" w:cs="Times New Roman"/>
          </w:rPr>
          <w:t>MS_CapstoneProject</w:t>
        </w:r>
        <w:proofErr w:type="spellEnd"/>
      </w:hyperlink>
    </w:p>
    <w:p w14:paraId="5050B7D8" w14:textId="77F18241" w:rsidR="001278A5" w:rsidRPr="00BF0E66" w:rsidRDefault="001278A5" w:rsidP="00ED21DF">
      <w:pPr>
        <w:spacing w:line="480" w:lineRule="auto"/>
        <w:ind w:left="720"/>
        <w:jc w:val="both"/>
        <w:rPr>
          <w:rFonts w:ascii="Times New Roman" w:eastAsia="Times New Roman" w:hAnsi="Times New Roman" w:cs="Times New Roman"/>
          <w:sz w:val="24"/>
          <w:szCs w:val="24"/>
          <w:lang w:val="en-IN"/>
        </w:rPr>
      </w:pPr>
      <w:r w:rsidRPr="00AF7FBF">
        <w:rPr>
          <w:rFonts w:ascii="Times New Roman" w:eastAsia="Times New Roman" w:hAnsi="Times New Roman" w:cs="Times New Roman"/>
          <w:sz w:val="24"/>
          <w:szCs w:val="24"/>
          <w:lang w:val="en-IN"/>
        </w:rPr>
        <w:t xml:space="preserve">This dataset </w:t>
      </w:r>
      <w:r w:rsidRPr="00AF7FBF">
        <w:rPr>
          <w:rFonts w:ascii="Times New Roman" w:eastAsia="Times New Roman" w:hAnsi="Times New Roman" w:cs="Times New Roman"/>
          <w:sz w:val="24"/>
          <w:szCs w:val="24"/>
          <w:lang w:val="en-IN"/>
        </w:rPr>
        <w:t>MS_Capstone_Final_Raw_Dump</w:t>
      </w:r>
      <w:r w:rsidRPr="00AF7FBF">
        <w:rPr>
          <w:rFonts w:ascii="Times New Roman" w:eastAsia="Times New Roman" w:hAnsi="Times New Roman" w:cs="Times New Roman"/>
          <w:sz w:val="24"/>
          <w:szCs w:val="24"/>
          <w:lang w:val="en-IN"/>
        </w:rPr>
        <w:t>.xlsx has raw</w:t>
      </w:r>
      <w:r w:rsidR="00BF0E66" w:rsidRPr="00BF0E66">
        <w:rPr>
          <w:rFonts w:ascii="Times New Roman" w:eastAsia="Times New Roman" w:hAnsi="Times New Roman" w:cs="Times New Roman"/>
          <w:sz w:val="24"/>
          <w:szCs w:val="24"/>
          <w:lang w:val="en-IN"/>
        </w:rPr>
        <w:t xml:space="preserve"> structured, quarter-by-quarter panel covering India’s top 45 listed companies across five sectors from July 2022 to July 2025 (13 result cycles → ~585 rows). </w:t>
      </w:r>
      <w:r w:rsidRPr="00BF0E66">
        <w:rPr>
          <w:rFonts w:ascii="Times New Roman" w:eastAsia="Times New Roman" w:hAnsi="Times New Roman" w:cs="Times New Roman"/>
          <w:sz w:val="24"/>
          <w:szCs w:val="24"/>
          <w:lang w:val="en-IN"/>
        </w:rPr>
        <w:t xml:space="preserve">This “raw” layer intentionally avoids normalization or feature engineering so downstream analysis can be audited and reproduced easily. </w:t>
      </w:r>
    </w:p>
    <w:p w14:paraId="24B0664E" w14:textId="43A9B0FC" w:rsidR="00BF0E66" w:rsidRPr="00BF0E66" w:rsidRDefault="00BF0E66" w:rsidP="00ED21DF">
      <w:pPr>
        <w:spacing w:line="480" w:lineRule="auto"/>
        <w:ind w:left="720"/>
        <w:jc w:val="both"/>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 xml:space="preserve">For each company and </w:t>
      </w:r>
      <w:r w:rsidR="001278A5" w:rsidRPr="00AF7FBF">
        <w:rPr>
          <w:rFonts w:ascii="Times New Roman" w:eastAsia="Times New Roman" w:hAnsi="Times New Roman" w:cs="Times New Roman"/>
          <w:sz w:val="24"/>
          <w:szCs w:val="24"/>
          <w:lang w:val="en-IN"/>
        </w:rPr>
        <w:t>quarter,</w:t>
      </w:r>
      <w:r w:rsidRPr="00BF0E66">
        <w:rPr>
          <w:rFonts w:ascii="Times New Roman" w:eastAsia="Times New Roman" w:hAnsi="Times New Roman" w:cs="Times New Roman"/>
          <w:sz w:val="24"/>
          <w:szCs w:val="24"/>
          <w:lang w:val="en-IN"/>
        </w:rPr>
        <w:t xml:space="preserve"> we record:</w:t>
      </w:r>
    </w:p>
    <w:p w14:paraId="1E518585" w14:textId="1929578A" w:rsidR="00BF0E66" w:rsidRPr="00BF0E66" w:rsidRDefault="001278A5" w:rsidP="00ED21DF">
      <w:pPr>
        <w:numPr>
          <w:ilvl w:val="0"/>
          <w:numId w:val="4"/>
        </w:numPr>
        <w:tabs>
          <w:tab w:val="num" w:pos="720"/>
        </w:tabs>
        <w:spacing w:line="480" w:lineRule="auto"/>
        <w:jc w:val="both"/>
        <w:rPr>
          <w:rFonts w:ascii="Times New Roman" w:eastAsia="Times New Roman" w:hAnsi="Times New Roman" w:cs="Times New Roman"/>
          <w:sz w:val="24"/>
          <w:szCs w:val="24"/>
          <w:lang w:val="en-IN"/>
        </w:rPr>
      </w:pPr>
      <w:r w:rsidRPr="00AF7FBF">
        <w:rPr>
          <w:rFonts w:ascii="Times New Roman" w:eastAsia="Times New Roman" w:hAnsi="Times New Roman" w:cs="Times New Roman"/>
          <w:sz w:val="24"/>
          <w:szCs w:val="24"/>
          <w:lang w:val="en-IN"/>
        </w:rPr>
        <w:t>T</w:t>
      </w:r>
      <w:r w:rsidR="00BF0E66" w:rsidRPr="00BF0E66">
        <w:rPr>
          <w:rFonts w:ascii="Times New Roman" w:eastAsia="Times New Roman" w:hAnsi="Times New Roman" w:cs="Times New Roman"/>
          <w:sz w:val="24"/>
          <w:szCs w:val="24"/>
          <w:lang w:val="en-IN"/>
        </w:rPr>
        <w:t>he official earnings announcement date (“Result Date”),</w:t>
      </w:r>
    </w:p>
    <w:p w14:paraId="387C0839" w14:textId="1DAD9811" w:rsidR="00BF0E66" w:rsidRPr="00BF0E66" w:rsidRDefault="001278A5" w:rsidP="00ED21DF">
      <w:pPr>
        <w:numPr>
          <w:ilvl w:val="0"/>
          <w:numId w:val="4"/>
        </w:numPr>
        <w:tabs>
          <w:tab w:val="num" w:pos="720"/>
        </w:tabs>
        <w:spacing w:line="480" w:lineRule="auto"/>
        <w:jc w:val="both"/>
        <w:rPr>
          <w:rFonts w:ascii="Times New Roman" w:eastAsia="Times New Roman" w:hAnsi="Times New Roman" w:cs="Times New Roman"/>
          <w:sz w:val="24"/>
          <w:szCs w:val="24"/>
          <w:lang w:val="en-IN"/>
        </w:rPr>
      </w:pPr>
      <w:r w:rsidRPr="00AF7FBF">
        <w:rPr>
          <w:rFonts w:ascii="Times New Roman" w:eastAsia="Times New Roman" w:hAnsi="Times New Roman" w:cs="Times New Roman"/>
          <w:sz w:val="24"/>
          <w:szCs w:val="24"/>
          <w:lang w:val="en-IN"/>
        </w:rPr>
        <w:t>T</w:t>
      </w:r>
      <w:r w:rsidR="00BF0E66" w:rsidRPr="00BF0E66">
        <w:rPr>
          <w:rFonts w:ascii="Times New Roman" w:eastAsia="Times New Roman" w:hAnsi="Times New Roman" w:cs="Times New Roman"/>
          <w:sz w:val="24"/>
          <w:szCs w:val="24"/>
          <w:lang w:val="en-IN"/>
        </w:rPr>
        <w:t>he main financial statement numbers as published for that quarter, and</w:t>
      </w:r>
    </w:p>
    <w:p w14:paraId="0954426F" w14:textId="78E1F6B0" w:rsidR="00BF0E66" w:rsidRPr="00AF7FBF" w:rsidRDefault="001278A5" w:rsidP="00ED21DF">
      <w:pPr>
        <w:numPr>
          <w:ilvl w:val="0"/>
          <w:numId w:val="4"/>
        </w:numPr>
        <w:tabs>
          <w:tab w:val="num" w:pos="720"/>
        </w:tabs>
        <w:spacing w:line="480" w:lineRule="auto"/>
        <w:jc w:val="both"/>
        <w:rPr>
          <w:rFonts w:ascii="Times New Roman" w:eastAsia="Times New Roman" w:hAnsi="Times New Roman" w:cs="Times New Roman"/>
          <w:sz w:val="24"/>
          <w:szCs w:val="24"/>
          <w:lang w:val="en-IN"/>
        </w:rPr>
      </w:pPr>
      <w:r w:rsidRPr="00AF7FBF">
        <w:rPr>
          <w:rFonts w:ascii="Times New Roman" w:eastAsia="Times New Roman" w:hAnsi="Times New Roman" w:cs="Times New Roman"/>
          <w:sz w:val="24"/>
          <w:szCs w:val="24"/>
          <w:lang w:val="en-IN"/>
        </w:rPr>
        <w:lastRenderedPageBreak/>
        <w:t>T</w:t>
      </w:r>
      <w:r w:rsidR="00BF0E66" w:rsidRPr="00BF0E66">
        <w:rPr>
          <w:rFonts w:ascii="Times New Roman" w:eastAsia="Times New Roman" w:hAnsi="Times New Roman" w:cs="Times New Roman"/>
          <w:sz w:val="24"/>
          <w:szCs w:val="24"/>
          <w:lang w:val="en-IN"/>
        </w:rPr>
        <w:t>he stock’s closing prices on and after the announcement (T, T+1, T+2, T+3), aligned to actual trading days.</w:t>
      </w:r>
    </w:p>
    <w:p w14:paraId="5F38414B" w14:textId="77777777" w:rsidR="00855AF1" w:rsidRPr="007D697D" w:rsidRDefault="00855AF1" w:rsidP="007D697D">
      <w:pPr>
        <w:pStyle w:val="Heading2"/>
        <w:rPr>
          <w:rFonts w:ascii="Times New Roman" w:hAnsi="Times New Roman" w:cs="Times New Roman"/>
          <w:sz w:val="28"/>
          <w:szCs w:val="28"/>
        </w:rPr>
      </w:pPr>
      <w:r w:rsidRPr="007D697D">
        <w:rPr>
          <w:rFonts w:ascii="Times New Roman" w:hAnsi="Times New Roman" w:cs="Times New Roman"/>
          <w:sz w:val="28"/>
          <w:szCs w:val="28"/>
        </w:rPr>
        <w:t>Columns in the file (what each means)</w:t>
      </w:r>
    </w:p>
    <w:p w14:paraId="51F5D6A4" w14:textId="77777777" w:rsidR="00855AF1" w:rsidRPr="001278A5" w:rsidRDefault="00855AF1" w:rsidP="007D697D">
      <w:pPr>
        <w:spacing w:line="240" w:lineRule="auto"/>
        <w:jc w:val="both"/>
        <w:rPr>
          <w:rFonts w:ascii="Times New Roman" w:eastAsia="Times New Roman" w:hAnsi="Times New Roman" w:cs="Times New Roman"/>
          <w:lang w:val="en-IN"/>
        </w:rPr>
      </w:pPr>
    </w:p>
    <w:tbl>
      <w:tblPr>
        <w:tblpPr w:leftFromText="180" w:rightFromText="180" w:vertAnchor="text" w:horzAnchor="margin" w:tblpXSpec="right" w:tblpY="404"/>
        <w:tblW w:w="8784" w:type="dxa"/>
        <w:tblLook w:val="04A0" w:firstRow="1" w:lastRow="0" w:firstColumn="1" w:lastColumn="0" w:noHBand="0" w:noVBand="1"/>
      </w:tblPr>
      <w:tblGrid>
        <w:gridCol w:w="1677"/>
        <w:gridCol w:w="2904"/>
        <w:gridCol w:w="1030"/>
        <w:gridCol w:w="3173"/>
      </w:tblGrid>
      <w:tr w:rsidR="00855AF1" w:rsidRPr="001278A5" w14:paraId="385DAAC8"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4F81BD" w:fill="4F81BD"/>
            <w:hideMark/>
          </w:tcPr>
          <w:p w14:paraId="375ADD9C" w14:textId="77777777" w:rsidR="00855AF1" w:rsidRPr="001278A5" w:rsidRDefault="00855AF1" w:rsidP="007D697D">
            <w:pPr>
              <w:spacing w:line="240" w:lineRule="auto"/>
              <w:jc w:val="center"/>
              <w:rPr>
                <w:rFonts w:ascii="Times New Roman" w:eastAsia="Times New Roman" w:hAnsi="Times New Roman" w:cs="Times New Roman"/>
                <w:b/>
                <w:bCs/>
                <w:color w:val="FFFFFF"/>
                <w:sz w:val="24"/>
                <w:szCs w:val="24"/>
                <w:lang w:val="en-IN"/>
              </w:rPr>
            </w:pPr>
            <w:r w:rsidRPr="001278A5">
              <w:rPr>
                <w:rFonts w:ascii="Times New Roman" w:eastAsia="Times New Roman" w:hAnsi="Times New Roman" w:cs="Times New Roman"/>
                <w:b/>
                <w:bCs/>
                <w:color w:val="FFFFFF"/>
                <w:sz w:val="24"/>
                <w:szCs w:val="24"/>
                <w:lang w:val="en-IN"/>
              </w:rPr>
              <w:t>Name</w:t>
            </w:r>
          </w:p>
        </w:tc>
        <w:tc>
          <w:tcPr>
            <w:tcW w:w="2904" w:type="dxa"/>
            <w:tcBorders>
              <w:top w:val="single" w:sz="4" w:space="0" w:color="auto"/>
              <w:left w:val="single" w:sz="4" w:space="0" w:color="auto"/>
              <w:bottom w:val="single" w:sz="4" w:space="0" w:color="auto"/>
              <w:right w:val="single" w:sz="4" w:space="0" w:color="auto"/>
            </w:tcBorders>
            <w:shd w:val="clear" w:color="4F81BD" w:fill="4F81BD"/>
            <w:hideMark/>
          </w:tcPr>
          <w:p w14:paraId="33F473DA" w14:textId="77777777" w:rsidR="00855AF1" w:rsidRPr="001278A5" w:rsidRDefault="00855AF1" w:rsidP="007D697D">
            <w:pPr>
              <w:spacing w:line="240" w:lineRule="auto"/>
              <w:jc w:val="center"/>
              <w:rPr>
                <w:rFonts w:ascii="Times New Roman" w:eastAsia="Times New Roman" w:hAnsi="Times New Roman" w:cs="Times New Roman"/>
                <w:b/>
                <w:bCs/>
                <w:color w:val="FFFFFF"/>
                <w:sz w:val="24"/>
                <w:szCs w:val="24"/>
                <w:lang w:val="en-IN"/>
              </w:rPr>
            </w:pPr>
            <w:r w:rsidRPr="001278A5">
              <w:rPr>
                <w:rFonts w:ascii="Times New Roman" w:eastAsia="Times New Roman" w:hAnsi="Times New Roman" w:cs="Times New Roman"/>
                <w:b/>
                <w:bCs/>
                <w:color w:val="FFFFFF"/>
                <w:sz w:val="24"/>
                <w:szCs w:val="24"/>
                <w:lang w:val="en-IN"/>
              </w:rPr>
              <w:t>Description</w:t>
            </w:r>
          </w:p>
        </w:tc>
        <w:tc>
          <w:tcPr>
            <w:tcW w:w="1030" w:type="dxa"/>
            <w:tcBorders>
              <w:top w:val="single" w:sz="4" w:space="0" w:color="auto"/>
              <w:left w:val="single" w:sz="4" w:space="0" w:color="auto"/>
              <w:bottom w:val="single" w:sz="4" w:space="0" w:color="auto"/>
              <w:right w:val="single" w:sz="4" w:space="0" w:color="auto"/>
            </w:tcBorders>
            <w:shd w:val="clear" w:color="4F81BD" w:fill="4F81BD"/>
            <w:hideMark/>
          </w:tcPr>
          <w:p w14:paraId="440D454A" w14:textId="77777777" w:rsidR="00855AF1" w:rsidRPr="001278A5" w:rsidRDefault="00855AF1" w:rsidP="007D697D">
            <w:pPr>
              <w:spacing w:line="240" w:lineRule="auto"/>
              <w:jc w:val="center"/>
              <w:rPr>
                <w:rFonts w:ascii="Times New Roman" w:eastAsia="Times New Roman" w:hAnsi="Times New Roman" w:cs="Times New Roman"/>
                <w:b/>
                <w:bCs/>
                <w:color w:val="FFFFFF"/>
                <w:sz w:val="24"/>
                <w:szCs w:val="24"/>
                <w:lang w:val="en-IN"/>
              </w:rPr>
            </w:pPr>
            <w:r w:rsidRPr="001278A5">
              <w:rPr>
                <w:rFonts w:ascii="Times New Roman" w:eastAsia="Times New Roman" w:hAnsi="Times New Roman" w:cs="Times New Roman"/>
                <w:b/>
                <w:bCs/>
                <w:color w:val="FFFFFF"/>
                <w:sz w:val="24"/>
                <w:szCs w:val="24"/>
                <w:lang w:val="en-IN"/>
              </w:rPr>
              <w:t>Derived</w:t>
            </w:r>
          </w:p>
        </w:tc>
        <w:tc>
          <w:tcPr>
            <w:tcW w:w="3173" w:type="dxa"/>
            <w:tcBorders>
              <w:top w:val="single" w:sz="4" w:space="0" w:color="auto"/>
              <w:left w:val="single" w:sz="4" w:space="0" w:color="auto"/>
              <w:bottom w:val="single" w:sz="4" w:space="0" w:color="auto"/>
              <w:right w:val="single" w:sz="4" w:space="0" w:color="auto"/>
            </w:tcBorders>
            <w:shd w:val="clear" w:color="4F81BD" w:fill="4F81BD"/>
            <w:hideMark/>
          </w:tcPr>
          <w:p w14:paraId="4C281295" w14:textId="77777777" w:rsidR="00855AF1" w:rsidRPr="001278A5" w:rsidRDefault="00855AF1" w:rsidP="007D697D">
            <w:pPr>
              <w:spacing w:line="240" w:lineRule="auto"/>
              <w:jc w:val="center"/>
              <w:rPr>
                <w:rFonts w:ascii="Times New Roman" w:eastAsia="Times New Roman" w:hAnsi="Times New Roman" w:cs="Times New Roman"/>
                <w:b/>
                <w:bCs/>
                <w:color w:val="FFFFFF"/>
                <w:sz w:val="24"/>
                <w:szCs w:val="24"/>
                <w:lang w:val="en-IN"/>
              </w:rPr>
            </w:pPr>
            <w:r w:rsidRPr="001278A5">
              <w:rPr>
                <w:rFonts w:ascii="Times New Roman" w:eastAsia="Times New Roman" w:hAnsi="Times New Roman" w:cs="Times New Roman"/>
                <w:b/>
                <w:bCs/>
                <w:color w:val="FFFFFF"/>
                <w:sz w:val="24"/>
                <w:szCs w:val="24"/>
                <w:lang w:val="en-IN"/>
              </w:rPr>
              <w:t>Formula / Rule (if derived)</w:t>
            </w:r>
          </w:p>
        </w:tc>
      </w:tr>
      <w:tr w:rsidR="00855AF1" w:rsidRPr="001278A5" w14:paraId="09C1CFF6"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7C6D8D8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Company</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11DB49D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Listed company name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24AC6FD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064B171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39FD0D4A"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6B53B47B"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Ticker</w:t>
            </w:r>
          </w:p>
        </w:tc>
        <w:tc>
          <w:tcPr>
            <w:tcW w:w="2904" w:type="dxa"/>
            <w:tcBorders>
              <w:top w:val="single" w:sz="4" w:space="0" w:color="auto"/>
              <w:left w:val="single" w:sz="4" w:space="0" w:color="auto"/>
              <w:bottom w:val="single" w:sz="4" w:space="0" w:color="auto"/>
              <w:right w:val="single" w:sz="4" w:space="0" w:color="auto"/>
            </w:tcBorders>
            <w:hideMark/>
          </w:tcPr>
          <w:p w14:paraId="053FC1A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Indian exchange symbol</w:t>
            </w:r>
          </w:p>
        </w:tc>
        <w:tc>
          <w:tcPr>
            <w:tcW w:w="1030" w:type="dxa"/>
            <w:tcBorders>
              <w:top w:val="single" w:sz="4" w:space="0" w:color="auto"/>
              <w:left w:val="single" w:sz="4" w:space="0" w:color="auto"/>
              <w:bottom w:val="single" w:sz="4" w:space="0" w:color="auto"/>
              <w:right w:val="single" w:sz="4" w:space="0" w:color="auto"/>
            </w:tcBorders>
            <w:hideMark/>
          </w:tcPr>
          <w:p w14:paraId="79F4FDF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46BF751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4AA2249C"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3BF3A05B"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AV_Ticker.BSE</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0C5BA00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Alpha Vantage symbol</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3217AFC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51BFEAD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653E400B"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496345F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Sector</w:t>
            </w:r>
          </w:p>
        </w:tc>
        <w:tc>
          <w:tcPr>
            <w:tcW w:w="2904" w:type="dxa"/>
            <w:tcBorders>
              <w:top w:val="single" w:sz="4" w:space="0" w:color="auto"/>
              <w:left w:val="single" w:sz="4" w:space="0" w:color="auto"/>
              <w:bottom w:val="single" w:sz="4" w:space="0" w:color="auto"/>
              <w:right w:val="single" w:sz="4" w:space="0" w:color="auto"/>
            </w:tcBorders>
            <w:hideMark/>
          </w:tcPr>
          <w:p w14:paraId="0080180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One of 5 sectors</w:t>
            </w:r>
          </w:p>
        </w:tc>
        <w:tc>
          <w:tcPr>
            <w:tcW w:w="1030" w:type="dxa"/>
            <w:tcBorders>
              <w:top w:val="single" w:sz="4" w:space="0" w:color="auto"/>
              <w:left w:val="single" w:sz="4" w:space="0" w:color="auto"/>
              <w:bottom w:val="single" w:sz="4" w:space="0" w:color="auto"/>
              <w:right w:val="single" w:sz="4" w:space="0" w:color="auto"/>
            </w:tcBorders>
            <w:hideMark/>
          </w:tcPr>
          <w:p w14:paraId="4D25C13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3C71650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34576121"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202BD92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Cap Category</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4D36DAB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Large / Mid / Small</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4C70F8F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250B0F5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7A4808DA"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17360C8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Period</w:t>
            </w:r>
          </w:p>
        </w:tc>
        <w:tc>
          <w:tcPr>
            <w:tcW w:w="2904" w:type="dxa"/>
            <w:tcBorders>
              <w:top w:val="single" w:sz="4" w:space="0" w:color="auto"/>
              <w:left w:val="single" w:sz="4" w:space="0" w:color="auto"/>
              <w:bottom w:val="single" w:sz="4" w:space="0" w:color="auto"/>
              <w:right w:val="single" w:sz="4" w:space="0" w:color="auto"/>
            </w:tcBorders>
            <w:hideMark/>
          </w:tcPr>
          <w:p w14:paraId="0F8A585B"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Quarter label (e.g., “Jun 2024”)</w:t>
            </w:r>
          </w:p>
        </w:tc>
        <w:tc>
          <w:tcPr>
            <w:tcW w:w="1030" w:type="dxa"/>
            <w:tcBorders>
              <w:top w:val="single" w:sz="4" w:space="0" w:color="auto"/>
              <w:left w:val="single" w:sz="4" w:space="0" w:color="auto"/>
              <w:bottom w:val="single" w:sz="4" w:space="0" w:color="auto"/>
              <w:right w:val="single" w:sz="4" w:space="0" w:color="auto"/>
            </w:tcBorders>
            <w:hideMark/>
          </w:tcPr>
          <w:p w14:paraId="496C43F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597861AD"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2D3EB76F"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38889FB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Result Date</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6C62EC9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Earnings announcement date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2A1B4BE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743B97E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0CCBF04C"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5A0FDA6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Sales</w:t>
            </w:r>
          </w:p>
        </w:tc>
        <w:tc>
          <w:tcPr>
            <w:tcW w:w="2904" w:type="dxa"/>
            <w:tcBorders>
              <w:top w:val="single" w:sz="4" w:space="0" w:color="auto"/>
              <w:left w:val="single" w:sz="4" w:space="0" w:color="auto"/>
              <w:bottom w:val="single" w:sz="4" w:space="0" w:color="auto"/>
              <w:right w:val="single" w:sz="4" w:space="0" w:color="auto"/>
            </w:tcBorders>
            <w:hideMark/>
          </w:tcPr>
          <w:p w14:paraId="2D3A099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Operating revenue (non-BFSI)</w:t>
            </w:r>
          </w:p>
        </w:tc>
        <w:tc>
          <w:tcPr>
            <w:tcW w:w="1030" w:type="dxa"/>
            <w:tcBorders>
              <w:top w:val="single" w:sz="4" w:space="0" w:color="auto"/>
              <w:left w:val="single" w:sz="4" w:space="0" w:color="auto"/>
              <w:bottom w:val="single" w:sz="4" w:space="0" w:color="auto"/>
              <w:right w:val="single" w:sz="4" w:space="0" w:color="auto"/>
            </w:tcBorders>
            <w:hideMark/>
          </w:tcPr>
          <w:p w14:paraId="268EC8D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4EBB918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31463DA1"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06CE42D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Expenses</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31E6100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Operating costs</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6202076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02E1F37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265B0B68"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6EB706B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Operating Profit</w:t>
            </w:r>
          </w:p>
        </w:tc>
        <w:tc>
          <w:tcPr>
            <w:tcW w:w="2904" w:type="dxa"/>
            <w:tcBorders>
              <w:top w:val="single" w:sz="4" w:space="0" w:color="auto"/>
              <w:left w:val="single" w:sz="4" w:space="0" w:color="auto"/>
              <w:bottom w:val="single" w:sz="4" w:space="0" w:color="auto"/>
              <w:right w:val="single" w:sz="4" w:space="0" w:color="auto"/>
            </w:tcBorders>
            <w:hideMark/>
          </w:tcPr>
          <w:p w14:paraId="7E89279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Operating profit before OI/Int/Dep</w:t>
            </w:r>
          </w:p>
        </w:tc>
        <w:tc>
          <w:tcPr>
            <w:tcW w:w="1030" w:type="dxa"/>
            <w:tcBorders>
              <w:top w:val="single" w:sz="4" w:space="0" w:color="auto"/>
              <w:left w:val="single" w:sz="4" w:space="0" w:color="auto"/>
              <w:bottom w:val="single" w:sz="4" w:space="0" w:color="auto"/>
              <w:right w:val="single" w:sz="4" w:space="0" w:color="auto"/>
            </w:tcBorders>
            <w:hideMark/>
          </w:tcPr>
          <w:p w14:paraId="6EC0C3F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742ABB2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7CB8725E"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0DD163D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OPM %</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34EFAE0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Operating margin percent</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69F53A7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7FD07F8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446EE36D"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4B087FC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Other Income</w:t>
            </w:r>
          </w:p>
        </w:tc>
        <w:tc>
          <w:tcPr>
            <w:tcW w:w="2904" w:type="dxa"/>
            <w:tcBorders>
              <w:top w:val="single" w:sz="4" w:space="0" w:color="auto"/>
              <w:left w:val="single" w:sz="4" w:space="0" w:color="auto"/>
              <w:bottom w:val="single" w:sz="4" w:space="0" w:color="auto"/>
              <w:right w:val="single" w:sz="4" w:space="0" w:color="auto"/>
            </w:tcBorders>
            <w:hideMark/>
          </w:tcPr>
          <w:p w14:paraId="2019CF7B"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Non-core income</w:t>
            </w:r>
          </w:p>
        </w:tc>
        <w:tc>
          <w:tcPr>
            <w:tcW w:w="1030" w:type="dxa"/>
            <w:tcBorders>
              <w:top w:val="single" w:sz="4" w:space="0" w:color="auto"/>
              <w:left w:val="single" w:sz="4" w:space="0" w:color="auto"/>
              <w:bottom w:val="single" w:sz="4" w:space="0" w:color="auto"/>
              <w:right w:val="single" w:sz="4" w:space="0" w:color="auto"/>
            </w:tcBorders>
            <w:hideMark/>
          </w:tcPr>
          <w:p w14:paraId="1939564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47AFF5A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04E3C667"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6D17A07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Interest</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3E72F2B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Finance cost</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5AD5D3B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5827AB4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49BC8D2D"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313F029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Depreciation</w:t>
            </w:r>
          </w:p>
        </w:tc>
        <w:tc>
          <w:tcPr>
            <w:tcW w:w="2904" w:type="dxa"/>
            <w:tcBorders>
              <w:top w:val="single" w:sz="4" w:space="0" w:color="auto"/>
              <w:left w:val="single" w:sz="4" w:space="0" w:color="auto"/>
              <w:bottom w:val="single" w:sz="4" w:space="0" w:color="auto"/>
              <w:right w:val="single" w:sz="4" w:space="0" w:color="auto"/>
            </w:tcBorders>
            <w:hideMark/>
          </w:tcPr>
          <w:p w14:paraId="5952EB9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Depreciation &amp; amortization</w:t>
            </w:r>
          </w:p>
        </w:tc>
        <w:tc>
          <w:tcPr>
            <w:tcW w:w="1030" w:type="dxa"/>
            <w:tcBorders>
              <w:top w:val="single" w:sz="4" w:space="0" w:color="auto"/>
              <w:left w:val="single" w:sz="4" w:space="0" w:color="auto"/>
              <w:bottom w:val="single" w:sz="4" w:space="0" w:color="auto"/>
              <w:right w:val="single" w:sz="4" w:space="0" w:color="auto"/>
            </w:tcBorders>
            <w:hideMark/>
          </w:tcPr>
          <w:p w14:paraId="5D23E08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446AA15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4D8AFDB0"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6180D9E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Profit before tax</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2733611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PBT</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792136E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0A43291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16E1A044"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68332F9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Tax %</w:t>
            </w:r>
          </w:p>
        </w:tc>
        <w:tc>
          <w:tcPr>
            <w:tcW w:w="2904" w:type="dxa"/>
            <w:tcBorders>
              <w:top w:val="single" w:sz="4" w:space="0" w:color="auto"/>
              <w:left w:val="single" w:sz="4" w:space="0" w:color="auto"/>
              <w:bottom w:val="single" w:sz="4" w:space="0" w:color="auto"/>
              <w:right w:val="single" w:sz="4" w:space="0" w:color="auto"/>
            </w:tcBorders>
            <w:hideMark/>
          </w:tcPr>
          <w:p w14:paraId="0EB587D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Effective tax rate</w:t>
            </w:r>
          </w:p>
        </w:tc>
        <w:tc>
          <w:tcPr>
            <w:tcW w:w="1030" w:type="dxa"/>
            <w:tcBorders>
              <w:top w:val="single" w:sz="4" w:space="0" w:color="auto"/>
              <w:left w:val="single" w:sz="4" w:space="0" w:color="auto"/>
              <w:bottom w:val="single" w:sz="4" w:space="0" w:color="auto"/>
              <w:right w:val="single" w:sz="4" w:space="0" w:color="auto"/>
            </w:tcBorders>
            <w:hideMark/>
          </w:tcPr>
          <w:p w14:paraId="6529816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0456F42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425B0D24"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68CDFC3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lastRenderedPageBreak/>
              <w:t>Net Profit</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4152781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Profit after tax (PAT)</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13D5F29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11C80B0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62A904BE"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3A13E78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EPS in Rs</w:t>
            </w:r>
          </w:p>
        </w:tc>
        <w:tc>
          <w:tcPr>
            <w:tcW w:w="2904" w:type="dxa"/>
            <w:tcBorders>
              <w:top w:val="single" w:sz="4" w:space="0" w:color="auto"/>
              <w:left w:val="single" w:sz="4" w:space="0" w:color="auto"/>
              <w:bottom w:val="single" w:sz="4" w:space="0" w:color="auto"/>
              <w:right w:val="single" w:sz="4" w:space="0" w:color="auto"/>
            </w:tcBorders>
            <w:hideMark/>
          </w:tcPr>
          <w:p w14:paraId="28A5405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Earnings per share</w:t>
            </w:r>
          </w:p>
        </w:tc>
        <w:tc>
          <w:tcPr>
            <w:tcW w:w="1030" w:type="dxa"/>
            <w:tcBorders>
              <w:top w:val="single" w:sz="4" w:space="0" w:color="auto"/>
              <w:left w:val="single" w:sz="4" w:space="0" w:color="auto"/>
              <w:bottom w:val="single" w:sz="4" w:space="0" w:color="auto"/>
              <w:right w:val="single" w:sz="4" w:space="0" w:color="auto"/>
            </w:tcBorders>
            <w:hideMark/>
          </w:tcPr>
          <w:p w14:paraId="66A31D5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1AA90EC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2262FE4F"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0927D10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Revenue</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578BCC5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Top line (BFSI usage)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292C1A8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1C02617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37A1473E"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4AC2E6E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Financing Profit</w:t>
            </w:r>
          </w:p>
        </w:tc>
        <w:tc>
          <w:tcPr>
            <w:tcW w:w="2904" w:type="dxa"/>
            <w:tcBorders>
              <w:top w:val="single" w:sz="4" w:space="0" w:color="auto"/>
              <w:left w:val="single" w:sz="4" w:space="0" w:color="auto"/>
              <w:bottom w:val="single" w:sz="4" w:space="0" w:color="auto"/>
              <w:right w:val="single" w:sz="4" w:space="0" w:color="auto"/>
            </w:tcBorders>
            <w:hideMark/>
          </w:tcPr>
          <w:p w14:paraId="322018D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Profit from lending (BFSI)</w:t>
            </w:r>
          </w:p>
        </w:tc>
        <w:tc>
          <w:tcPr>
            <w:tcW w:w="1030" w:type="dxa"/>
            <w:tcBorders>
              <w:top w:val="single" w:sz="4" w:space="0" w:color="auto"/>
              <w:left w:val="single" w:sz="4" w:space="0" w:color="auto"/>
              <w:bottom w:val="single" w:sz="4" w:space="0" w:color="auto"/>
              <w:right w:val="single" w:sz="4" w:space="0" w:color="auto"/>
            </w:tcBorders>
            <w:hideMark/>
          </w:tcPr>
          <w:p w14:paraId="14658E1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hideMark/>
          </w:tcPr>
          <w:p w14:paraId="170861E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64B19691"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4136EB5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Financing Margin %</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72EE5B7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NIM / margin (BFSI)</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3D36CFC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No</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7ACEA58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w:t>
            </w:r>
          </w:p>
        </w:tc>
      </w:tr>
      <w:tr w:rsidR="00855AF1" w:rsidRPr="001278A5" w14:paraId="1FC8BA4F"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0BEA2733"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_T_date</w:t>
            </w:r>
          </w:p>
        </w:tc>
        <w:tc>
          <w:tcPr>
            <w:tcW w:w="2904" w:type="dxa"/>
            <w:tcBorders>
              <w:top w:val="single" w:sz="4" w:space="0" w:color="auto"/>
              <w:left w:val="single" w:sz="4" w:space="0" w:color="auto"/>
              <w:bottom w:val="single" w:sz="4" w:space="0" w:color="auto"/>
              <w:right w:val="single" w:sz="4" w:space="0" w:color="auto"/>
            </w:tcBorders>
            <w:hideMark/>
          </w:tcPr>
          <w:p w14:paraId="30EE7FE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Trading day used for T</w:t>
            </w:r>
          </w:p>
        </w:tc>
        <w:tc>
          <w:tcPr>
            <w:tcW w:w="1030" w:type="dxa"/>
            <w:tcBorders>
              <w:top w:val="single" w:sz="4" w:space="0" w:color="auto"/>
              <w:left w:val="single" w:sz="4" w:space="0" w:color="auto"/>
              <w:bottom w:val="single" w:sz="4" w:space="0" w:color="auto"/>
              <w:right w:val="single" w:sz="4" w:space="0" w:color="auto"/>
            </w:tcBorders>
            <w:hideMark/>
          </w:tcPr>
          <w:p w14:paraId="48AEB45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7149302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If trade on </w:t>
            </w:r>
            <w:r w:rsidRPr="001278A5">
              <w:rPr>
                <w:rFonts w:ascii="Times New Roman" w:eastAsia="Times New Roman" w:hAnsi="Times New Roman" w:cs="Times New Roman"/>
                <w:b/>
                <w:bCs/>
                <w:color w:val="000000"/>
                <w:lang w:val="en-IN"/>
              </w:rPr>
              <w:t>Result Date</w:t>
            </w:r>
            <w:r w:rsidRPr="001278A5">
              <w:rPr>
                <w:rFonts w:ascii="Times New Roman" w:eastAsia="Times New Roman" w:hAnsi="Times New Roman" w:cs="Times New Roman"/>
                <w:color w:val="000000"/>
                <w:lang w:val="en-IN"/>
              </w:rPr>
              <w:t xml:space="preserve">, use it; else </w:t>
            </w:r>
            <w:r w:rsidRPr="001278A5">
              <w:rPr>
                <w:rFonts w:ascii="Times New Roman" w:eastAsia="Times New Roman" w:hAnsi="Times New Roman" w:cs="Times New Roman"/>
                <w:b/>
                <w:bCs/>
                <w:color w:val="000000"/>
                <w:lang w:val="en-IN"/>
              </w:rPr>
              <w:t>nearest prior trading day</w:t>
            </w:r>
          </w:p>
        </w:tc>
      </w:tr>
      <w:tr w:rsidR="00855AF1" w:rsidRPr="001278A5" w14:paraId="1939DD7F"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72A02B7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Closing Price (T)</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05B021A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Close on _T_date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5107470D"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1F3D9996"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Close for </w:t>
            </w:r>
            <w:r w:rsidRPr="001278A5">
              <w:rPr>
                <w:rFonts w:ascii="Times New Roman" w:eastAsia="Times New Roman" w:hAnsi="Times New Roman" w:cs="Times New Roman"/>
                <w:b/>
                <w:bCs/>
                <w:color w:val="000000"/>
                <w:lang w:val="en-IN"/>
              </w:rPr>
              <w:t>_T_date</w:t>
            </w:r>
            <w:r w:rsidRPr="001278A5">
              <w:rPr>
                <w:rFonts w:ascii="Times New Roman" w:eastAsia="Times New Roman" w:hAnsi="Times New Roman" w:cs="Times New Roman"/>
                <w:color w:val="000000"/>
                <w:lang w:val="en-IN"/>
              </w:rPr>
              <w:t xml:space="preserve"> from source cascade</w:t>
            </w:r>
          </w:p>
        </w:tc>
      </w:tr>
      <w:tr w:rsidR="00855AF1" w:rsidRPr="001278A5" w14:paraId="3CFC197B"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5BF307F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_T1_date</w:t>
            </w:r>
          </w:p>
        </w:tc>
        <w:tc>
          <w:tcPr>
            <w:tcW w:w="2904" w:type="dxa"/>
            <w:tcBorders>
              <w:top w:val="single" w:sz="4" w:space="0" w:color="auto"/>
              <w:left w:val="single" w:sz="4" w:space="0" w:color="auto"/>
              <w:bottom w:val="single" w:sz="4" w:space="0" w:color="auto"/>
              <w:right w:val="single" w:sz="4" w:space="0" w:color="auto"/>
            </w:tcBorders>
            <w:hideMark/>
          </w:tcPr>
          <w:p w14:paraId="158626E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Next trading day after _T_date</w:t>
            </w:r>
          </w:p>
        </w:tc>
        <w:tc>
          <w:tcPr>
            <w:tcW w:w="1030" w:type="dxa"/>
            <w:tcBorders>
              <w:top w:val="single" w:sz="4" w:space="0" w:color="auto"/>
              <w:left w:val="single" w:sz="4" w:space="0" w:color="auto"/>
              <w:bottom w:val="single" w:sz="4" w:space="0" w:color="auto"/>
              <w:right w:val="single" w:sz="4" w:space="0" w:color="auto"/>
            </w:tcBorders>
            <w:hideMark/>
          </w:tcPr>
          <w:p w14:paraId="568EB239"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3B5813CB"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First trading day after </w:t>
            </w:r>
            <w:r w:rsidRPr="001278A5">
              <w:rPr>
                <w:rFonts w:ascii="Times New Roman" w:eastAsia="Times New Roman" w:hAnsi="Times New Roman" w:cs="Times New Roman"/>
                <w:b/>
                <w:bCs/>
                <w:color w:val="000000"/>
                <w:lang w:val="en-IN"/>
              </w:rPr>
              <w:t>_T_date</w:t>
            </w:r>
          </w:p>
        </w:tc>
      </w:tr>
      <w:tr w:rsidR="00855AF1" w:rsidRPr="001278A5" w14:paraId="49A6BEBB"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2E6A492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Closing Price (T+1)</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3E84D28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Close on _T1_date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088D66D4"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33AE881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Close for </w:t>
            </w:r>
            <w:r w:rsidRPr="001278A5">
              <w:rPr>
                <w:rFonts w:ascii="Times New Roman" w:eastAsia="Times New Roman" w:hAnsi="Times New Roman" w:cs="Times New Roman"/>
                <w:b/>
                <w:bCs/>
                <w:color w:val="000000"/>
                <w:lang w:val="en-IN"/>
              </w:rPr>
              <w:t>_T1_date</w:t>
            </w:r>
          </w:p>
        </w:tc>
      </w:tr>
      <w:tr w:rsidR="00855AF1" w:rsidRPr="001278A5" w14:paraId="654E4DDE"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1CEFDB83"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_T2_date</w:t>
            </w:r>
          </w:p>
        </w:tc>
        <w:tc>
          <w:tcPr>
            <w:tcW w:w="2904" w:type="dxa"/>
            <w:tcBorders>
              <w:top w:val="single" w:sz="4" w:space="0" w:color="auto"/>
              <w:left w:val="single" w:sz="4" w:space="0" w:color="auto"/>
              <w:bottom w:val="single" w:sz="4" w:space="0" w:color="auto"/>
              <w:right w:val="single" w:sz="4" w:space="0" w:color="auto"/>
            </w:tcBorders>
            <w:hideMark/>
          </w:tcPr>
          <w:p w14:paraId="38C4E05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Second trading day after _T_date</w:t>
            </w:r>
          </w:p>
        </w:tc>
        <w:tc>
          <w:tcPr>
            <w:tcW w:w="1030" w:type="dxa"/>
            <w:tcBorders>
              <w:top w:val="single" w:sz="4" w:space="0" w:color="auto"/>
              <w:left w:val="single" w:sz="4" w:space="0" w:color="auto"/>
              <w:bottom w:val="single" w:sz="4" w:space="0" w:color="auto"/>
              <w:right w:val="single" w:sz="4" w:space="0" w:color="auto"/>
            </w:tcBorders>
            <w:hideMark/>
          </w:tcPr>
          <w:p w14:paraId="73DE785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38BA7CB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Second trading day after </w:t>
            </w:r>
            <w:r w:rsidRPr="001278A5">
              <w:rPr>
                <w:rFonts w:ascii="Times New Roman" w:eastAsia="Times New Roman" w:hAnsi="Times New Roman" w:cs="Times New Roman"/>
                <w:b/>
                <w:bCs/>
                <w:color w:val="000000"/>
                <w:lang w:val="en-IN"/>
              </w:rPr>
              <w:t>_T_date</w:t>
            </w:r>
          </w:p>
        </w:tc>
      </w:tr>
      <w:tr w:rsidR="00855AF1" w:rsidRPr="001278A5" w14:paraId="2176EC22"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080E270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Closing Price (T+2)</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21FAED5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Close on _T2_date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326EE663"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63893303"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Close for </w:t>
            </w:r>
            <w:r w:rsidRPr="001278A5">
              <w:rPr>
                <w:rFonts w:ascii="Times New Roman" w:eastAsia="Times New Roman" w:hAnsi="Times New Roman" w:cs="Times New Roman"/>
                <w:b/>
                <w:bCs/>
                <w:color w:val="000000"/>
                <w:lang w:val="en-IN"/>
              </w:rPr>
              <w:t>_T2_date</w:t>
            </w:r>
          </w:p>
        </w:tc>
      </w:tr>
      <w:tr w:rsidR="00855AF1" w:rsidRPr="001278A5" w14:paraId="6ECB5B1E"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6A4D995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_T3_date</w:t>
            </w:r>
          </w:p>
        </w:tc>
        <w:tc>
          <w:tcPr>
            <w:tcW w:w="2904" w:type="dxa"/>
            <w:tcBorders>
              <w:top w:val="single" w:sz="4" w:space="0" w:color="auto"/>
              <w:left w:val="single" w:sz="4" w:space="0" w:color="auto"/>
              <w:bottom w:val="single" w:sz="4" w:space="0" w:color="auto"/>
              <w:right w:val="single" w:sz="4" w:space="0" w:color="auto"/>
            </w:tcBorders>
            <w:hideMark/>
          </w:tcPr>
          <w:p w14:paraId="3E01436D"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Third trading day after _T_date</w:t>
            </w:r>
          </w:p>
        </w:tc>
        <w:tc>
          <w:tcPr>
            <w:tcW w:w="1030" w:type="dxa"/>
            <w:tcBorders>
              <w:top w:val="single" w:sz="4" w:space="0" w:color="auto"/>
              <w:left w:val="single" w:sz="4" w:space="0" w:color="auto"/>
              <w:bottom w:val="single" w:sz="4" w:space="0" w:color="auto"/>
              <w:right w:val="single" w:sz="4" w:space="0" w:color="auto"/>
            </w:tcBorders>
            <w:hideMark/>
          </w:tcPr>
          <w:p w14:paraId="518480BE"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634BD23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Third trading day after </w:t>
            </w:r>
            <w:r w:rsidRPr="001278A5">
              <w:rPr>
                <w:rFonts w:ascii="Times New Roman" w:eastAsia="Times New Roman" w:hAnsi="Times New Roman" w:cs="Times New Roman"/>
                <w:b/>
                <w:bCs/>
                <w:color w:val="000000"/>
                <w:lang w:val="en-IN"/>
              </w:rPr>
              <w:t>_T_date</w:t>
            </w:r>
          </w:p>
        </w:tc>
      </w:tr>
      <w:tr w:rsidR="00855AF1" w:rsidRPr="001278A5" w14:paraId="4EA46E83"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0A738C6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Closing Price (T+3)</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0DDD301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Close on _T3_date</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798ACDCD"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5D061D7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 xml:space="preserve">Close for </w:t>
            </w:r>
            <w:r w:rsidRPr="001278A5">
              <w:rPr>
                <w:rFonts w:ascii="Times New Roman" w:eastAsia="Times New Roman" w:hAnsi="Times New Roman" w:cs="Times New Roman"/>
                <w:b/>
                <w:bCs/>
                <w:color w:val="000000"/>
                <w:lang w:val="en-IN"/>
              </w:rPr>
              <w:t>_T3_date</w:t>
            </w:r>
          </w:p>
        </w:tc>
      </w:tr>
      <w:tr w:rsidR="00855AF1" w:rsidRPr="001278A5" w14:paraId="6D34CB15" w14:textId="77777777" w:rsidTr="00855AF1">
        <w:trPr>
          <w:trHeight w:val="618"/>
        </w:trPr>
        <w:tc>
          <w:tcPr>
            <w:tcW w:w="1677" w:type="dxa"/>
            <w:tcBorders>
              <w:top w:val="single" w:sz="4" w:space="0" w:color="auto"/>
              <w:left w:val="single" w:sz="4" w:space="0" w:color="auto"/>
              <w:bottom w:val="single" w:sz="4" w:space="0" w:color="auto"/>
              <w:right w:val="single" w:sz="4" w:space="0" w:color="auto"/>
            </w:tcBorders>
            <w:hideMark/>
          </w:tcPr>
          <w:p w14:paraId="1530781A"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3-Day Avg Price Post Result</w:t>
            </w:r>
          </w:p>
        </w:tc>
        <w:tc>
          <w:tcPr>
            <w:tcW w:w="2904" w:type="dxa"/>
            <w:tcBorders>
              <w:top w:val="single" w:sz="4" w:space="0" w:color="auto"/>
              <w:left w:val="single" w:sz="4" w:space="0" w:color="auto"/>
              <w:bottom w:val="single" w:sz="4" w:space="0" w:color="auto"/>
              <w:right w:val="single" w:sz="4" w:space="0" w:color="auto"/>
            </w:tcBorders>
            <w:hideMark/>
          </w:tcPr>
          <w:p w14:paraId="7F7C2F1F"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Avg of Closing Price of T+1, T+2, T+3</w:t>
            </w:r>
          </w:p>
        </w:tc>
        <w:tc>
          <w:tcPr>
            <w:tcW w:w="1030" w:type="dxa"/>
            <w:tcBorders>
              <w:top w:val="single" w:sz="4" w:space="0" w:color="auto"/>
              <w:left w:val="single" w:sz="4" w:space="0" w:color="auto"/>
              <w:bottom w:val="single" w:sz="4" w:space="0" w:color="auto"/>
              <w:right w:val="single" w:sz="4" w:space="0" w:color="auto"/>
            </w:tcBorders>
            <w:hideMark/>
          </w:tcPr>
          <w:p w14:paraId="5A28A282"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63EF44F1"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Avg of Closing Price (T+1), Closing Price (T+2), Closing Price (T+3)</w:t>
            </w:r>
          </w:p>
        </w:tc>
      </w:tr>
      <w:tr w:rsidR="00855AF1" w:rsidRPr="001278A5" w14:paraId="2B38F9B5"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shd w:val="clear" w:color="DCE6F1" w:fill="DCE6F1"/>
            <w:hideMark/>
          </w:tcPr>
          <w:p w14:paraId="1D5FD64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lastRenderedPageBreak/>
              <w:t>3-Day Return (%)</w:t>
            </w:r>
          </w:p>
        </w:tc>
        <w:tc>
          <w:tcPr>
            <w:tcW w:w="2904" w:type="dxa"/>
            <w:tcBorders>
              <w:top w:val="single" w:sz="4" w:space="0" w:color="auto"/>
              <w:left w:val="single" w:sz="4" w:space="0" w:color="auto"/>
              <w:bottom w:val="single" w:sz="4" w:space="0" w:color="auto"/>
              <w:right w:val="single" w:sz="4" w:space="0" w:color="auto"/>
            </w:tcBorders>
            <w:shd w:val="clear" w:color="DCE6F1" w:fill="DCE6F1"/>
            <w:hideMark/>
          </w:tcPr>
          <w:p w14:paraId="00ACEA38"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3 Day return</w:t>
            </w:r>
          </w:p>
        </w:tc>
        <w:tc>
          <w:tcPr>
            <w:tcW w:w="1030" w:type="dxa"/>
            <w:tcBorders>
              <w:top w:val="single" w:sz="4" w:space="0" w:color="auto"/>
              <w:left w:val="single" w:sz="4" w:space="0" w:color="auto"/>
              <w:bottom w:val="single" w:sz="4" w:space="0" w:color="auto"/>
              <w:right w:val="single" w:sz="4" w:space="0" w:color="auto"/>
            </w:tcBorders>
            <w:shd w:val="clear" w:color="DCE6F1" w:fill="DCE6F1"/>
            <w:hideMark/>
          </w:tcPr>
          <w:p w14:paraId="04A21A33"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shd w:val="clear" w:color="DCE6F1" w:fill="DCE6F1"/>
            <w:hideMark/>
          </w:tcPr>
          <w:p w14:paraId="59D3BE50"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((3-Day Avg Price Post Result - Closing Price (T))/Closing Price (T))* 100</w:t>
            </w:r>
          </w:p>
        </w:tc>
      </w:tr>
      <w:tr w:rsidR="00855AF1" w:rsidRPr="001278A5" w14:paraId="4A5F7782" w14:textId="77777777" w:rsidTr="00855AF1">
        <w:trPr>
          <w:trHeight w:val="309"/>
        </w:trPr>
        <w:tc>
          <w:tcPr>
            <w:tcW w:w="1677" w:type="dxa"/>
            <w:tcBorders>
              <w:top w:val="single" w:sz="4" w:space="0" w:color="auto"/>
              <w:left w:val="single" w:sz="4" w:space="0" w:color="auto"/>
              <w:bottom w:val="single" w:sz="4" w:space="0" w:color="auto"/>
              <w:right w:val="single" w:sz="4" w:space="0" w:color="auto"/>
            </w:tcBorders>
            <w:hideMark/>
          </w:tcPr>
          <w:p w14:paraId="43D06BE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Movement Label (1,0)</w:t>
            </w:r>
          </w:p>
        </w:tc>
        <w:tc>
          <w:tcPr>
            <w:tcW w:w="2904" w:type="dxa"/>
            <w:tcBorders>
              <w:top w:val="single" w:sz="4" w:space="0" w:color="auto"/>
              <w:left w:val="single" w:sz="4" w:space="0" w:color="auto"/>
              <w:bottom w:val="single" w:sz="4" w:space="0" w:color="auto"/>
              <w:right w:val="single" w:sz="4" w:space="0" w:color="auto"/>
            </w:tcBorders>
            <w:hideMark/>
          </w:tcPr>
          <w:p w14:paraId="2DC8138C"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Target Variable</w:t>
            </w:r>
          </w:p>
        </w:tc>
        <w:tc>
          <w:tcPr>
            <w:tcW w:w="1030" w:type="dxa"/>
            <w:tcBorders>
              <w:top w:val="single" w:sz="4" w:space="0" w:color="auto"/>
              <w:left w:val="single" w:sz="4" w:space="0" w:color="auto"/>
              <w:bottom w:val="single" w:sz="4" w:space="0" w:color="auto"/>
              <w:right w:val="single" w:sz="4" w:space="0" w:color="auto"/>
            </w:tcBorders>
            <w:hideMark/>
          </w:tcPr>
          <w:p w14:paraId="6FA2B627"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Yes</w:t>
            </w:r>
          </w:p>
        </w:tc>
        <w:tc>
          <w:tcPr>
            <w:tcW w:w="3173" w:type="dxa"/>
            <w:tcBorders>
              <w:top w:val="single" w:sz="4" w:space="0" w:color="auto"/>
              <w:left w:val="single" w:sz="4" w:space="0" w:color="auto"/>
              <w:bottom w:val="single" w:sz="4" w:space="0" w:color="auto"/>
              <w:right w:val="single" w:sz="4" w:space="0" w:color="auto"/>
            </w:tcBorders>
            <w:hideMark/>
          </w:tcPr>
          <w:p w14:paraId="5032DD45" w14:textId="77777777" w:rsidR="00855AF1" w:rsidRPr="001278A5" w:rsidRDefault="00855AF1" w:rsidP="00ED21DF">
            <w:pPr>
              <w:spacing w:line="480" w:lineRule="auto"/>
              <w:rPr>
                <w:rFonts w:ascii="Times New Roman" w:eastAsia="Times New Roman" w:hAnsi="Times New Roman" w:cs="Times New Roman"/>
                <w:color w:val="000000"/>
                <w:lang w:val="en-IN"/>
              </w:rPr>
            </w:pPr>
            <w:r w:rsidRPr="001278A5">
              <w:rPr>
                <w:rFonts w:ascii="Times New Roman" w:eastAsia="Times New Roman" w:hAnsi="Times New Roman" w:cs="Times New Roman"/>
                <w:color w:val="000000"/>
                <w:lang w:val="en-IN"/>
              </w:rPr>
              <w:t>IF(3-Day Return (%) &gt;= 1, 1, 0)</w:t>
            </w:r>
          </w:p>
        </w:tc>
      </w:tr>
    </w:tbl>
    <w:p w14:paraId="0E4695FE" w14:textId="77777777" w:rsidR="00855AF1" w:rsidRDefault="00855AF1" w:rsidP="00ED21DF">
      <w:pPr>
        <w:spacing w:line="480" w:lineRule="auto"/>
        <w:ind w:left="720"/>
        <w:jc w:val="both"/>
        <w:rPr>
          <w:rFonts w:ascii="Times New Roman" w:eastAsia="Times New Roman" w:hAnsi="Times New Roman" w:cs="Times New Roman"/>
          <w:lang w:val="en-IN"/>
        </w:rPr>
      </w:pPr>
    </w:p>
    <w:p w14:paraId="0B0C241B" w14:textId="285E1BFC" w:rsidR="00BF0E66" w:rsidRPr="00BF0E66" w:rsidRDefault="00BF0E66" w:rsidP="00D86A6A">
      <w:pPr>
        <w:spacing w:line="480" w:lineRule="auto"/>
        <w:ind w:left="720"/>
        <w:jc w:val="both"/>
        <w:rPr>
          <w:rFonts w:ascii="Times New Roman" w:eastAsia="Times New Roman" w:hAnsi="Times New Roman" w:cs="Times New Roman"/>
          <w:i/>
          <w:iCs/>
          <w:sz w:val="24"/>
          <w:szCs w:val="24"/>
          <w:lang w:val="en-IN"/>
        </w:rPr>
      </w:pPr>
      <w:r w:rsidRPr="00BF0E66">
        <w:rPr>
          <w:rFonts w:ascii="Times New Roman" w:eastAsia="Times New Roman" w:hAnsi="Times New Roman" w:cs="Times New Roman"/>
          <w:i/>
          <w:iCs/>
          <w:sz w:val="24"/>
          <w:szCs w:val="24"/>
          <w:lang w:val="en-IN"/>
        </w:rPr>
        <w:t xml:space="preserve">Note: These are </w:t>
      </w:r>
      <w:r w:rsidRPr="00BF0E66">
        <w:rPr>
          <w:rFonts w:ascii="Times New Roman" w:eastAsia="Times New Roman" w:hAnsi="Times New Roman" w:cs="Times New Roman"/>
          <w:b/>
          <w:bCs/>
          <w:i/>
          <w:iCs/>
          <w:sz w:val="24"/>
          <w:szCs w:val="24"/>
          <w:lang w:val="en-IN"/>
        </w:rPr>
        <w:t>exchange closes</w:t>
      </w:r>
      <w:r w:rsidRPr="00BF0E66">
        <w:rPr>
          <w:rFonts w:ascii="Times New Roman" w:eastAsia="Times New Roman" w:hAnsi="Times New Roman" w:cs="Times New Roman"/>
          <w:i/>
          <w:iCs/>
          <w:sz w:val="24"/>
          <w:szCs w:val="24"/>
          <w:lang w:val="en-IN"/>
        </w:rPr>
        <w:t xml:space="preserve">, not averages or adjusted values. We intentionally keep them </w:t>
      </w:r>
      <w:r w:rsidR="00855AF1" w:rsidRPr="00855AF1">
        <w:rPr>
          <w:rFonts w:ascii="Times New Roman" w:eastAsia="Times New Roman" w:hAnsi="Times New Roman" w:cs="Times New Roman"/>
          <w:i/>
          <w:iCs/>
          <w:sz w:val="24"/>
          <w:szCs w:val="24"/>
          <w:lang w:val="en-IN"/>
        </w:rPr>
        <w:t>raw,</w:t>
      </w:r>
      <w:r w:rsidRPr="00BF0E66">
        <w:rPr>
          <w:rFonts w:ascii="Times New Roman" w:eastAsia="Times New Roman" w:hAnsi="Times New Roman" w:cs="Times New Roman"/>
          <w:i/>
          <w:iCs/>
          <w:sz w:val="24"/>
          <w:szCs w:val="24"/>
          <w:lang w:val="en-IN"/>
        </w:rPr>
        <w:t xml:space="preserve"> so any feature creation happens later and transparently.</w:t>
      </w:r>
    </w:p>
    <w:p w14:paraId="6BD1C904" w14:textId="6024B4C0" w:rsidR="00BF0E66" w:rsidRPr="007D697D" w:rsidRDefault="00855AF1" w:rsidP="00D86A6A">
      <w:pPr>
        <w:pStyle w:val="Heading2"/>
        <w:spacing w:line="480" w:lineRule="auto"/>
        <w:rPr>
          <w:rFonts w:ascii="Times New Roman" w:hAnsi="Times New Roman" w:cs="Times New Roman"/>
          <w:sz w:val="28"/>
          <w:szCs w:val="28"/>
        </w:rPr>
      </w:pPr>
      <w:r w:rsidRPr="007D697D">
        <w:rPr>
          <w:rFonts w:ascii="Times New Roman" w:hAnsi="Times New Roman" w:cs="Times New Roman"/>
          <w:sz w:val="28"/>
          <w:szCs w:val="28"/>
        </w:rPr>
        <w:t>Data Extraction and Source</w:t>
      </w:r>
    </w:p>
    <w:p w14:paraId="6A199AE8" w14:textId="77777777" w:rsidR="00BF0E66" w:rsidRPr="00BF0E66" w:rsidRDefault="00BF0E66" w:rsidP="00D86A6A">
      <w:pPr>
        <w:spacing w:line="480" w:lineRule="auto"/>
        <w:ind w:left="720"/>
        <w:jc w:val="both"/>
        <w:rPr>
          <w:rFonts w:ascii="Times New Roman" w:eastAsia="Times New Roman" w:hAnsi="Times New Roman" w:cs="Times New Roman"/>
          <w:b/>
          <w:bCs/>
          <w:sz w:val="24"/>
          <w:szCs w:val="24"/>
          <w:lang w:val="en-IN"/>
        </w:rPr>
      </w:pPr>
      <w:r w:rsidRPr="00BF0E66">
        <w:rPr>
          <w:rFonts w:ascii="Times New Roman" w:eastAsia="Times New Roman" w:hAnsi="Times New Roman" w:cs="Times New Roman"/>
          <w:b/>
          <w:bCs/>
          <w:sz w:val="24"/>
          <w:szCs w:val="24"/>
          <w:lang w:val="en-IN"/>
        </w:rPr>
        <w:t>Quarterly fundamentals &amp; result dates (primary):</w:t>
      </w:r>
    </w:p>
    <w:p w14:paraId="7358AB3E" w14:textId="47BB5F3A" w:rsidR="00BF0E66" w:rsidRPr="00BF0E66" w:rsidRDefault="00BF0E66" w:rsidP="00D86A6A">
      <w:pPr>
        <w:numPr>
          <w:ilvl w:val="0"/>
          <w:numId w:val="10"/>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IndianAPI– Quarterly results:</w:t>
      </w:r>
      <w:r w:rsidRPr="00BF0E66">
        <w:rPr>
          <w:rFonts w:ascii="Times New Roman" w:eastAsia="Times New Roman" w:hAnsi="Times New Roman" w:cs="Times New Roman"/>
          <w:sz w:val="24"/>
          <w:szCs w:val="24"/>
          <w:lang w:val="en-IN"/>
        </w:rPr>
        <w:br/>
        <w:t>https://stock.indianapi.in/historical_stats?stock_name={TICKER}&amp;stats=quarter_results</w:t>
      </w:r>
    </w:p>
    <w:p w14:paraId="31A20DA2" w14:textId="14DE6EC5" w:rsidR="00855AF1" w:rsidRPr="00BF0E66" w:rsidRDefault="00BF0E66" w:rsidP="00D86A6A">
      <w:pPr>
        <w:numPr>
          <w:ilvl w:val="0"/>
          <w:numId w:val="10"/>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IndianAPI – Board meetings / results calendar (to extract Result Date):</w:t>
      </w:r>
      <w:r w:rsidRPr="00BF0E66">
        <w:rPr>
          <w:rFonts w:ascii="Times New Roman" w:eastAsia="Times New Roman" w:hAnsi="Times New Roman" w:cs="Times New Roman"/>
          <w:sz w:val="24"/>
          <w:szCs w:val="24"/>
          <w:lang w:val="en-IN"/>
        </w:rPr>
        <w:br/>
        <w:t>https://stock.indianapi.in/board_meetings?stock_name={TICKER}</w:t>
      </w:r>
      <w:r w:rsidRPr="00BF0E66">
        <w:rPr>
          <w:rFonts w:ascii="Times New Roman" w:eastAsia="Times New Roman" w:hAnsi="Times New Roman" w:cs="Times New Roman"/>
          <w:sz w:val="24"/>
          <w:szCs w:val="24"/>
          <w:lang w:val="en-IN"/>
        </w:rPr>
        <w:br/>
        <w:t>(filtered for “Result/Financial Results” outcomes where available)</w:t>
      </w:r>
    </w:p>
    <w:p w14:paraId="5A7754A2" w14:textId="77777777" w:rsidR="00BF0E66" w:rsidRPr="00BF0E66" w:rsidRDefault="00BF0E66" w:rsidP="00D86A6A">
      <w:pPr>
        <w:spacing w:line="480" w:lineRule="auto"/>
        <w:ind w:left="720"/>
        <w:rPr>
          <w:rFonts w:ascii="Times New Roman" w:eastAsia="Times New Roman" w:hAnsi="Times New Roman" w:cs="Times New Roman"/>
          <w:b/>
          <w:bCs/>
          <w:sz w:val="24"/>
          <w:szCs w:val="24"/>
          <w:lang w:val="en-IN"/>
        </w:rPr>
      </w:pPr>
      <w:r w:rsidRPr="00BF0E66">
        <w:rPr>
          <w:rFonts w:ascii="Times New Roman" w:eastAsia="Times New Roman" w:hAnsi="Times New Roman" w:cs="Times New Roman"/>
          <w:b/>
          <w:bCs/>
          <w:sz w:val="24"/>
          <w:szCs w:val="24"/>
          <w:lang w:val="en-IN"/>
        </w:rPr>
        <w:t>Daily prices (three-stage sourcing, in order of preference):</w:t>
      </w:r>
    </w:p>
    <w:p w14:paraId="2EF6AD9C" w14:textId="45FC574E" w:rsidR="00BF0E66" w:rsidRPr="00BF0E66" w:rsidRDefault="00BF0E66" w:rsidP="00D86A6A">
      <w:pPr>
        <w:numPr>
          <w:ilvl w:val="0"/>
          <w:numId w:val="11"/>
        </w:numPr>
        <w:tabs>
          <w:tab w:val="clear" w:pos="720"/>
          <w:tab w:val="num" w:pos="1080"/>
        </w:tabs>
        <w:spacing w:line="480" w:lineRule="auto"/>
        <w:ind w:left="108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 xml:space="preserve">Official exchange </w:t>
      </w:r>
      <w:r w:rsidR="00855AF1" w:rsidRPr="00ED21DF">
        <w:rPr>
          <w:rFonts w:ascii="Times New Roman" w:eastAsia="Times New Roman" w:hAnsi="Times New Roman" w:cs="Times New Roman"/>
          <w:sz w:val="24"/>
          <w:szCs w:val="24"/>
          <w:lang w:val="en-IN"/>
        </w:rPr>
        <w:t>Bhav copy</w:t>
      </w:r>
      <w:r w:rsidRPr="00BF0E66">
        <w:rPr>
          <w:rFonts w:ascii="Times New Roman" w:eastAsia="Times New Roman" w:hAnsi="Times New Roman" w:cs="Times New Roman"/>
          <w:sz w:val="24"/>
          <w:szCs w:val="24"/>
          <w:lang w:val="en-IN"/>
        </w:rPr>
        <w:t xml:space="preserve"> (preferred)</w:t>
      </w:r>
    </w:p>
    <w:p w14:paraId="486EFC95" w14:textId="3BE4A72D" w:rsidR="00BF0E66" w:rsidRPr="00BF0E66" w:rsidRDefault="00BF0E66" w:rsidP="00D86A6A">
      <w:pPr>
        <w:numPr>
          <w:ilvl w:val="1"/>
          <w:numId w:val="11"/>
        </w:numPr>
        <w:tabs>
          <w:tab w:val="clear" w:pos="1440"/>
          <w:tab w:val="num" w:pos="1800"/>
        </w:tabs>
        <w:spacing w:line="480" w:lineRule="auto"/>
        <w:ind w:left="180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BSE daily EOD “</w:t>
      </w:r>
      <w:r w:rsidR="00855AF1" w:rsidRPr="00ED21DF">
        <w:rPr>
          <w:rFonts w:ascii="Times New Roman" w:eastAsia="Times New Roman" w:hAnsi="Times New Roman" w:cs="Times New Roman"/>
          <w:sz w:val="24"/>
          <w:szCs w:val="24"/>
          <w:lang w:val="en-IN"/>
        </w:rPr>
        <w:t>Bhav copy</w:t>
      </w:r>
      <w:r w:rsidRPr="00BF0E66">
        <w:rPr>
          <w:rFonts w:ascii="Times New Roman" w:eastAsia="Times New Roman" w:hAnsi="Times New Roman" w:cs="Times New Roman"/>
          <w:sz w:val="24"/>
          <w:szCs w:val="24"/>
          <w:lang w:val="en-IN"/>
        </w:rPr>
        <w:t>” CSV (public archive).</w:t>
      </w:r>
    </w:p>
    <w:p w14:paraId="64DCC1D5" w14:textId="55BB0B2D" w:rsidR="00BF0E66" w:rsidRPr="00BF0E66" w:rsidRDefault="00BF0E66" w:rsidP="00D86A6A">
      <w:pPr>
        <w:numPr>
          <w:ilvl w:val="1"/>
          <w:numId w:val="11"/>
        </w:numPr>
        <w:tabs>
          <w:tab w:val="clear" w:pos="1440"/>
          <w:tab w:val="num" w:pos="1800"/>
        </w:tabs>
        <w:spacing w:line="480" w:lineRule="auto"/>
        <w:ind w:left="180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NSE daily EOD “</w:t>
      </w:r>
      <w:r w:rsidR="00855AF1" w:rsidRPr="00ED21DF">
        <w:rPr>
          <w:rFonts w:ascii="Times New Roman" w:eastAsia="Times New Roman" w:hAnsi="Times New Roman" w:cs="Times New Roman"/>
          <w:sz w:val="24"/>
          <w:szCs w:val="24"/>
          <w:lang w:val="en-IN"/>
        </w:rPr>
        <w:t>Bhav copy</w:t>
      </w:r>
      <w:r w:rsidRPr="00BF0E66">
        <w:rPr>
          <w:rFonts w:ascii="Times New Roman" w:eastAsia="Times New Roman" w:hAnsi="Times New Roman" w:cs="Times New Roman"/>
          <w:sz w:val="24"/>
          <w:szCs w:val="24"/>
          <w:lang w:val="en-IN"/>
        </w:rPr>
        <w:t>” CSV (public archive)</w:t>
      </w:r>
    </w:p>
    <w:p w14:paraId="04050331" w14:textId="77777777" w:rsidR="00BF0E66" w:rsidRPr="00BF0E66" w:rsidRDefault="00BF0E66" w:rsidP="00D86A6A">
      <w:pPr>
        <w:numPr>
          <w:ilvl w:val="0"/>
          <w:numId w:val="11"/>
        </w:numPr>
        <w:tabs>
          <w:tab w:val="clear" w:pos="720"/>
          <w:tab w:val="num" w:pos="1080"/>
        </w:tabs>
        <w:spacing w:line="480" w:lineRule="auto"/>
        <w:ind w:left="108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IndianAPI (daily-like only; not weekly aggregations)</w:t>
      </w:r>
    </w:p>
    <w:p w14:paraId="4F58171D" w14:textId="77777777" w:rsidR="00BF0E66" w:rsidRPr="00BF0E66" w:rsidRDefault="00BF0E66" w:rsidP="00D86A6A">
      <w:pPr>
        <w:numPr>
          <w:ilvl w:val="1"/>
          <w:numId w:val="11"/>
        </w:numPr>
        <w:tabs>
          <w:tab w:val="clear" w:pos="1440"/>
          <w:tab w:val="num" w:pos="1800"/>
        </w:tabs>
        <w:spacing w:line="480" w:lineRule="auto"/>
        <w:ind w:left="180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https://stock.indianapi.in/historical_data?stock_name={TICKER}&amp;period=1yr&amp;filter=price</w:t>
      </w:r>
      <w:r w:rsidRPr="00BF0E66">
        <w:rPr>
          <w:rFonts w:ascii="Times New Roman" w:eastAsia="Times New Roman" w:hAnsi="Times New Roman" w:cs="Times New Roman"/>
          <w:sz w:val="24"/>
          <w:szCs w:val="24"/>
          <w:lang w:val="en-IN"/>
        </w:rPr>
        <w:br/>
      </w:r>
      <w:r w:rsidRPr="00BF0E66">
        <w:rPr>
          <w:rFonts w:ascii="Times New Roman" w:eastAsia="Times New Roman" w:hAnsi="Times New Roman" w:cs="Times New Roman"/>
          <w:sz w:val="24"/>
          <w:szCs w:val="24"/>
          <w:lang w:val="en-IN"/>
        </w:rPr>
        <w:lastRenderedPageBreak/>
        <w:t xml:space="preserve">We </w:t>
      </w:r>
      <w:r w:rsidRPr="00BF0E66">
        <w:rPr>
          <w:rFonts w:ascii="Times New Roman" w:eastAsia="Times New Roman" w:hAnsi="Times New Roman" w:cs="Times New Roman"/>
          <w:b/>
          <w:bCs/>
          <w:sz w:val="24"/>
          <w:szCs w:val="24"/>
          <w:lang w:val="en-IN"/>
        </w:rPr>
        <w:t>accept only responses where meta.is_weekly == false</w:t>
      </w:r>
      <w:r w:rsidRPr="00BF0E66">
        <w:rPr>
          <w:rFonts w:ascii="Times New Roman" w:eastAsia="Times New Roman" w:hAnsi="Times New Roman" w:cs="Times New Roman"/>
          <w:sz w:val="24"/>
          <w:szCs w:val="24"/>
          <w:lang w:val="en-IN"/>
        </w:rPr>
        <w:t xml:space="preserve"> (daily granularity).</w:t>
      </w:r>
    </w:p>
    <w:p w14:paraId="017B82BD" w14:textId="77777777" w:rsidR="00BF0E66" w:rsidRPr="00BF0E66" w:rsidRDefault="00BF0E66" w:rsidP="00D86A6A">
      <w:pPr>
        <w:numPr>
          <w:ilvl w:val="0"/>
          <w:numId w:val="11"/>
        </w:numPr>
        <w:tabs>
          <w:tab w:val="clear" w:pos="720"/>
          <w:tab w:val="num" w:pos="1080"/>
        </w:tabs>
        <w:spacing w:line="480" w:lineRule="auto"/>
        <w:ind w:left="1080"/>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Alpha Vantage (used only when 1 &amp; 2 were unavailable for a specific event)</w:t>
      </w:r>
    </w:p>
    <w:p w14:paraId="7A533FE8" w14:textId="77777777" w:rsidR="00BF0E66" w:rsidRPr="00BF0E66" w:rsidRDefault="00BF0E66" w:rsidP="00D86A6A">
      <w:pPr>
        <w:numPr>
          <w:ilvl w:val="1"/>
          <w:numId w:val="11"/>
        </w:numPr>
        <w:tabs>
          <w:tab w:val="clear" w:pos="1440"/>
          <w:tab w:val="num" w:pos="1800"/>
        </w:tabs>
        <w:spacing w:line="480" w:lineRule="auto"/>
        <w:ind w:left="1800"/>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https://www.alphavantage.co/query?function=TIME_SERIES_DAILY&amp;symbol={AV_TICKER_BSE}&amp;outputsize=full&amp;apikey=...</w:t>
      </w:r>
    </w:p>
    <w:p w14:paraId="15D58D4D" w14:textId="3CBE900C" w:rsidR="00BF0E66" w:rsidRPr="007D697D" w:rsidRDefault="00BF0E66" w:rsidP="00D86A6A">
      <w:pPr>
        <w:pStyle w:val="Heading2"/>
        <w:spacing w:line="480" w:lineRule="auto"/>
        <w:rPr>
          <w:rFonts w:ascii="Times New Roman" w:hAnsi="Times New Roman" w:cs="Times New Roman"/>
          <w:sz w:val="28"/>
          <w:szCs w:val="28"/>
        </w:rPr>
      </w:pPr>
      <w:r w:rsidRPr="007D697D">
        <w:rPr>
          <w:rFonts w:ascii="Times New Roman" w:hAnsi="Times New Roman" w:cs="Times New Roman"/>
          <w:sz w:val="28"/>
          <w:szCs w:val="28"/>
        </w:rPr>
        <w:t xml:space="preserve">How </w:t>
      </w:r>
      <w:r w:rsidR="003E3077">
        <w:rPr>
          <w:rFonts w:ascii="Times New Roman" w:hAnsi="Times New Roman" w:cs="Times New Roman"/>
          <w:sz w:val="28"/>
          <w:szCs w:val="28"/>
        </w:rPr>
        <w:t xml:space="preserve">dataset was </w:t>
      </w:r>
      <w:r w:rsidRPr="007D697D">
        <w:rPr>
          <w:rFonts w:ascii="Times New Roman" w:hAnsi="Times New Roman" w:cs="Times New Roman"/>
          <w:sz w:val="28"/>
          <w:szCs w:val="28"/>
        </w:rPr>
        <w:t>built</w:t>
      </w:r>
      <w:r w:rsidR="003E3077">
        <w:rPr>
          <w:rFonts w:ascii="Times New Roman" w:hAnsi="Times New Roman" w:cs="Times New Roman"/>
          <w:sz w:val="28"/>
          <w:szCs w:val="28"/>
        </w:rPr>
        <w:t>.</w:t>
      </w:r>
    </w:p>
    <w:p w14:paraId="3C9A6FA1" w14:textId="65F3BA27" w:rsidR="00BF0E66" w:rsidRPr="00BF0E66" w:rsidRDefault="00BF0E66" w:rsidP="00D86A6A">
      <w:pPr>
        <w:numPr>
          <w:ilvl w:val="0"/>
          <w:numId w:val="12"/>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List of companies &amp; sectors</w:t>
      </w:r>
      <w:r w:rsidRPr="00BF0E66">
        <w:rPr>
          <w:rFonts w:ascii="Times New Roman" w:eastAsia="Times New Roman" w:hAnsi="Times New Roman" w:cs="Times New Roman"/>
          <w:sz w:val="24"/>
          <w:szCs w:val="24"/>
          <w:lang w:val="en-IN"/>
        </w:rPr>
        <w:br/>
        <w:t xml:space="preserve">Start from 45 target companies grouped into five sectors (IT, BFSI, FMCG, Pharma, Auto) and </w:t>
      </w:r>
      <w:r w:rsidR="00855AF1" w:rsidRPr="00BF0E66">
        <w:rPr>
          <w:rFonts w:ascii="Times New Roman" w:eastAsia="Times New Roman" w:hAnsi="Times New Roman" w:cs="Times New Roman"/>
          <w:sz w:val="24"/>
          <w:szCs w:val="24"/>
          <w:lang w:val="en-IN"/>
        </w:rPr>
        <w:t>labelled</w:t>
      </w:r>
      <w:r w:rsidRPr="00BF0E66">
        <w:rPr>
          <w:rFonts w:ascii="Times New Roman" w:eastAsia="Times New Roman" w:hAnsi="Times New Roman" w:cs="Times New Roman"/>
          <w:sz w:val="24"/>
          <w:szCs w:val="24"/>
          <w:lang w:val="en-IN"/>
        </w:rPr>
        <w:t xml:space="preserve"> by cap bucket (Large/Mid/Small).</w:t>
      </w:r>
    </w:p>
    <w:p w14:paraId="0BB95739" w14:textId="77777777" w:rsidR="00BF0E66" w:rsidRPr="00BF0E66" w:rsidRDefault="00BF0E66" w:rsidP="00D86A6A">
      <w:pPr>
        <w:numPr>
          <w:ilvl w:val="0"/>
          <w:numId w:val="12"/>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Quarterly results pull</w:t>
      </w:r>
      <w:r w:rsidRPr="00BF0E66">
        <w:rPr>
          <w:rFonts w:ascii="Times New Roman" w:eastAsia="Times New Roman" w:hAnsi="Times New Roman" w:cs="Times New Roman"/>
          <w:sz w:val="24"/>
          <w:szCs w:val="24"/>
          <w:lang w:val="en-IN"/>
        </w:rPr>
        <w:br/>
        <w:t>For each ticker, call IndianAPI historical_stats?stats=quarter_results and capture the quarter’s figures exactly as returned (e.g., Sales, OPM %, Net Profit, EPS).</w:t>
      </w:r>
    </w:p>
    <w:p w14:paraId="6053D01D" w14:textId="66E6579F" w:rsidR="00BF0E66" w:rsidRPr="00BF0E66" w:rsidRDefault="00BF0E66" w:rsidP="00D86A6A">
      <w:pPr>
        <w:numPr>
          <w:ilvl w:val="1"/>
          <w:numId w:val="12"/>
        </w:numPr>
        <w:tabs>
          <w:tab w:val="num" w:pos="144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 xml:space="preserve">We </w:t>
      </w:r>
      <w:r w:rsidRPr="00BF0E66">
        <w:rPr>
          <w:rFonts w:ascii="Times New Roman" w:eastAsia="Times New Roman" w:hAnsi="Times New Roman" w:cs="Times New Roman"/>
          <w:b/>
          <w:bCs/>
          <w:sz w:val="24"/>
          <w:szCs w:val="24"/>
          <w:lang w:val="en-IN"/>
        </w:rPr>
        <w:t>do not normalize or rename</w:t>
      </w:r>
      <w:r w:rsidRPr="00BF0E66">
        <w:rPr>
          <w:rFonts w:ascii="Times New Roman" w:eastAsia="Times New Roman" w:hAnsi="Times New Roman" w:cs="Times New Roman"/>
          <w:sz w:val="24"/>
          <w:szCs w:val="24"/>
          <w:lang w:val="en-IN"/>
        </w:rPr>
        <w:t xml:space="preserve"> industry-specific fields (e.g., banks’ “Revenue”, “Financing Profit”</w:t>
      </w:r>
      <w:r w:rsidR="00855AF1">
        <w:rPr>
          <w:rFonts w:ascii="Times New Roman" w:eastAsia="Times New Roman" w:hAnsi="Times New Roman" w:cs="Times New Roman"/>
          <w:sz w:val="24"/>
          <w:szCs w:val="24"/>
          <w:lang w:val="en-IN"/>
        </w:rPr>
        <w:t xml:space="preserve"> </w:t>
      </w:r>
      <w:r w:rsidRPr="00BF0E66">
        <w:rPr>
          <w:rFonts w:ascii="Times New Roman" w:eastAsia="Times New Roman" w:hAnsi="Times New Roman" w:cs="Times New Roman"/>
          <w:sz w:val="24"/>
          <w:szCs w:val="24"/>
          <w:lang w:val="en-IN"/>
        </w:rPr>
        <w:t>stay as-is).</w:t>
      </w:r>
    </w:p>
    <w:p w14:paraId="0A63E166" w14:textId="77777777" w:rsidR="00BF0E66" w:rsidRPr="00BF0E66" w:rsidRDefault="00BF0E66" w:rsidP="00D86A6A">
      <w:pPr>
        <w:numPr>
          <w:ilvl w:val="0"/>
          <w:numId w:val="12"/>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Result Date extraction</w:t>
      </w:r>
      <w:r w:rsidRPr="00BF0E66">
        <w:rPr>
          <w:rFonts w:ascii="Times New Roman" w:eastAsia="Times New Roman" w:hAnsi="Times New Roman" w:cs="Times New Roman"/>
          <w:sz w:val="24"/>
          <w:szCs w:val="24"/>
          <w:lang w:val="en-IN"/>
        </w:rPr>
        <w:br/>
        <w:t xml:space="preserve">From IndianAPI board_meetings we identify the </w:t>
      </w:r>
      <w:r w:rsidRPr="00BF0E66">
        <w:rPr>
          <w:rFonts w:ascii="Times New Roman" w:eastAsia="Times New Roman" w:hAnsi="Times New Roman" w:cs="Times New Roman"/>
          <w:b/>
          <w:bCs/>
          <w:sz w:val="24"/>
          <w:szCs w:val="24"/>
          <w:lang w:val="en-IN"/>
        </w:rPr>
        <w:t>official earnings announcement date</w:t>
      </w:r>
      <w:r w:rsidRPr="00BF0E66">
        <w:rPr>
          <w:rFonts w:ascii="Times New Roman" w:eastAsia="Times New Roman" w:hAnsi="Times New Roman" w:cs="Times New Roman"/>
          <w:sz w:val="24"/>
          <w:szCs w:val="24"/>
          <w:lang w:val="en-IN"/>
        </w:rPr>
        <w:t xml:space="preserve"> (Result Date).</w:t>
      </w:r>
    </w:p>
    <w:p w14:paraId="34CAB902" w14:textId="77777777" w:rsidR="00BF0E66" w:rsidRPr="00BF0E66" w:rsidRDefault="00BF0E66" w:rsidP="00D86A6A">
      <w:pPr>
        <w:numPr>
          <w:ilvl w:val="1"/>
          <w:numId w:val="12"/>
        </w:numPr>
        <w:tabs>
          <w:tab w:val="num" w:pos="144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Where companies disclose multiple meetings, we pick the row indicating “Financial Results” outcomes for the quarter’s period label.</w:t>
      </w:r>
    </w:p>
    <w:p w14:paraId="602848FB" w14:textId="77777777" w:rsidR="00BF0E66" w:rsidRPr="00BF0E66" w:rsidRDefault="00BF0E66" w:rsidP="00D86A6A">
      <w:pPr>
        <w:numPr>
          <w:ilvl w:val="0"/>
          <w:numId w:val="12"/>
        </w:numPr>
        <w:tabs>
          <w:tab w:val="num" w:pos="72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Price alignment logic (strict, event-anchored)</w:t>
      </w:r>
      <w:r w:rsidRPr="00BF0E66">
        <w:rPr>
          <w:rFonts w:ascii="Times New Roman" w:eastAsia="Times New Roman" w:hAnsi="Times New Roman" w:cs="Times New Roman"/>
          <w:sz w:val="24"/>
          <w:szCs w:val="24"/>
          <w:lang w:val="en-IN"/>
        </w:rPr>
        <w:br/>
        <w:t>For each (Ticker, Result Date):</w:t>
      </w:r>
    </w:p>
    <w:p w14:paraId="0484BB6D" w14:textId="77777777" w:rsidR="00BF0E66" w:rsidRPr="00BF0E66" w:rsidRDefault="00BF0E66" w:rsidP="00D86A6A">
      <w:pPr>
        <w:numPr>
          <w:ilvl w:val="1"/>
          <w:numId w:val="12"/>
        </w:numPr>
        <w:tabs>
          <w:tab w:val="num" w:pos="144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T:</w:t>
      </w:r>
    </w:p>
    <w:p w14:paraId="7316E9D6" w14:textId="77777777" w:rsidR="00BF0E66" w:rsidRPr="00BF0E66" w:rsidRDefault="00BF0E66" w:rsidP="00D86A6A">
      <w:pPr>
        <w:numPr>
          <w:ilvl w:val="2"/>
          <w:numId w:val="12"/>
        </w:numPr>
        <w:tabs>
          <w:tab w:val="num" w:pos="216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lastRenderedPageBreak/>
        <w:t xml:space="preserve">If the stock </w:t>
      </w:r>
      <w:r w:rsidRPr="00BF0E66">
        <w:rPr>
          <w:rFonts w:ascii="Times New Roman" w:eastAsia="Times New Roman" w:hAnsi="Times New Roman" w:cs="Times New Roman"/>
          <w:b/>
          <w:bCs/>
          <w:sz w:val="24"/>
          <w:szCs w:val="24"/>
          <w:lang w:val="en-IN"/>
        </w:rPr>
        <w:t>traded on the Result Date</w:t>
      </w:r>
      <w:r w:rsidRPr="00BF0E66">
        <w:rPr>
          <w:rFonts w:ascii="Times New Roman" w:eastAsia="Times New Roman" w:hAnsi="Times New Roman" w:cs="Times New Roman"/>
          <w:sz w:val="24"/>
          <w:szCs w:val="24"/>
          <w:lang w:val="en-IN"/>
        </w:rPr>
        <w:t xml:space="preserve">, set </w:t>
      </w:r>
      <w:r w:rsidRPr="00BF0E66">
        <w:rPr>
          <w:rFonts w:ascii="Times New Roman" w:eastAsia="Times New Roman" w:hAnsi="Times New Roman" w:cs="Times New Roman"/>
          <w:b/>
          <w:bCs/>
          <w:sz w:val="24"/>
          <w:szCs w:val="24"/>
          <w:lang w:val="en-IN"/>
        </w:rPr>
        <w:t>_T_date = Result Date</w:t>
      </w:r>
      <w:r w:rsidRPr="00BF0E66">
        <w:rPr>
          <w:rFonts w:ascii="Times New Roman" w:eastAsia="Times New Roman" w:hAnsi="Times New Roman" w:cs="Times New Roman"/>
          <w:sz w:val="24"/>
          <w:szCs w:val="24"/>
          <w:lang w:val="en-IN"/>
        </w:rPr>
        <w:t xml:space="preserve"> and </w:t>
      </w:r>
      <w:r w:rsidRPr="00BF0E66">
        <w:rPr>
          <w:rFonts w:ascii="Times New Roman" w:eastAsia="Times New Roman" w:hAnsi="Times New Roman" w:cs="Times New Roman"/>
          <w:b/>
          <w:bCs/>
          <w:sz w:val="24"/>
          <w:szCs w:val="24"/>
          <w:lang w:val="en-IN"/>
        </w:rPr>
        <w:t>Closing Price (T) = close on that date</w:t>
      </w:r>
      <w:r w:rsidRPr="00BF0E66">
        <w:rPr>
          <w:rFonts w:ascii="Times New Roman" w:eastAsia="Times New Roman" w:hAnsi="Times New Roman" w:cs="Times New Roman"/>
          <w:sz w:val="24"/>
          <w:szCs w:val="24"/>
          <w:lang w:val="en-IN"/>
        </w:rPr>
        <w:t>.</w:t>
      </w:r>
    </w:p>
    <w:p w14:paraId="51159B25" w14:textId="77777777" w:rsidR="00BF0E66" w:rsidRPr="00BF0E66" w:rsidRDefault="00BF0E66" w:rsidP="00D86A6A">
      <w:pPr>
        <w:numPr>
          <w:ilvl w:val="2"/>
          <w:numId w:val="12"/>
        </w:numPr>
        <w:tabs>
          <w:tab w:val="num" w:pos="216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 xml:space="preserve">If </w:t>
      </w:r>
      <w:r w:rsidRPr="00BF0E66">
        <w:rPr>
          <w:rFonts w:ascii="Times New Roman" w:eastAsia="Times New Roman" w:hAnsi="Times New Roman" w:cs="Times New Roman"/>
          <w:b/>
          <w:bCs/>
          <w:sz w:val="24"/>
          <w:szCs w:val="24"/>
          <w:lang w:val="en-IN"/>
        </w:rPr>
        <w:t>no trade</w:t>
      </w:r>
      <w:r w:rsidRPr="00BF0E66">
        <w:rPr>
          <w:rFonts w:ascii="Times New Roman" w:eastAsia="Times New Roman" w:hAnsi="Times New Roman" w:cs="Times New Roman"/>
          <w:sz w:val="24"/>
          <w:szCs w:val="24"/>
          <w:lang w:val="en-IN"/>
        </w:rPr>
        <w:t xml:space="preserve"> (holiday/maintenance/IPO gap etc.), set </w:t>
      </w:r>
      <w:r w:rsidRPr="00BF0E66">
        <w:rPr>
          <w:rFonts w:ascii="Times New Roman" w:eastAsia="Times New Roman" w:hAnsi="Times New Roman" w:cs="Times New Roman"/>
          <w:b/>
          <w:bCs/>
          <w:sz w:val="24"/>
          <w:szCs w:val="24"/>
          <w:lang w:val="en-IN"/>
        </w:rPr>
        <w:t>_T_date</w:t>
      </w:r>
      <w:r w:rsidRPr="00BF0E66">
        <w:rPr>
          <w:rFonts w:ascii="Times New Roman" w:eastAsia="Times New Roman" w:hAnsi="Times New Roman" w:cs="Times New Roman"/>
          <w:sz w:val="24"/>
          <w:szCs w:val="24"/>
          <w:lang w:val="en-IN"/>
        </w:rPr>
        <w:t xml:space="preserve"> to the </w:t>
      </w:r>
      <w:r w:rsidRPr="00BF0E66">
        <w:rPr>
          <w:rFonts w:ascii="Times New Roman" w:eastAsia="Times New Roman" w:hAnsi="Times New Roman" w:cs="Times New Roman"/>
          <w:b/>
          <w:bCs/>
          <w:sz w:val="24"/>
          <w:szCs w:val="24"/>
          <w:lang w:val="en-IN"/>
        </w:rPr>
        <w:t>nearest previous trading day</w:t>
      </w:r>
      <w:r w:rsidRPr="00BF0E66">
        <w:rPr>
          <w:rFonts w:ascii="Times New Roman" w:eastAsia="Times New Roman" w:hAnsi="Times New Roman" w:cs="Times New Roman"/>
          <w:sz w:val="24"/>
          <w:szCs w:val="24"/>
          <w:lang w:val="en-IN"/>
        </w:rPr>
        <w:t xml:space="preserve"> and </w:t>
      </w:r>
      <w:r w:rsidRPr="00BF0E66">
        <w:rPr>
          <w:rFonts w:ascii="Times New Roman" w:eastAsia="Times New Roman" w:hAnsi="Times New Roman" w:cs="Times New Roman"/>
          <w:b/>
          <w:bCs/>
          <w:sz w:val="24"/>
          <w:szCs w:val="24"/>
          <w:lang w:val="en-IN"/>
        </w:rPr>
        <w:t>Closing Price (T)</w:t>
      </w:r>
      <w:r w:rsidRPr="00BF0E66">
        <w:rPr>
          <w:rFonts w:ascii="Times New Roman" w:eastAsia="Times New Roman" w:hAnsi="Times New Roman" w:cs="Times New Roman"/>
          <w:sz w:val="24"/>
          <w:szCs w:val="24"/>
          <w:lang w:val="en-IN"/>
        </w:rPr>
        <w:t xml:space="preserve"> to that day’s close.</w:t>
      </w:r>
    </w:p>
    <w:p w14:paraId="44EDC391" w14:textId="77777777" w:rsidR="00BF0E66" w:rsidRPr="00BF0E66" w:rsidRDefault="00BF0E66" w:rsidP="00D86A6A">
      <w:pPr>
        <w:numPr>
          <w:ilvl w:val="2"/>
          <w:numId w:val="12"/>
        </w:numPr>
        <w:tabs>
          <w:tab w:val="num" w:pos="216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Sources used in order:</w:t>
      </w:r>
      <w:r w:rsidRPr="00BF0E66">
        <w:rPr>
          <w:rFonts w:ascii="Times New Roman" w:eastAsia="Times New Roman" w:hAnsi="Times New Roman" w:cs="Times New Roman"/>
          <w:sz w:val="24"/>
          <w:szCs w:val="24"/>
          <w:lang w:val="en-IN"/>
        </w:rPr>
        <w:t xml:space="preserve"> (a) Exchange bhavcopy; (b) IndianAPI historical_data </w:t>
      </w:r>
      <w:r w:rsidRPr="00BF0E66">
        <w:rPr>
          <w:rFonts w:ascii="Times New Roman" w:eastAsia="Times New Roman" w:hAnsi="Times New Roman" w:cs="Times New Roman"/>
          <w:b/>
          <w:bCs/>
          <w:sz w:val="24"/>
          <w:szCs w:val="24"/>
          <w:lang w:val="en-IN"/>
        </w:rPr>
        <w:t>only when</w:t>
      </w:r>
      <w:r w:rsidRPr="00BF0E66">
        <w:rPr>
          <w:rFonts w:ascii="Times New Roman" w:eastAsia="Times New Roman" w:hAnsi="Times New Roman" w:cs="Times New Roman"/>
          <w:sz w:val="24"/>
          <w:szCs w:val="24"/>
          <w:lang w:val="en-IN"/>
        </w:rPr>
        <w:t xml:space="preserve"> meta.is_weekly=false; (c) Alpha Vantage TIME_SERIES_DAILY as last resort.</w:t>
      </w:r>
    </w:p>
    <w:p w14:paraId="70746571" w14:textId="77777777" w:rsidR="00BF0E66" w:rsidRPr="00BF0E66" w:rsidRDefault="00BF0E66" w:rsidP="00D86A6A">
      <w:pPr>
        <w:numPr>
          <w:ilvl w:val="1"/>
          <w:numId w:val="12"/>
        </w:numPr>
        <w:tabs>
          <w:tab w:val="num" w:pos="144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b/>
          <w:bCs/>
          <w:sz w:val="24"/>
          <w:szCs w:val="24"/>
          <w:lang w:val="en-IN"/>
        </w:rPr>
        <w:t>T+1, T+2, T+3:</w:t>
      </w:r>
      <w:r w:rsidRPr="00BF0E66">
        <w:rPr>
          <w:rFonts w:ascii="Times New Roman" w:eastAsia="Times New Roman" w:hAnsi="Times New Roman" w:cs="Times New Roman"/>
          <w:sz w:val="24"/>
          <w:szCs w:val="24"/>
          <w:lang w:val="en-IN"/>
        </w:rPr>
        <w:br/>
        <w:t xml:space="preserve">Move forward through the </w:t>
      </w:r>
      <w:r w:rsidRPr="00BF0E66">
        <w:rPr>
          <w:rFonts w:ascii="Times New Roman" w:eastAsia="Times New Roman" w:hAnsi="Times New Roman" w:cs="Times New Roman"/>
          <w:b/>
          <w:bCs/>
          <w:sz w:val="24"/>
          <w:szCs w:val="24"/>
          <w:lang w:val="en-IN"/>
        </w:rPr>
        <w:t>next trading days</w:t>
      </w:r>
      <w:r w:rsidRPr="00BF0E66">
        <w:rPr>
          <w:rFonts w:ascii="Times New Roman" w:eastAsia="Times New Roman" w:hAnsi="Times New Roman" w:cs="Times New Roman"/>
          <w:sz w:val="24"/>
          <w:szCs w:val="24"/>
          <w:lang w:val="en-IN"/>
        </w:rPr>
        <w:t xml:space="preserve"> from </w:t>
      </w:r>
      <w:r w:rsidRPr="00BF0E66">
        <w:rPr>
          <w:rFonts w:ascii="Times New Roman" w:eastAsia="Times New Roman" w:hAnsi="Times New Roman" w:cs="Times New Roman"/>
          <w:b/>
          <w:bCs/>
          <w:sz w:val="24"/>
          <w:szCs w:val="24"/>
          <w:lang w:val="en-IN"/>
        </w:rPr>
        <w:t>_T_date</w:t>
      </w:r>
      <w:r w:rsidRPr="00BF0E66">
        <w:rPr>
          <w:rFonts w:ascii="Times New Roman" w:eastAsia="Times New Roman" w:hAnsi="Times New Roman" w:cs="Times New Roman"/>
          <w:sz w:val="24"/>
          <w:szCs w:val="24"/>
          <w:lang w:val="en-IN"/>
        </w:rPr>
        <w:t xml:space="preserve"> (not calendar days), capturing each day’s official </w:t>
      </w:r>
      <w:r w:rsidRPr="00BF0E66">
        <w:rPr>
          <w:rFonts w:ascii="Times New Roman" w:eastAsia="Times New Roman" w:hAnsi="Times New Roman" w:cs="Times New Roman"/>
          <w:b/>
          <w:bCs/>
          <w:sz w:val="24"/>
          <w:szCs w:val="24"/>
          <w:lang w:val="en-IN"/>
        </w:rPr>
        <w:t>Close</w:t>
      </w:r>
      <w:r w:rsidRPr="00BF0E66">
        <w:rPr>
          <w:rFonts w:ascii="Times New Roman" w:eastAsia="Times New Roman" w:hAnsi="Times New Roman" w:cs="Times New Roman"/>
          <w:sz w:val="24"/>
          <w:szCs w:val="24"/>
          <w:lang w:val="en-IN"/>
        </w:rPr>
        <w:t xml:space="preserve"> and the actual trading </w:t>
      </w:r>
      <w:r w:rsidRPr="00BF0E66">
        <w:rPr>
          <w:rFonts w:ascii="Times New Roman" w:eastAsia="Times New Roman" w:hAnsi="Times New Roman" w:cs="Times New Roman"/>
          <w:b/>
          <w:bCs/>
          <w:sz w:val="24"/>
          <w:szCs w:val="24"/>
          <w:lang w:val="en-IN"/>
        </w:rPr>
        <w:t>date</w:t>
      </w:r>
      <w:r w:rsidRPr="00BF0E66">
        <w:rPr>
          <w:rFonts w:ascii="Times New Roman" w:eastAsia="Times New Roman" w:hAnsi="Times New Roman" w:cs="Times New Roman"/>
          <w:sz w:val="24"/>
          <w:szCs w:val="24"/>
          <w:lang w:val="en-IN"/>
        </w:rPr>
        <w:t>.</w:t>
      </w:r>
    </w:p>
    <w:p w14:paraId="3C64A31A" w14:textId="77777777" w:rsidR="00BF0E66" w:rsidRPr="00BF0E66" w:rsidRDefault="00BF0E66" w:rsidP="00D86A6A">
      <w:pPr>
        <w:numPr>
          <w:ilvl w:val="2"/>
          <w:numId w:val="12"/>
        </w:numPr>
        <w:tabs>
          <w:tab w:val="num" w:pos="216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The same source preference order applies (bhavcopy → daily-like IndianAPI → Alpha Vantage).</w:t>
      </w:r>
    </w:p>
    <w:p w14:paraId="7BD1EA71" w14:textId="77777777" w:rsidR="00BF0E66" w:rsidRPr="00BF0E66" w:rsidRDefault="00BF0E66" w:rsidP="00D86A6A">
      <w:pPr>
        <w:numPr>
          <w:ilvl w:val="2"/>
          <w:numId w:val="12"/>
        </w:numPr>
        <w:tabs>
          <w:tab w:val="num" w:pos="2160"/>
        </w:tabs>
        <w:spacing w:line="480" w:lineRule="auto"/>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 xml:space="preserve">We </w:t>
      </w:r>
      <w:r w:rsidRPr="00BF0E66">
        <w:rPr>
          <w:rFonts w:ascii="Times New Roman" w:eastAsia="Times New Roman" w:hAnsi="Times New Roman" w:cs="Times New Roman"/>
          <w:b/>
          <w:bCs/>
          <w:sz w:val="24"/>
          <w:szCs w:val="24"/>
          <w:lang w:val="en-IN"/>
        </w:rPr>
        <w:t>skip weekends and exchange holidays</w:t>
      </w:r>
      <w:r w:rsidRPr="00BF0E66">
        <w:rPr>
          <w:rFonts w:ascii="Times New Roman" w:eastAsia="Times New Roman" w:hAnsi="Times New Roman" w:cs="Times New Roman"/>
          <w:sz w:val="24"/>
          <w:szCs w:val="24"/>
          <w:lang w:val="en-IN"/>
        </w:rPr>
        <w:t xml:space="preserve"> automatically by following the trading calendar implied by the data source.</w:t>
      </w:r>
    </w:p>
    <w:p w14:paraId="3F1BF4A0" w14:textId="7E65DDFF" w:rsidR="00BF0E66" w:rsidRPr="00BF0E66" w:rsidRDefault="00ED21DF" w:rsidP="00D86A6A">
      <w:pPr>
        <w:numPr>
          <w:ilvl w:val="1"/>
          <w:numId w:val="12"/>
        </w:numPr>
        <w:tabs>
          <w:tab w:val="num" w:pos="1440"/>
        </w:tabs>
        <w:spacing w:line="48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N</w:t>
      </w:r>
      <w:r w:rsidR="00BF0E66" w:rsidRPr="00BF0E66">
        <w:rPr>
          <w:rFonts w:ascii="Times New Roman" w:eastAsia="Times New Roman" w:hAnsi="Times New Roman" w:cs="Times New Roman"/>
          <w:b/>
          <w:bCs/>
          <w:sz w:val="24"/>
          <w:szCs w:val="24"/>
          <w:lang w:val="en-IN"/>
        </w:rPr>
        <w:t>ever forward-fill</w:t>
      </w:r>
      <w:r w:rsidR="00BF0E66" w:rsidRPr="00BF0E66">
        <w:rPr>
          <w:rFonts w:ascii="Times New Roman" w:eastAsia="Times New Roman" w:hAnsi="Times New Roman" w:cs="Times New Roman"/>
          <w:sz w:val="24"/>
          <w:szCs w:val="24"/>
          <w:lang w:val="en-IN"/>
        </w:rPr>
        <w:t xml:space="preserve"> missing closes; if a source is unavailable for that event, we try the next source. If all sources fail, fields remain blank for that event (later backfilled where possible).</w:t>
      </w:r>
    </w:p>
    <w:p w14:paraId="2E847678" w14:textId="77777777" w:rsidR="00BF0E66" w:rsidRPr="00BF0E66" w:rsidRDefault="00BF0E66" w:rsidP="00D86A6A">
      <w:pPr>
        <w:numPr>
          <w:ilvl w:val="0"/>
          <w:numId w:val="12"/>
        </w:numPr>
        <w:tabs>
          <w:tab w:val="num" w:pos="720"/>
        </w:tabs>
        <w:spacing w:line="480" w:lineRule="auto"/>
        <w:jc w:val="both"/>
        <w:rPr>
          <w:rFonts w:ascii="Times New Roman" w:eastAsia="Times New Roman" w:hAnsi="Times New Roman" w:cs="Times New Roman"/>
          <w:lang w:val="en-IN"/>
        </w:rPr>
      </w:pPr>
      <w:r w:rsidRPr="00BF0E66">
        <w:rPr>
          <w:rFonts w:ascii="Times New Roman" w:eastAsia="Times New Roman" w:hAnsi="Times New Roman" w:cs="Times New Roman"/>
          <w:b/>
          <w:bCs/>
          <w:lang w:val="en-IN"/>
        </w:rPr>
        <w:t>Integrity checks</w:t>
      </w:r>
    </w:p>
    <w:p w14:paraId="2AC192FE" w14:textId="77777777" w:rsidR="00BF0E66" w:rsidRPr="00BF0E66" w:rsidRDefault="00BF0E66" w:rsidP="00D86A6A">
      <w:pPr>
        <w:numPr>
          <w:ilvl w:val="1"/>
          <w:numId w:val="12"/>
        </w:numPr>
        <w:tabs>
          <w:tab w:val="num" w:pos="1440"/>
        </w:tabs>
        <w:spacing w:line="480" w:lineRule="auto"/>
        <w:jc w:val="both"/>
        <w:rPr>
          <w:rFonts w:ascii="Times New Roman" w:eastAsia="Times New Roman" w:hAnsi="Times New Roman" w:cs="Times New Roman"/>
          <w:lang w:val="en-IN"/>
        </w:rPr>
      </w:pPr>
      <w:r w:rsidRPr="00BF0E66">
        <w:rPr>
          <w:rFonts w:ascii="Times New Roman" w:eastAsia="Times New Roman" w:hAnsi="Times New Roman" w:cs="Times New Roman"/>
          <w:lang w:val="en-IN"/>
        </w:rPr>
        <w:t xml:space="preserve">All rows from the results table are </w:t>
      </w:r>
      <w:r w:rsidRPr="00BF0E66">
        <w:rPr>
          <w:rFonts w:ascii="Times New Roman" w:eastAsia="Times New Roman" w:hAnsi="Times New Roman" w:cs="Times New Roman"/>
          <w:b/>
          <w:bCs/>
          <w:lang w:val="en-IN"/>
        </w:rPr>
        <w:t>kept</w:t>
      </w:r>
      <w:r w:rsidRPr="00BF0E66">
        <w:rPr>
          <w:rFonts w:ascii="Times New Roman" w:eastAsia="Times New Roman" w:hAnsi="Times New Roman" w:cs="Times New Roman"/>
          <w:lang w:val="en-IN"/>
        </w:rPr>
        <w:t xml:space="preserve"> even if prices are missing; prices are opportunistically filled by the above cascade.</w:t>
      </w:r>
    </w:p>
    <w:p w14:paraId="5F30D2FE" w14:textId="77777777" w:rsidR="00BF0E66" w:rsidRPr="00BF0E66" w:rsidRDefault="00BF0E66" w:rsidP="00D86A6A">
      <w:pPr>
        <w:numPr>
          <w:ilvl w:val="1"/>
          <w:numId w:val="12"/>
        </w:numPr>
        <w:tabs>
          <w:tab w:val="num" w:pos="1440"/>
        </w:tabs>
        <w:spacing w:line="480" w:lineRule="auto"/>
        <w:jc w:val="both"/>
        <w:rPr>
          <w:rFonts w:ascii="Times New Roman" w:eastAsia="Times New Roman" w:hAnsi="Times New Roman" w:cs="Times New Roman"/>
          <w:lang w:val="en-IN"/>
        </w:rPr>
      </w:pPr>
      <w:r w:rsidRPr="00BF0E66">
        <w:rPr>
          <w:rFonts w:ascii="Times New Roman" w:eastAsia="Times New Roman" w:hAnsi="Times New Roman" w:cs="Times New Roman"/>
          <w:lang w:val="en-IN"/>
        </w:rPr>
        <w:t xml:space="preserve">We record the actual </w:t>
      </w:r>
      <w:r w:rsidRPr="00BF0E66">
        <w:rPr>
          <w:rFonts w:ascii="Times New Roman" w:eastAsia="Times New Roman" w:hAnsi="Times New Roman" w:cs="Times New Roman"/>
          <w:b/>
          <w:bCs/>
          <w:lang w:val="en-IN"/>
        </w:rPr>
        <w:t>_T_date</w:t>
      </w:r>
      <w:r w:rsidRPr="00BF0E66">
        <w:rPr>
          <w:rFonts w:ascii="Times New Roman" w:eastAsia="Times New Roman" w:hAnsi="Times New Roman" w:cs="Times New Roman"/>
          <w:lang w:val="en-IN"/>
        </w:rPr>
        <w:t xml:space="preserve">, </w:t>
      </w:r>
      <w:r w:rsidRPr="00BF0E66">
        <w:rPr>
          <w:rFonts w:ascii="Times New Roman" w:eastAsia="Times New Roman" w:hAnsi="Times New Roman" w:cs="Times New Roman"/>
          <w:b/>
          <w:bCs/>
          <w:lang w:val="en-IN"/>
        </w:rPr>
        <w:t>_T1_date</w:t>
      </w:r>
      <w:r w:rsidRPr="00BF0E66">
        <w:rPr>
          <w:rFonts w:ascii="Times New Roman" w:eastAsia="Times New Roman" w:hAnsi="Times New Roman" w:cs="Times New Roman"/>
          <w:lang w:val="en-IN"/>
        </w:rPr>
        <w:t xml:space="preserve">, </w:t>
      </w:r>
      <w:r w:rsidRPr="00BF0E66">
        <w:rPr>
          <w:rFonts w:ascii="Times New Roman" w:eastAsia="Times New Roman" w:hAnsi="Times New Roman" w:cs="Times New Roman"/>
          <w:b/>
          <w:bCs/>
          <w:lang w:val="en-IN"/>
        </w:rPr>
        <w:t>_T2_date</w:t>
      </w:r>
      <w:r w:rsidRPr="00BF0E66">
        <w:rPr>
          <w:rFonts w:ascii="Times New Roman" w:eastAsia="Times New Roman" w:hAnsi="Times New Roman" w:cs="Times New Roman"/>
          <w:lang w:val="en-IN"/>
        </w:rPr>
        <w:t xml:space="preserve">, </w:t>
      </w:r>
      <w:r w:rsidRPr="00BF0E66">
        <w:rPr>
          <w:rFonts w:ascii="Times New Roman" w:eastAsia="Times New Roman" w:hAnsi="Times New Roman" w:cs="Times New Roman"/>
          <w:b/>
          <w:bCs/>
          <w:lang w:val="en-IN"/>
        </w:rPr>
        <w:t>_T3_date</w:t>
      </w:r>
      <w:r w:rsidRPr="00BF0E66">
        <w:rPr>
          <w:rFonts w:ascii="Times New Roman" w:eastAsia="Times New Roman" w:hAnsi="Times New Roman" w:cs="Times New Roman"/>
          <w:lang w:val="en-IN"/>
        </w:rPr>
        <w:t xml:space="preserve"> to show which trading days were used—this makes every price traceable to a dated close.</w:t>
      </w:r>
    </w:p>
    <w:p w14:paraId="6F1B475E" w14:textId="762D68E6" w:rsidR="00BF0E66" w:rsidRPr="00D86A6A" w:rsidRDefault="00BF0E66" w:rsidP="00D86A6A">
      <w:pPr>
        <w:pStyle w:val="Heading2"/>
        <w:spacing w:line="480" w:lineRule="auto"/>
        <w:rPr>
          <w:rFonts w:ascii="Times New Roman" w:hAnsi="Times New Roman" w:cs="Times New Roman"/>
          <w:sz w:val="28"/>
          <w:szCs w:val="28"/>
        </w:rPr>
      </w:pPr>
      <w:r w:rsidRPr="00D86A6A">
        <w:rPr>
          <w:rFonts w:ascii="Times New Roman" w:hAnsi="Times New Roman" w:cs="Times New Roman"/>
          <w:sz w:val="28"/>
          <w:szCs w:val="28"/>
        </w:rPr>
        <w:lastRenderedPageBreak/>
        <w:t>What</w:t>
      </w:r>
      <w:r w:rsidR="00EA0EF1">
        <w:rPr>
          <w:rFonts w:ascii="Times New Roman" w:hAnsi="Times New Roman" w:cs="Times New Roman"/>
          <w:sz w:val="28"/>
          <w:szCs w:val="28"/>
        </w:rPr>
        <w:t xml:space="preserve"> is</w:t>
      </w:r>
      <w:r w:rsidRPr="00D86A6A">
        <w:rPr>
          <w:rFonts w:ascii="Times New Roman" w:hAnsi="Times New Roman" w:cs="Times New Roman"/>
          <w:sz w:val="28"/>
          <w:szCs w:val="28"/>
        </w:rPr>
        <w:t xml:space="preserve"> not done in this raw layer</w:t>
      </w:r>
    </w:p>
    <w:p w14:paraId="048DCCF9" w14:textId="77777777" w:rsidR="00BF0E66" w:rsidRPr="00BF0E66" w:rsidRDefault="00BF0E66" w:rsidP="00D86A6A">
      <w:pPr>
        <w:numPr>
          <w:ilvl w:val="0"/>
          <w:numId w:val="13"/>
        </w:numPr>
        <w:tabs>
          <w:tab w:val="clear" w:pos="720"/>
          <w:tab w:val="num" w:pos="1080"/>
        </w:tabs>
        <w:spacing w:line="480" w:lineRule="auto"/>
        <w:ind w:left="1080"/>
        <w:jc w:val="both"/>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No unit scaling, currency conversions, or inflation adjustments.</w:t>
      </w:r>
    </w:p>
    <w:p w14:paraId="61F24C25" w14:textId="77777777" w:rsidR="00BF0E66" w:rsidRPr="00BF0E66" w:rsidRDefault="00BF0E66" w:rsidP="00D86A6A">
      <w:pPr>
        <w:numPr>
          <w:ilvl w:val="0"/>
          <w:numId w:val="13"/>
        </w:numPr>
        <w:tabs>
          <w:tab w:val="clear" w:pos="720"/>
          <w:tab w:val="num" w:pos="1080"/>
        </w:tabs>
        <w:spacing w:line="480" w:lineRule="auto"/>
        <w:ind w:left="1080"/>
        <w:jc w:val="both"/>
        <w:rPr>
          <w:rFonts w:ascii="Times New Roman" w:eastAsia="Times New Roman" w:hAnsi="Times New Roman" w:cs="Times New Roman"/>
          <w:sz w:val="24"/>
          <w:szCs w:val="24"/>
          <w:lang w:val="en-IN"/>
        </w:rPr>
      </w:pPr>
      <w:r w:rsidRPr="00BF0E66">
        <w:rPr>
          <w:rFonts w:ascii="Times New Roman" w:eastAsia="Times New Roman" w:hAnsi="Times New Roman" w:cs="Times New Roman"/>
          <w:sz w:val="24"/>
          <w:szCs w:val="24"/>
          <w:lang w:val="en-IN"/>
        </w:rPr>
        <w:t>No deduping beyond exact company-quarter keys; if a company revises a quarter, we keep the latest pull and log the source date.</w:t>
      </w:r>
    </w:p>
    <w:p w14:paraId="0000002F" w14:textId="77777777" w:rsidR="008728C3" w:rsidRPr="00D86A6A" w:rsidRDefault="00000000" w:rsidP="00D86A6A">
      <w:pPr>
        <w:pStyle w:val="Heading1"/>
        <w:spacing w:line="480" w:lineRule="auto"/>
        <w:jc w:val="center"/>
        <w:rPr>
          <w:rFonts w:ascii="Times New Roman" w:hAnsi="Times New Roman" w:cs="Times New Roman"/>
          <w:b/>
          <w:bCs/>
          <w:sz w:val="28"/>
          <w:szCs w:val="28"/>
        </w:rPr>
      </w:pPr>
      <w:r w:rsidRPr="00D86A6A">
        <w:rPr>
          <w:rFonts w:ascii="Times New Roman" w:hAnsi="Times New Roman" w:cs="Times New Roman"/>
          <w:b/>
          <w:bCs/>
          <w:sz w:val="28"/>
          <w:szCs w:val="28"/>
        </w:rPr>
        <w:t>Analysis</w:t>
      </w:r>
    </w:p>
    <w:p w14:paraId="00000030" w14:textId="7E266B0D" w:rsidR="008728C3" w:rsidRDefault="00000000" w:rsidP="00EA0EF1">
      <w:pPr>
        <w:pStyle w:val="Heading2"/>
        <w:rPr>
          <w:rFonts w:ascii="Times New Roman" w:hAnsi="Times New Roman" w:cs="Times New Roman"/>
          <w:sz w:val="28"/>
          <w:szCs w:val="28"/>
        </w:rPr>
      </w:pPr>
      <w:r w:rsidRPr="00EA0EF1">
        <w:rPr>
          <w:rFonts w:ascii="Times New Roman" w:hAnsi="Times New Roman" w:cs="Times New Roman"/>
          <w:sz w:val="28"/>
          <w:szCs w:val="28"/>
        </w:rPr>
        <w:t xml:space="preserve">Data </w:t>
      </w:r>
      <w:r w:rsidR="004C7FEF">
        <w:rPr>
          <w:rFonts w:ascii="Times New Roman" w:hAnsi="Times New Roman" w:cs="Times New Roman"/>
          <w:sz w:val="28"/>
          <w:szCs w:val="28"/>
        </w:rPr>
        <w:t>Analysis</w:t>
      </w:r>
      <w:r w:rsidRPr="00EA0EF1">
        <w:rPr>
          <w:rFonts w:ascii="Times New Roman" w:hAnsi="Times New Roman" w:cs="Times New Roman"/>
          <w:sz w:val="28"/>
          <w:szCs w:val="28"/>
        </w:rPr>
        <w:t>.</w:t>
      </w:r>
    </w:p>
    <w:p w14:paraId="06C27145" w14:textId="77777777" w:rsidR="00BE154F" w:rsidRPr="00BE154F" w:rsidRDefault="00BE154F" w:rsidP="00BE154F">
      <w:pPr>
        <w:spacing w:line="480" w:lineRule="auto"/>
        <w:rPr>
          <w:rFonts w:ascii="Times New Roman" w:hAnsi="Times New Roman" w:cs="Times New Roman"/>
          <w:sz w:val="24"/>
          <w:szCs w:val="24"/>
          <w:lang w:val="en-IN"/>
        </w:rPr>
      </w:pPr>
      <w:r w:rsidRPr="00BE154F">
        <w:rPr>
          <w:rFonts w:ascii="Times New Roman" w:hAnsi="Times New Roman" w:cs="Times New Roman"/>
          <w:sz w:val="24"/>
          <w:szCs w:val="24"/>
          <w:lang w:val="en-IN"/>
        </w:rPr>
        <w:t>The study analyses quarterly earnings results from 202</w:t>
      </w:r>
      <w:r>
        <w:rPr>
          <w:rFonts w:ascii="Times New Roman" w:hAnsi="Times New Roman" w:cs="Times New Roman"/>
          <w:sz w:val="24"/>
          <w:szCs w:val="24"/>
          <w:lang w:val="en-IN"/>
        </w:rPr>
        <w:t>2</w:t>
      </w:r>
      <w:r w:rsidRPr="00BE154F">
        <w:rPr>
          <w:rFonts w:ascii="Times New Roman" w:hAnsi="Times New Roman" w:cs="Times New Roman"/>
          <w:sz w:val="24"/>
          <w:szCs w:val="24"/>
          <w:lang w:val="en-IN"/>
        </w:rPr>
        <w:t xml:space="preserve"> to 2025 for 45 companies across five sectors and three market cap categories. With 3 years ×4 quarters = 12 observations per company, this results in a dataset of approximately 540 samples.</w:t>
      </w:r>
    </w:p>
    <w:p w14:paraId="6C80112C" w14:textId="77777777" w:rsidR="00BE154F" w:rsidRPr="00BE154F" w:rsidRDefault="00BE154F" w:rsidP="00BE154F">
      <w:pPr>
        <w:spacing w:line="480" w:lineRule="auto"/>
        <w:rPr>
          <w:rFonts w:ascii="Times New Roman" w:hAnsi="Times New Roman" w:cs="Times New Roman"/>
          <w:sz w:val="24"/>
          <w:szCs w:val="24"/>
          <w:lang w:val="en-IN"/>
        </w:rPr>
      </w:pPr>
      <w:r w:rsidRPr="00BE154F">
        <w:rPr>
          <w:rFonts w:ascii="Times New Roman" w:hAnsi="Times New Roman" w:cs="Times New Roman"/>
          <w:sz w:val="24"/>
          <w:szCs w:val="24"/>
          <w:lang w:val="en-IN"/>
        </w:rPr>
        <w:t>Using the confidence interval method for binary classification with 95% confidence level (Z = 1.96), expected proportion p = 0.5, and margin of error e = 0.05, the required sample size is calculated as:</w:t>
      </w:r>
    </w:p>
    <w:p w14:paraId="081FAC2A" w14:textId="77777777" w:rsidR="00BE154F" w:rsidRPr="00BE154F" w:rsidRDefault="00BE154F" w:rsidP="00BE154F">
      <w:pPr>
        <w:spacing w:line="480" w:lineRule="auto"/>
        <w:rPr>
          <w:rFonts w:ascii="Times New Roman" w:hAnsi="Times New Roman" w:cs="Times New Roman"/>
          <w:sz w:val="24"/>
          <w:szCs w:val="24"/>
          <w:lang w:val="en-IN"/>
        </w:rPr>
      </w:pPr>
      <w:r w:rsidRPr="00BE154F">
        <w:rPr>
          <w:rFonts w:ascii="Times New Roman" w:hAnsi="Times New Roman" w:cs="Times New Roman"/>
          <w:sz w:val="24"/>
          <w:szCs w:val="24"/>
          <w:lang w:val="en-IN"/>
        </w:rPr>
        <w:t>n = (Z² ×p ×(1 − p)) / e² = (1.96² ×0.5 ×0.5) / 0.05² ≈ 384</w:t>
      </w:r>
    </w:p>
    <w:p w14:paraId="421C7F61" w14:textId="77777777" w:rsidR="00BE154F" w:rsidRPr="00BE154F" w:rsidRDefault="00BE154F" w:rsidP="00BE154F">
      <w:pPr>
        <w:spacing w:line="480" w:lineRule="auto"/>
        <w:rPr>
          <w:rFonts w:ascii="Times New Roman" w:hAnsi="Times New Roman" w:cs="Times New Roman"/>
          <w:sz w:val="24"/>
          <w:szCs w:val="24"/>
          <w:lang w:val="en-IN"/>
        </w:rPr>
      </w:pPr>
      <w:r w:rsidRPr="00BE154F">
        <w:rPr>
          <w:rFonts w:ascii="Times New Roman" w:hAnsi="Times New Roman" w:cs="Times New Roman"/>
          <w:sz w:val="24"/>
          <w:szCs w:val="24"/>
          <w:lang w:val="en-IN"/>
        </w:rPr>
        <w:t>Since 5</w:t>
      </w:r>
      <w:r>
        <w:rPr>
          <w:rFonts w:ascii="Times New Roman" w:hAnsi="Times New Roman" w:cs="Times New Roman"/>
          <w:sz w:val="24"/>
          <w:szCs w:val="24"/>
          <w:lang w:val="en-IN"/>
        </w:rPr>
        <w:t>84</w:t>
      </w:r>
      <w:r w:rsidRPr="00BE154F">
        <w:rPr>
          <w:rFonts w:ascii="Times New Roman" w:hAnsi="Times New Roman" w:cs="Times New Roman"/>
          <w:sz w:val="24"/>
          <w:szCs w:val="24"/>
          <w:lang w:val="en-IN"/>
        </w:rPr>
        <w:t xml:space="preserve"> &gt; 384, the dataset size is statistically adequate for binary ML classification analysis.</w:t>
      </w:r>
    </w:p>
    <w:p w14:paraId="1D12848B" w14:textId="5A4F87F3" w:rsidR="00AF7FBF" w:rsidRPr="00AF7FBF" w:rsidRDefault="00AF7FBF" w:rsidP="00BE154F">
      <w:pPr>
        <w:spacing w:line="480" w:lineRule="auto"/>
        <w:jc w:val="both"/>
        <w:rPr>
          <w:rFonts w:ascii="Times New Roman" w:hAnsi="Times New Roman" w:cs="Times New Roman"/>
          <w:sz w:val="24"/>
          <w:szCs w:val="24"/>
        </w:rPr>
      </w:pPr>
      <w:r w:rsidRPr="00AF7FBF">
        <w:rPr>
          <w:rFonts w:ascii="Times New Roman" w:hAnsi="Times New Roman" w:cs="Times New Roman"/>
          <w:sz w:val="24"/>
          <w:szCs w:val="24"/>
        </w:rPr>
        <w:t xml:space="preserve">Schema is complete; types are consistent with all event dates parsed to datetime64[ns]. Missingness is </w:t>
      </w:r>
      <w:r w:rsidRPr="00AF7FBF">
        <w:rPr>
          <w:rFonts w:ascii="Times New Roman" w:hAnsi="Times New Roman" w:cs="Times New Roman"/>
          <w:b/>
          <w:bCs/>
          <w:sz w:val="24"/>
          <w:szCs w:val="24"/>
        </w:rPr>
        <w:t>structurally sector-driven</w:t>
      </w:r>
      <w:r w:rsidRPr="00AF7FBF">
        <w:rPr>
          <w:rFonts w:ascii="Times New Roman" w:hAnsi="Times New Roman" w:cs="Times New Roman"/>
          <w:sz w:val="24"/>
          <w:szCs w:val="24"/>
        </w:rPr>
        <w:t>: BFSI fields (Revenue, Financing Margin %) are absent in ~</w:t>
      </w:r>
      <w:r w:rsidRPr="00AF7FBF">
        <w:rPr>
          <w:rFonts w:ascii="Times New Roman" w:hAnsi="Times New Roman" w:cs="Times New Roman"/>
          <w:b/>
          <w:bCs/>
          <w:sz w:val="24"/>
          <w:szCs w:val="24"/>
        </w:rPr>
        <w:t>468</w:t>
      </w:r>
      <w:r w:rsidRPr="00AF7FBF">
        <w:rPr>
          <w:rFonts w:ascii="Times New Roman" w:hAnsi="Times New Roman" w:cs="Times New Roman"/>
          <w:sz w:val="24"/>
          <w:szCs w:val="24"/>
        </w:rPr>
        <w:t xml:space="preserve"> rows, while non-BFSI metrics (Sales, OPM %) are missing in </w:t>
      </w:r>
      <w:r w:rsidRPr="00AF7FBF">
        <w:rPr>
          <w:rFonts w:ascii="Times New Roman" w:hAnsi="Times New Roman" w:cs="Times New Roman"/>
          <w:b/>
          <w:bCs/>
          <w:sz w:val="24"/>
          <w:szCs w:val="24"/>
        </w:rPr>
        <w:t>117</w:t>
      </w:r>
      <w:r w:rsidRPr="00AF7FBF">
        <w:rPr>
          <w:rFonts w:ascii="Times New Roman" w:hAnsi="Times New Roman" w:cs="Times New Roman"/>
          <w:sz w:val="24"/>
          <w:szCs w:val="24"/>
        </w:rPr>
        <w:t xml:space="preserve"> BFSI rows; price/date fields are &gt;99% complete (only </w:t>
      </w:r>
      <w:r w:rsidRPr="00AF7FBF">
        <w:rPr>
          <w:rFonts w:ascii="Times New Roman" w:hAnsi="Times New Roman" w:cs="Times New Roman"/>
          <w:b/>
          <w:bCs/>
          <w:sz w:val="24"/>
          <w:szCs w:val="24"/>
        </w:rPr>
        <w:t>1</w:t>
      </w:r>
      <w:r w:rsidRPr="00AF7FBF">
        <w:rPr>
          <w:rFonts w:ascii="Times New Roman" w:hAnsi="Times New Roman" w:cs="Times New Roman"/>
          <w:sz w:val="24"/>
          <w:szCs w:val="24"/>
        </w:rPr>
        <w:t xml:space="preserve"> NA in returns/labels). Class balance is mildly skewed (</w:t>
      </w:r>
      <w:r w:rsidRPr="00AF7FBF">
        <w:rPr>
          <w:rFonts w:ascii="Times New Roman" w:hAnsi="Times New Roman" w:cs="Times New Roman"/>
          <w:b/>
          <w:bCs/>
          <w:sz w:val="24"/>
          <w:szCs w:val="24"/>
        </w:rPr>
        <w:t>Down=344, Up=240; 59/41</w:t>
      </w:r>
      <w:r w:rsidRPr="00AF7FBF">
        <w:rPr>
          <w:rFonts w:ascii="Times New Roman" w:hAnsi="Times New Roman" w:cs="Times New Roman"/>
          <w:sz w:val="24"/>
          <w:szCs w:val="24"/>
        </w:rPr>
        <w:t xml:space="preserve">). Temporal QA flags </w:t>
      </w:r>
      <w:r w:rsidRPr="00AF7FBF">
        <w:rPr>
          <w:rFonts w:ascii="Times New Roman" w:hAnsi="Times New Roman" w:cs="Times New Roman"/>
          <w:b/>
          <w:bCs/>
          <w:sz w:val="24"/>
          <w:szCs w:val="24"/>
        </w:rPr>
        <w:t>67</w:t>
      </w:r>
      <w:r w:rsidRPr="00AF7FBF">
        <w:rPr>
          <w:rFonts w:ascii="Times New Roman" w:hAnsi="Times New Roman" w:cs="Times New Roman"/>
          <w:sz w:val="24"/>
          <w:szCs w:val="24"/>
        </w:rPr>
        <w:t xml:space="preserve"> records with </w:t>
      </w:r>
      <w:r w:rsidRPr="00AF7FBF">
        <w:rPr>
          <w:rFonts w:ascii="Times New Roman" w:hAnsi="Times New Roman" w:cs="Times New Roman"/>
          <w:b/>
          <w:bCs/>
          <w:sz w:val="24"/>
          <w:szCs w:val="24"/>
        </w:rPr>
        <w:t>_T_date misaligned vs Result Date</w:t>
      </w:r>
      <w:r w:rsidRPr="00AF7FBF">
        <w:rPr>
          <w:rFonts w:ascii="Times New Roman" w:hAnsi="Times New Roman" w:cs="Times New Roman"/>
          <w:sz w:val="24"/>
          <w:szCs w:val="24"/>
        </w:rPr>
        <w:t xml:space="preserve"> and </w:t>
      </w:r>
      <w:r w:rsidRPr="00AF7FBF">
        <w:rPr>
          <w:rFonts w:ascii="Times New Roman" w:hAnsi="Times New Roman" w:cs="Times New Roman"/>
          <w:b/>
          <w:bCs/>
          <w:sz w:val="24"/>
          <w:szCs w:val="24"/>
        </w:rPr>
        <w:t>114</w:t>
      </w:r>
      <w:r w:rsidRPr="00AF7FBF">
        <w:rPr>
          <w:rFonts w:ascii="Times New Roman" w:hAnsi="Times New Roman" w:cs="Times New Roman"/>
          <w:sz w:val="24"/>
          <w:szCs w:val="24"/>
        </w:rPr>
        <w:t xml:space="preserve"> cases with non-monotonic </w:t>
      </w:r>
      <w:r w:rsidRPr="00AF7FBF">
        <w:rPr>
          <w:rFonts w:ascii="Times New Roman" w:hAnsi="Times New Roman" w:cs="Times New Roman"/>
          <w:b/>
          <w:bCs/>
          <w:sz w:val="24"/>
          <w:szCs w:val="24"/>
        </w:rPr>
        <w:t>T→T+3</w:t>
      </w:r>
      <w:r w:rsidRPr="00AF7FBF">
        <w:rPr>
          <w:rFonts w:ascii="Times New Roman" w:hAnsi="Times New Roman" w:cs="Times New Roman"/>
          <w:sz w:val="24"/>
          <w:szCs w:val="24"/>
        </w:rPr>
        <w:t xml:space="preserve"> ordering, warranting review (holiday/calendar effects vs data entry). Range sanity highlights plausible but extreme values—</w:t>
      </w:r>
      <w:r w:rsidRPr="00AF7FBF">
        <w:rPr>
          <w:rFonts w:ascii="Times New Roman" w:hAnsi="Times New Roman" w:cs="Times New Roman"/>
          <w:b/>
          <w:bCs/>
          <w:sz w:val="24"/>
          <w:szCs w:val="24"/>
        </w:rPr>
        <w:t xml:space="preserve">Financing Margin </w:t>
      </w:r>
      <w:r w:rsidRPr="00AF7FBF">
        <w:rPr>
          <w:rFonts w:ascii="Times New Roman" w:hAnsi="Times New Roman" w:cs="Times New Roman"/>
          <w:b/>
          <w:bCs/>
          <w:sz w:val="24"/>
          <w:szCs w:val="24"/>
        </w:rPr>
        <w:lastRenderedPageBreak/>
        <w:t>% −39→39 (88 flags)</w:t>
      </w:r>
      <w:r w:rsidRPr="00AF7FBF">
        <w:rPr>
          <w:rFonts w:ascii="Times New Roman" w:hAnsi="Times New Roman" w:cs="Times New Roman"/>
          <w:sz w:val="24"/>
          <w:szCs w:val="24"/>
        </w:rPr>
        <w:t xml:space="preserve"> and </w:t>
      </w:r>
      <w:r w:rsidRPr="00AF7FBF">
        <w:rPr>
          <w:rFonts w:ascii="Times New Roman" w:hAnsi="Times New Roman" w:cs="Times New Roman"/>
          <w:b/>
          <w:bCs/>
          <w:sz w:val="24"/>
          <w:szCs w:val="24"/>
        </w:rPr>
        <w:t>Tax % −88→3925 (15 flags)</w:t>
      </w:r>
      <w:r w:rsidRPr="00AF7FBF">
        <w:rPr>
          <w:rFonts w:ascii="Times New Roman" w:hAnsi="Times New Roman" w:cs="Times New Roman"/>
          <w:sz w:val="24"/>
          <w:szCs w:val="24"/>
        </w:rPr>
        <w:t xml:space="preserve">—while </w:t>
      </w:r>
      <w:r w:rsidRPr="00AF7FBF">
        <w:rPr>
          <w:rFonts w:ascii="Times New Roman" w:hAnsi="Times New Roman" w:cs="Times New Roman"/>
          <w:b/>
          <w:bCs/>
          <w:sz w:val="24"/>
          <w:szCs w:val="24"/>
        </w:rPr>
        <w:t>OPM %</w:t>
      </w:r>
      <w:r w:rsidRPr="00AF7FBF">
        <w:rPr>
          <w:rFonts w:ascii="Times New Roman" w:hAnsi="Times New Roman" w:cs="Times New Roman"/>
          <w:sz w:val="24"/>
          <w:szCs w:val="24"/>
        </w:rPr>
        <w:t xml:space="preserve"> is well-bounded. The 3-day return distribution is centered near zero (μ≈</w:t>
      </w:r>
      <w:r w:rsidRPr="00AF7FBF">
        <w:rPr>
          <w:rFonts w:ascii="Times New Roman" w:hAnsi="Times New Roman" w:cs="Times New Roman"/>
          <w:b/>
          <w:bCs/>
          <w:sz w:val="24"/>
          <w:szCs w:val="24"/>
        </w:rPr>
        <w:t>0.29%</w:t>
      </w:r>
      <w:r w:rsidRPr="00AF7FBF">
        <w:rPr>
          <w:rFonts w:ascii="Times New Roman" w:hAnsi="Times New Roman" w:cs="Times New Roman"/>
          <w:sz w:val="24"/>
          <w:szCs w:val="24"/>
        </w:rPr>
        <w:t>, σ≈</w:t>
      </w:r>
      <w:r w:rsidRPr="00AF7FBF">
        <w:rPr>
          <w:rFonts w:ascii="Times New Roman" w:hAnsi="Times New Roman" w:cs="Times New Roman"/>
          <w:b/>
          <w:bCs/>
          <w:sz w:val="24"/>
          <w:szCs w:val="24"/>
        </w:rPr>
        <w:t>4.28%</w:t>
      </w:r>
      <w:r w:rsidRPr="00AF7FBF">
        <w:rPr>
          <w:rFonts w:ascii="Times New Roman" w:hAnsi="Times New Roman" w:cs="Times New Roman"/>
          <w:sz w:val="24"/>
          <w:szCs w:val="24"/>
        </w:rPr>
        <w:t xml:space="preserve">, min </w:t>
      </w:r>
      <w:r w:rsidRPr="00AF7FBF">
        <w:rPr>
          <w:rFonts w:ascii="Times New Roman" w:hAnsi="Times New Roman" w:cs="Times New Roman"/>
          <w:b/>
          <w:bCs/>
          <w:sz w:val="24"/>
          <w:szCs w:val="24"/>
        </w:rPr>
        <w:t>−12.1%</w:t>
      </w:r>
      <w:r w:rsidRPr="00AF7FBF">
        <w:rPr>
          <w:rFonts w:ascii="Times New Roman" w:hAnsi="Times New Roman" w:cs="Times New Roman"/>
          <w:sz w:val="24"/>
          <w:szCs w:val="24"/>
        </w:rPr>
        <w:t xml:space="preserve">, max </w:t>
      </w:r>
      <w:r w:rsidRPr="00AF7FBF">
        <w:rPr>
          <w:rFonts w:ascii="Times New Roman" w:hAnsi="Times New Roman" w:cs="Times New Roman"/>
          <w:b/>
          <w:bCs/>
          <w:sz w:val="24"/>
          <w:szCs w:val="24"/>
        </w:rPr>
        <w:t>19.1%</w:t>
      </w:r>
      <w:r w:rsidRPr="00AF7FBF">
        <w:rPr>
          <w:rFonts w:ascii="Times New Roman" w:hAnsi="Times New Roman" w:cs="Times New Roman"/>
          <w:sz w:val="24"/>
          <w:szCs w:val="24"/>
        </w:rPr>
        <w:t xml:space="preserve">). </w:t>
      </w:r>
    </w:p>
    <w:p w14:paraId="00000031" w14:textId="561443FF" w:rsidR="008728C3" w:rsidRDefault="00000000" w:rsidP="00EA0EF1">
      <w:pPr>
        <w:pStyle w:val="Heading2"/>
        <w:rPr>
          <w:rFonts w:ascii="Times New Roman" w:hAnsi="Times New Roman" w:cs="Times New Roman"/>
          <w:sz w:val="28"/>
          <w:szCs w:val="28"/>
        </w:rPr>
      </w:pPr>
      <w:r w:rsidRPr="00EA0EF1">
        <w:rPr>
          <w:rFonts w:ascii="Times New Roman" w:hAnsi="Times New Roman" w:cs="Times New Roman"/>
          <w:sz w:val="28"/>
          <w:szCs w:val="28"/>
        </w:rPr>
        <w:t>EDA results</w:t>
      </w:r>
    </w:p>
    <w:p w14:paraId="52744B06" w14:textId="5BE4B677" w:rsidR="00130512" w:rsidRDefault="00130512" w:rsidP="00130512">
      <w:pPr>
        <w:spacing w:line="480" w:lineRule="auto"/>
        <w:rPr>
          <w:rFonts w:ascii="Times New Roman" w:hAnsi="Times New Roman" w:cs="Times New Roman"/>
          <w:sz w:val="24"/>
          <w:szCs w:val="24"/>
        </w:rPr>
      </w:pPr>
      <w:r w:rsidRPr="00130512">
        <w:rPr>
          <w:rFonts w:ascii="Times New Roman" w:hAnsi="Times New Roman" w:cs="Times New Roman"/>
          <w:sz w:val="24"/>
          <w:szCs w:val="24"/>
        </w:rPr>
        <w:t xml:space="preserve">EDA shows severe multicollinearity among level variables; near-zero linear/monotone association between levels and the 3-day move; small, sector-dependent non-linear traces; and economically plausible outliers. </w:t>
      </w:r>
    </w:p>
    <w:p w14:paraId="4F704E14" w14:textId="2C502188" w:rsidR="00130512" w:rsidRDefault="00130512" w:rsidP="00130512">
      <w:pPr>
        <w:spacing w:line="480" w:lineRule="auto"/>
      </w:pPr>
      <w:r>
        <w:rPr>
          <w:noProof/>
        </w:rPr>
        <w:drawing>
          <wp:inline distT="0" distB="0" distL="0" distR="0" wp14:anchorId="06CFEAEE" wp14:editId="6011074E">
            <wp:extent cx="5943600" cy="3772535"/>
            <wp:effectExtent l="0" t="0" r="0" b="0"/>
            <wp:docPr id="1983438531" name="Picture 1" descr="A graph with a bar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8531" name="Picture 1" descr="A graph with a bar and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553EB4C1" w14:textId="11689258" w:rsidR="00130512" w:rsidRDefault="00130512" w:rsidP="00130512">
      <w:pPr>
        <w:spacing w:line="480" w:lineRule="auto"/>
      </w:pPr>
      <w:r>
        <w:rPr>
          <w:noProof/>
        </w:rPr>
        <w:lastRenderedPageBreak/>
        <w:drawing>
          <wp:inline distT="0" distB="0" distL="0" distR="0" wp14:anchorId="74A26610" wp14:editId="30B19B6D">
            <wp:extent cx="5943600" cy="3772535"/>
            <wp:effectExtent l="0" t="0" r="0" b="0"/>
            <wp:docPr id="322351730" name="Picture 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1730" name="Picture 2" descr="A graph with numbers an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41E8EE5C" w14:textId="29600E59" w:rsidR="00130512" w:rsidRDefault="00130512" w:rsidP="00130512">
      <w:pPr>
        <w:spacing w:line="480" w:lineRule="auto"/>
      </w:pPr>
      <w:r>
        <w:rPr>
          <w:noProof/>
        </w:rPr>
        <w:drawing>
          <wp:inline distT="0" distB="0" distL="0" distR="0" wp14:anchorId="1384F98B" wp14:editId="3490C3BB">
            <wp:extent cx="5943600" cy="3772535"/>
            <wp:effectExtent l="0" t="0" r="0" b="0"/>
            <wp:docPr id="6165328" name="Picture 3" descr="A graph with a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28" name="Picture 3" descr="A graph with a bar and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6D74EB82" w14:textId="6553EEA8" w:rsidR="00130512" w:rsidRDefault="00130512" w:rsidP="00130512">
      <w:pPr>
        <w:spacing w:line="480" w:lineRule="auto"/>
      </w:pPr>
      <w:r>
        <w:rPr>
          <w:noProof/>
        </w:rPr>
        <w:lastRenderedPageBreak/>
        <w:drawing>
          <wp:inline distT="0" distB="0" distL="0" distR="0" wp14:anchorId="2FD12AA3" wp14:editId="1F9BBC3A">
            <wp:extent cx="5943600" cy="3772535"/>
            <wp:effectExtent l="0" t="0" r="0" b="0"/>
            <wp:docPr id="933774861" name="Picture 7"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74861" name="Picture 7" descr="A graph with blue and red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r>
        <w:rPr>
          <w:noProof/>
        </w:rPr>
        <w:drawing>
          <wp:inline distT="0" distB="0" distL="0" distR="0" wp14:anchorId="065D72E1" wp14:editId="7A2CD30D">
            <wp:extent cx="5943600" cy="3763645"/>
            <wp:effectExtent l="0" t="0" r="0" b="8255"/>
            <wp:docPr id="97432406" name="Picture 6" descr="A graph with a bar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406" name="Picture 6" descr="A graph with a bar and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63645"/>
                    </a:xfrm>
                    <a:prstGeom prst="rect">
                      <a:avLst/>
                    </a:prstGeom>
                    <a:noFill/>
                    <a:ln>
                      <a:noFill/>
                    </a:ln>
                  </pic:spPr>
                </pic:pic>
              </a:graphicData>
            </a:graphic>
          </wp:inline>
        </w:drawing>
      </w:r>
      <w:r>
        <w:rPr>
          <w:noProof/>
        </w:rPr>
        <w:lastRenderedPageBreak/>
        <w:drawing>
          <wp:inline distT="0" distB="0" distL="0" distR="0" wp14:anchorId="4A0CD60A" wp14:editId="171BC686">
            <wp:extent cx="5943600" cy="3763645"/>
            <wp:effectExtent l="0" t="0" r="0" b="8255"/>
            <wp:docPr id="368265023" name="Picture 5" descr="A graph with a bar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5023" name="Picture 5" descr="A graph with a bar and do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63645"/>
                    </a:xfrm>
                    <a:prstGeom prst="rect">
                      <a:avLst/>
                    </a:prstGeom>
                    <a:noFill/>
                    <a:ln>
                      <a:noFill/>
                    </a:ln>
                  </pic:spPr>
                </pic:pic>
              </a:graphicData>
            </a:graphic>
          </wp:inline>
        </w:drawing>
      </w:r>
      <w:r>
        <w:rPr>
          <w:noProof/>
        </w:rPr>
        <w:drawing>
          <wp:inline distT="0" distB="0" distL="0" distR="0" wp14:anchorId="697C0F3A" wp14:editId="24A989E4">
            <wp:extent cx="5943600" cy="3772535"/>
            <wp:effectExtent l="0" t="0" r="0" b="0"/>
            <wp:docPr id="2003906864" name="Picture 4"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6864" name="Picture 4" descr="A graph with numbers and do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1E698D77" w14:textId="17F83C77" w:rsidR="001C4BB4" w:rsidRDefault="001C4BB4" w:rsidP="001C4BB4">
      <w:pPr>
        <w:pStyle w:val="Heading3"/>
        <w:spacing w:line="480" w:lineRule="auto"/>
        <w:rPr>
          <w:rFonts w:ascii="Times New Roman" w:hAnsi="Times New Roman" w:cs="Times New Roman"/>
          <w:lang w:val="en-IN"/>
        </w:rPr>
      </w:pPr>
      <w:r w:rsidRPr="001C4BB4">
        <w:rPr>
          <w:rFonts w:ascii="Times New Roman" w:hAnsi="Times New Roman" w:cs="Times New Roman"/>
          <w:lang w:val="en-IN"/>
        </w:rPr>
        <w:lastRenderedPageBreak/>
        <w:t>Correlation family (Pearson, Spearman, point-biserial)</w:t>
      </w:r>
    </w:p>
    <w:p w14:paraId="0AE1E018" w14:textId="77C0AC01" w:rsidR="001C4BB4" w:rsidRDefault="001C4BB4" w:rsidP="001C4BB4">
      <w:pPr>
        <w:spacing w:line="480" w:lineRule="auto"/>
      </w:pPr>
      <w:r w:rsidRPr="001C4BB4">
        <w:t>The Spearman heatmap (Fig. 5) reveals tight accounting clusters: Net Profit ↔ Profit Before Tax (≈1.0), Sales ↔ Expenses (≈1.0), Revenue ↔ Interest/Financing Profit (BFSI block), and high associations between post-event prices (T, T+1, T+2, T+3). This is classic multicollinearity that can destabilize linear coefficients and confound naive feature importances. Crucially, correlations between fundamentals and 3-Day Return (%) are near zero; the largest |r| is ≈ 0.07 (slightly negative) and the largest |ρ| ≈ 0.09 (slightly positive for Revenue). Point-biserial correlations with the Movement Label are also tiny (e.g., OPM% r ≈ −0.093, marginal p-value), confirming weak linear separation by levels.</w:t>
      </w:r>
    </w:p>
    <w:p w14:paraId="7804D222" w14:textId="54E9BC74" w:rsidR="001C4BB4" w:rsidRPr="001C4BB4" w:rsidRDefault="001C4BB4" w:rsidP="001C4BB4">
      <w:pPr>
        <w:spacing w:line="480" w:lineRule="auto"/>
        <w:rPr>
          <w:lang w:val="en-IN"/>
        </w:rPr>
      </w:pPr>
      <w:r>
        <w:rPr>
          <w:noProof/>
        </w:rPr>
        <w:drawing>
          <wp:inline distT="0" distB="0" distL="0" distR="0" wp14:anchorId="39D453A2" wp14:editId="61DEF4AF">
            <wp:extent cx="5943600" cy="4716145"/>
            <wp:effectExtent l="0" t="0" r="0" b="8255"/>
            <wp:docPr id="411330077" name="Picture 8"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0077" name="Picture 8" descr="A graph with red and blue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716145"/>
                    </a:xfrm>
                    <a:prstGeom prst="rect">
                      <a:avLst/>
                    </a:prstGeom>
                    <a:noFill/>
                    <a:ln>
                      <a:noFill/>
                    </a:ln>
                  </pic:spPr>
                </pic:pic>
              </a:graphicData>
            </a:graphic>
          </wp:inline>
        </w:drawing>
      </w:r>
    </w:p>
    <w:p w14:paraId="51175290" w14:textId="31655846" w:rsidR="001C4BB4" w:rsidRDefault="001C4BB4" w:rsidP="001C4BB4">
      <w:pPr>
        <w:pStyle w:val="Heading3"/>
        <w:spacing w:line="480" w:lineRule="auto"/>
        <w:rPr>
          <w:rFonts w:ascii="Times New Roman" w:hAnsi="Times New Roman" w:cs="Times New Roman"/>
          <w:lang w:val="en-IN"/>
        </w:rPr>
      </w:pPr>
      <w:r w:rsidRPr="001C4BB4">
        <w:rPr>
          <w:rFonts w:ascii="Times New Roman" w:hAnsi="Times New Roman" w:cs="Times New Roman"/>
          <w:lang w:val="en-IN"/>
        </w:rPr>
        <w:lastRenderedPageBreak/>
        <w:t>Mutual Information (MI)</w:t>
      </w:r>
    </w:p>
    <w:p w14:paraId="165EBF87" w14:textId="28CDBC61" w:rsidR="001C4BB4" w:rsidRDefault="001C4BB4" w:rsidP="001C4BB4">
      <w:pPr>
        <w:spacing w:line="480" w:lineRule="auto"/>
        <w:rPr>
          <w:lang w:val="en-IN"/>
        </w:rPr>
      </w:pPr>
      <w:r w:rsidRPr="001C4BB4">
        <w:rPr>
          <w:lang w:val="en-IN"/>
        </w:rPr>
        <w:t>MI captures non-linear dependencies without monotonicity assumptions. Aside from the leakage variable (3-Day Return, MI ≈ 0.68; excluded from features), the top MI scores among fundamentals are small—e.g., Sales ~0.027, Financing Margin% ~0.023, Depreciation/Other Income ~0.008—indicating at best subtle non-linear structure.</w:t>
      </w:r>
    </w:p>
    <w:p w14:paraId="2235285E" w14:textId="112CBEE0" w:rsidR="001C4BB4" w:rsidRDefault="001C4BB4" w:rsidP="001C4BB4">
      <w:pPr>
        <w:spacing w:line="480" w:lineRule="auto"/>
        <w:rPr>
          <w:lang w:val="en-IN"/>
        </w:rPr>
      </w:pPr>
      <w:r>
        <w:rPr>
          <w:noProof/>
        </w:rPr>
        <w:drawing>
          <wp:inline distT="0" distB="0" distL="0" distR="0" wp14:anchorId="70C3AD6B" wp14:editId="7CA3472D">
            <wp:extent cx="5343525" cy="5572125"/>
            <wp:effectExtent l="0" t="0" r="9525" b="9525"/>
            <wp:docPr id="1944601868" name="Picture 9"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01868" name="Picture 9" descr="A screenshot of a docu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3525" cy="5572125"/>
                    </a:xfrm>
                    <a:prstGeom prst="rect">
                      <a:avLst/>
                    </a:prstGeom>
                    <a:noFill/>
                    <a:ln>
                      <a:noFill/>
                    </a:ln>
                  </pic:spPr>
                </pic:pic>
              </a:graphicData>
            </a:graphic>
          </wp:inline>
        </w:drawing>
      </w:r>
    </w:p>
    <w:p w14:paraId="3F78FF78" w14:textId="39F38D1D" w:rsidR="001C4BB4" w:rsidRDefault="001C4BB4" w:rsidP="001C4BB4">
      <w:pPr>
        <w:spacing w:line="480" w:lineRule="auto"/>
        <w:rPr>
          <w:rFonts w:ascii="Times New Roman" w:hAnsi="Times New Roman" w:cs="Times New Roman"/>
          <w:sz w:val="24"/>
          <w:szCs w:val="24"/>
        </w:rPr>
      </w:pPr>
      <w:r w:rsidRPr="001C4BB4">
        <w:rPr>
          <w:rFonts w:ascii="Times New Roman" w:hAnsi="Times New Roman" w:cs="Times New Roman"/>
          <w:sz w:val="24"/>
          <w:szCs w:val="24"/>
        </w:rPr>
        <w:t xml:space="preserve">Both families converge on the same story: </w:t>
      </w:r>
      <w:r w:rsidRPr="001C4BB4">
        <w:rPr>
          <w:rFonts w:ascii="Times New Roman" w:hAnsi="Times New Roman" w:cs="Times New Roman"/>
          <w:b/>
          <w:bCs/>
          <w:sz w:val="24"/>
          <w:szCs w:val="24"/>
        </w:rPr>
        <w:t>absolute levels</w:t>
      </w:r>
      <w:r w:rsidRPr="001C4BB4">
        <w:rPr>
          <w:rFonts w:ascii="Times New Roman" w:hAnsi="Times New Roman" w:cs="Times New Roman"/>
          <w:sz w:val="24"/>
          <w:szCs w:val="24"/>
        </w:rPr>
        <w:t xml:space="preserve"> have </w:t>
      </w:r>
      <w:r w:rsidRPr="001C4BB4">
        <w:rPr>
          <w:rFonts w:ascii="Times New Roman" w:hAnsi="Times New Roman" w:cs="Times New Roman"/>
          <w:b/>
          <w:bCs/>
          <w:sz w:val="24"/>
          <w:szCs w:val="24"/>
        </w:rPr>
        <w:t>weak</w:t>
      </w:r>
      <w:r w:rsidRPr="001C4BB4">
        <w:rPr>
          <w:rFonts w:ascii="Times New Roman" w:hAnsi="Times New Roman" w:cs="Times New Roman"/>
          <w:sz w:val="24"/>
          <w:szCs w:val="24"/>
        </w:rPr>
        <w:t xml:space="preserve"> explanatory power for short-horizon direction, while the space is dominated by </w:t>
      </w:r>
      <w:r w:rsidRPr="001C4BB4">
        <w:rPr>
          <w:rFonts w:ascii="Times New Roman" w:hAnsi="Times New Roman" w:cs="Times New Roman"/>
          <w:b/>
          <w:bCs/>
          <w:sz w:val="24"/>
          <w:szCs w:val="24"/>
        </w:rPr>
        <w:t>redundant</w:t>
      </w:r>
      <w:r w:rsidRPr="001C4BB4">
        <w:rPr>
          <w:rFonts w:ascii="Times New Roman" w:hAnsi="Times New Roman" w:cs="Times New Roman"/>
          <w:sz w:val="24"/>
          <w:szCs w:val="24"/>
        </w:rPr>
        <w:t xml:space="preserve"> (collinear) signals. If </w:t>
      </w:r>
      <w:r w:rsidRPr="001C4BB4">
        <w:rPr>
          <w:rFonts w:ascii="Times New Roman" w:hAnsi="Times New Roman" w:cs="Times New Roman"/>
          <w:sz w:val="24"/>
          <w:szCs w:val="24"/>
        </w:rPr>
        <w:lastRenderedPageBreak/>
        <w:t xml:space="preserve">fundamentals matter at this horizon, it is likely through </w:t>
      </w:r>
      <w:r w:rsidRPr="001C4BB4">
        <w:rPr>
          <w:rFonts w:ascii="Times New Roman" w:hAnsi="Times New Roman" w:cs="Times New Roman"/>
          <w:b/>
          <w:bCs/>
          <w:sz w:val="24"/>
          <w:szCs w:val="24"/>
        </w:rPr>
        <w:t>changes</w:t>
      </w:r>
      <w:r w:rsidRPr="001C4BB4">
        <w:rPr>
          <w:rFonts w:ascii="Times New Roman" w:hAnsi="Times New Roman" w:cs="Times New Roman"/>
          <w:sz w:val="24"/>
          <w:szCs w:val="24"/>
        </w:rPr>
        <w:t xml:space="preserve"> </w:t>
      </w:r>
      <w:r w:rsidRPr="001C4BB4">
        <w:rPr>
          <w:rFonts w:ascii="Times New Roman" w:hAnsi="Times New Roman" w:cs="Times New Roman"/>
          <w:sz w:val="24"/>
          <w:szCs w:val="24"/>
        </w:rPr>
        <w:t>related</w:t>
      </w:r>
      <w:r w:rsidRPr="001C4BB4">
        <w:rPr>
          <w:rFonts w:ascii="Times New Roman" w:hAnsi="Times New Roman" w:cs="Times New Roman"/>
          <w:sz w:val="24"/>
          <w:szCs w:val="24"/>
        </w:rPr>
        <w:t xml:space="preserve"> to a firm’s own history or the </w:t>
      </w:r>
      <w:r w:rsidRPr="001C4BB4">
        <w:rPr>
          <w:rFonts w:ascii="Times New Roman" w:hAnsi="Times New Roman" w:cs="Times New Roman"/>
          <w:b/>
          <w:bCs/>
          <w:sz w:val="24"/>
          <w:szCs w:val="24"/>
        </w:rPr>
        <w:t>composition/quality</w:t>
      </w:r>
      <w:r w:rsidRPr="001C4BB4">
        <w:rPr>
          <w:rFonts w:ascii="Times New Roman" w:hAnsi="Times New Roman" w:cs="Times New Roman"/>
          <w:sz w:val="24"/>
          <w:szCs w:val="24"/>
        </w:rPr>
        <w:t xml:space="preserve"> of earnings, not their raw magnitude.</w:t>
      </w:r>
    </w:p>
    <w:p w14:paraId="6B748926" w14:textId="77777777" w:rsidR="001C4BB4" w:rsidRPr="001C4BB4" w:rsidRDefault="001C4BB4" w:rsidP="001C4BB4">
      <w:pPr>
        <w:pStyle w:val="Heading3"/>
        <w:rPr>
          <w:lang w:val="en-IN"/>
        </w:rPr>
      </w:pPr>
      <w:r w:rsidRPr="001C4BB4">
        <w:rPr>
          <w:lang w:val="en-IN"/>
        </w:rPr>
        <w:t>Sector lenses and heterogeneity</w:t>
      </w:r>
    </w:p>
    <w:p w14:paraId="70BE786E" w14:textId="77777777" w:rsidR="001C4BB4" w:rsidRPr="001C4BB4" w:rsidRDefault="001C4BB4" w:rsidP="001C4BB4">
      <w:pPr>
        <w:spacing w:line="480" w:lineRule="auto"/>
        <w:rPr>
          <w:rFonts w:ascii="Times New Roman" w:hAnsi="Times New Roman" w:cs="Times New Roman"/>
          <w:sz w:val="24"/>
          <w:szCs w:val="24"/>
          <w:lang w:val="en-IN"/>
        </w:rPr>
      </w:pPr>
      <w:r w:rsidRPr="001C4BB4">
        <w:rPr>
          <w:rFonts w:ascii="Times New Roman" w:hAnsi="Times New Roman" w:cs="Times New Roman"/>
          <w:sz w:val="24"/>
          <w:szCs w:val="24"/>
          <w:lang w:val="en-IN"/>
        </w:rPr>
        <w:t xml:space="preserve">Sectoral panels compare </w:t>
      </w:r>
      <w:r w:rsidRPr="001C4BB4">
        <w:rPr>
          <w:rFonts w:ascii="Times New Roman" w:hAnsi="Times New Roman" w:cs="Times New Roman"/>
          <w:b/>
          <w:bCs/>
          <w:sz w:val="24"/>
          <w:szCs w:val="24"/>
          <w:lang w:val="en-IN"/>
        </w:rPr>
        <w:t>Up vs Down</w:t>
      </w:r>
      <w:r w:rsidRPr="001C4BB4">
        <w:rPr>
          <w:rFonts w:ascii="Times New Roman" w:hAnsi="Times New Roman" w:cs="Times New Roman"/>
          <w:sz w:val="24"/>
          <w:szCs w:val="24"/>
          <w:lang w:val="en-IN"/>
        </w:rPr>
        <w:t xml:space="preserve"> distributions within Auto, FMCG, IT, Pharma, and BFSI.</w:t>
      </w:r>
    </w:p>
    <w:p w14:paraId="561EF717" w14:textId="77777777" w:rsidR="001C4BB4" w:rsidRPr="001C4BB4" w:rsidRDefault="001C4BB4" w:rsidP="001C4BB4">
      <w:pPr>
        <w:numPr>
          <w:ilvl w:val="0"/>
          <w:numId w:val="15"/>
        </w:numPr>
        <w:spacing w:line="480" w:lineRule="auto"/>
        <w:rPr>
          <w:rFonts w:ascii="Times New Roman" w:hAnsi="Times New Roman" w:cs="Times New Roman"/>
          <w:sz w:val="24"/>
          <w:szCs w:val="24"/>
          <w:lang w:val="en-IN"/>
        </w:rPr>
      </w:pPr>
      <w:r w:rsidRPr="001C4BB4">
        <w:rPr>
          <w:rFonts w:ascii="Times New Roman" w:hAnsi="Times New Roman" w:cs="Times New Roman"/>
          <w:b/>
          <w:bCs/>
          <w:sz w:val="24"/>
          <w:szCs w:val="24"/>
          <w:lang w:val="en-IN"/>
        </w:rPr>
        <w:t>Auto.</w:t>
      </w:r>
      <w:r w:rsidRPr="001C4BB4">
        <w:rPr>
          <w:rFonts w:ascii="Times New Roman" w:hAnsi="Times New Roman" w:cs="Times New Roman"/>
          <w:sz w:val="24"/>
          <w:szCs w:val="24"/>
          <w:lang w:val="en-IN"/>
        </w:rPr>
        <w:t xml:space="preserve"> Up and Down groups overlap across EPS/OPM/Topline; many high EPS/NP outliers appear in </w:t>
      </w:r>
      <w:r w:rsidRPr="001C4BB4">
        <w:rPr>
          <w:rFonts w:ascii="Times New Roman" w:hAnsi="Times New Roman" w:cs="Times New Roman"/>
          <w:b/>
          <w:bCs/>
          <w:sz w:val="24"/>
          <w:szCs w:val="24"/>
          <w:lang w:val="en-IN"/>
        </w:rPr>
        <w:t>Down</w:t>
      </w:r>
      <w:r w:rsidRPr="001C4BB4">
        <w:rPr>
          <w:rFonts w:ascii="Times New Roman" w:hAnsi="Times New Roman" w:cs="Times New Roman"/>
          <w:sz w:val="24"/>
          <w:szCs w:val="24"/>
          <w:lang w:val="en-IN"/>
        </w:rPr>
        <w:t xml:space="preserve">, consistent with </w:t>
      </w:r>
      <w:r w:rsidRPr="001C4BB4">
        <w:rPr>
          <w:rFonts w:ascii="Times New Roman" w:hAnsi="Times New Roman" w:cs="Times New Roman"/>
          <w:b/>
          <w:bCs/>
          <w:sz w:val="24"/>
          <w:szCs w:val="24"/>
          <w:lang w:val="en-IN"/>
        </w:rPr>
        <w:t>mean-reversion or expectation miss</w:t>
      </w:r>
      <w:r w:rsidRPr="001C4BB4">
        <w:rPr>
          <w:rFonts w:ascii="Times New Roman" w:hAnsi="Times New Roman" w:cs="Times New Roman"/>
          <w:sz w:val="24"/>
          <w:szCs w:val="24"/>
          <w:lang w:val="en-IN"/>
        </w:rPr>
        <w:t>, not level-driven upside.</w:t>
      </w:r>
    </w:p>
    <w:p w14:paraId="7CFA132E" w14:textId="77777777" w:rsidR="001C4BB4" w:rsidRPr="001C4BB4" w:rsidRDefault="001C4BB4" w:rsidP="001C4BB4">
      <w:pPr>
        <w:numPr>
          <w:ilvl w:val="0"/>
          <w:numId w:val="15"/>
        </w:numPr>
        <w:spacing w:line="480" w:lineRule="auto"/>
        <w:rPr>
          <w:rFonts w:ascii="Times New Roman" w:hAnsi="Times New Roman" w:cs="Times New Roman"/>
          <w:sz w:val="24"/>
          <w:szCs w:val="24"/>
          <w:lang w:val="en-IN"/>
        </w:rPr>
      </w:pPr>
      <w:r w:rsidRPr="001C4BB4">
        <w:rPr>
          <w:rFonts w:ascii="Times New Roman" w:hAnsi="Times New Roman" w:cs="Times New Roman"/>
          <w:b/>
          <w:bCs/>
          <w:sz w:val="24"/>
          <w:szCs w:val="24"/>
          <w:lang w:val="en-IN"/>
        </w:rPr>
        <w:t>FMCG.</w:t>
      </w:r>
      <w:r w:rsidRPr="001C4BB4">
        <w:rPr>
          <w:rFonts w:ascii="Times New Roman" w:hAnsi="Times New Roman" w:cs="Times New Roman"/>
          <w:sz w:val="24"/>
          <w:szCs w:val="24"/>
          <w:lang w:val="en-IN"/>
        </w:rPr>
        <w:t xml:space="preserve"> </w:t>
      </w:r>
      <w:r w:rsidRPr="001C4BB4">
        <w:rPr>
          <w:rFonts w:ascii="Times New Roman" w:hAnsi="Times New Roman" w:cs="Times New Roman"/>
          <w:b/>
          <w:bCs/>
          <w:sz w:val="24"/>
          <w:szCs w:val="24"/>
          <w:lang w:val="en-IN"/>
        </w:rPr>
        <w:t>Down</w:t>
      </w:r>
      <w:r w:rsidRPr="001C4BB4">
        <w:rPr>
          <w:rFonts w:ascii="Times New Roman" w:hAnsi="Times New Roman" w:cs="Times New Roman"/>
          <w:sz w:val="24"/>
          <w:szCs w:val="24"/>
          <w:lang w:val="en-IN"/>
        </w:rPr>
        <w:t xml:space="preserve"> tends to have </w:t>
      </w:r>
      <w:r w:rsidRPr="001C4BB4">
        <w:rPr>
          <w:rFonts w:ascii="Times New Roman" w:hAnsi="Times New Roman" w:cs="Times New Roman"/>
          <w:b/>
          <w:bCs/>
          <w:sz w:val="24"/>
          <w:szCs w:val="24"/>
          <w:lang w:val="en-IN"/>
        </w:rPr>
        <w:t>larger Topline</w:t>
      </w:r>
      <w:r w:rsidRPr="001C4BB4">
        <w:rPr>
          <w:rFonts w:ascii="Times New Roman" w:hAnsi="Times New Roman" w:cs="Times New Roman"/>
          <w:sz w:val="24"/>
          <w:szCs w:val="24"/>
          <w:lang w:val="en-IN"/>
        </w:rPr>
        <w:t xml:space="preserve"> and slightly higher margins—again, scale does not equate to near-term outperformance.</w:t>
      </w:r>
    </w:p>
    <w:p w14:paraId="20BEC625" w14:textId="77777777" w:rsidR="001C4BB4" w:rsidRPr="001C4BB4" w:rsidRDefault="001C4BB4" w:rsidP="001C4BB4">
      <w:pPr>
        <w:numPr>
          <w:ilvl w:val="0"/>
          <w:numId w:val="15"/>
        </w:numPr>
        <w:spacing w:line="480" w:lineRule="auto"/>
        <w:rPr>
          <w:rFonts w:ascii="Times New Roman" w:hAnsi="Times New Roman" w:cs="Times New Roman"/>
          <w:sz w:val="24"/>
          <w:szCs w:val="24"/>
          <w:lang w:val="en-IN"/>
        </w:rPr>
      </w:pPr>
      <w:r w:rsidRPr="001C4BB4">
        <w:rPr>
          <w:rFonts w:ascii="Times New Roman" w:hAnsi="Times New Roman" w:cs="Times New Roman"/>
          <w:b/>
          <w:bCs/>
          <w:sz w:val="24"/>
          <w:szCs w:val="24"/>
          <w:lang w:val="en-IN"/>
        </w:rPr>
        <w:t>IT/Technology</w:t>
      </w:r>
      <w:r w:rsidRPr="001C4BB4">
        <w:rPr>
          <w:rFonts w:ascii="Times New Roman" w:hAnsi="Times New Roman" w:cs="Times New Roman"/>
          <w:sz w:val="24"/>
          <w:szCs w:val="24"/>
          <w:lang w:val="en-IN"/>
        </w:rPr>
        <w:t xml:space="preserve"> and </w:t>
      </w:r>
      <w:r w:rsidRPr="001C4BB4">
        <w:rPr>
          <w:rFonts w:ascii="Times New Roman" w:hAnsi="Times New Roman" w:cs="Times New Roman"/>
          <w:b/>
          <w:bCs/>
          <w:sz w:val="24"/>
          <w:szCs w:val="24"/>
          <w:lang w:val="en-IN"/>
        </w:rPr>
        <w:t>Pharma.</w:t>
      </w:r>
      <w:r w:rsidRPr="001C4BB4">
        <w:rPr>
          <w:rFonts w:ascii="Times New Roman" w:hAnsi="Times New Roman" w:cs="Times New Roman"/>
          <w:sz w:val="24"/>
          <w:szCs w:val="24"/>
          <w:lang w:val="en-IN"/>
        </w:rPr>
        <w:t xml:space="preserve"> Medians are close across classes with wide overlap—levels remain non-discriminative.</w:t>
      </w:r>
    </w:p>
    <w:p w14:paraId="51C44BC9" w14:textId="2FAED99C" w:rsidR="001C4BB4" w:rsidRPr="001C4BB4" w:rsidRDefault="001C4BB4" w:rsidP="001C4BB4">
      <w:pPr>
        <w:numPr>
          <w:ilvl w:val="0"/>
          <w:numId w:val="15"/>
        </w:numPr>
        <w:spacing w:line="480" w:lineRule="auto"/>
        <w:rPr>
          <w:rFonts w:ascii="Times New Roman" w:hAnsi="Times New Roman" w:cs="Times New Roman"/>
          <w:sz w:val="24"/>
          <w:szCs w:val="24"/>
          <w:lang w:val="en-IN"/>
        </w:rPr>
      </w:pPr>
      <w:r w:rsidRPr="001C4BB4">
        <w:rPr>
          <w:rFonts w:ascii="Times New Roman" w:hAnsi="Times New Roman" w:cs="Times New Roman"/>
          <w:b/>
          <w:bCs/>
          <w:sz w:val="24"/>
          <w:szCs w:val="24"/>
          <w:lang w:val="en-IN"/>
        </w:rPr>
        <w:t>BFSI.</w:t>
      </w:r>
      <w:r w:rsidRPr="001C4BB4">
        <w:rPr>
          <w:rFonts w:ascii="Times New Roman" w:hAnsi="Times New Roman" w:cs="Times New Roman"/>
          <w:sz w:val="24"/>
          <w:szCs w:val="24"/>
          <w:lang w:val="en-IN"/>
        </w:rPr>
        <w:t xml:space="preserve"> </w:t>
      </w:r>
      <w:r w:rsidRPr="001C4BB4">
        <w:rPr>
          <w:rFonts w:ascii="Times New Roman" w:hAnsi="Times New Roman" w:cs="Times New Roman"/>
          <w:b/>
          <w:bCs/>
          <w:sz w:val="24"/>
          <w:szCs w:val="24"/>
          <w:lang w:val="en-IN"/>
        </w:rPr>
        <w:t>Financing Margin%</w:t>
      </w:r>
      <w:r w:rsidRPr="001C4BB4">
        <w:rPr>
          <w:rFonts w:ascii="Times New Roman" w:hAnsi="Times New Roman" w:cs="Times New Roman"/>
          <w:sz w:val="24"/>
          <w:szCs w:val="24"/>
          <w:lang w:val="en-IN"/>
        </w:rPr>
        <w:t xml:space="preserve"> ranges from −40% to +40%. Up/Down outcomes interleave across the range, and the scatter vs return shows no monotone relation, arguing for </w:t>
      </w:r>
      <w:r w:rsidRPr="001C4BB4">
        <w:rPr>
          <w:rFonts w:ascii="Times New Roman" w:hAnsi="Times New Roman" w:cs="Times New Roman"/>
          <w:b/>
          <w:bCs/>
          <w:sz w:val="24"/>
          <w:szCs w:val="24"/>
          <w:lang w:val="en-IN"/>
        </w:rPr>
        <w:t>Financing</w:t>
      </w:r>
      <w:r w:rsidRPr="001C4BB4">
        <w:rPr>
          <w:rFonts w:ascii="Times New Roman" w:hAnsi="Times New Roman" w:cs="Times New Roman"/>
          <w:b/>
          <w:bCs/>
          <w:sz w:val="24"/>
          <w:szCs w:val="24"/>
          <w:lang w:val="en-IN"/>
        </w:rPr>
        <w:t xml:space="preserve"> Margin</w:t>
      </w:r>
      <w:r w:rsidRPr="001C4BB4">
        <w:rPr>
          <w:rFonts w:ascii="Times New Roman" w:hAnsi="Times New Roman" w:cs="Times New Roman"/>
          <w:sz w:val="24"/>
          <w:szCs w:val="24"/>
          <w:lang w:val="en-IN"/>
        </w:rPr>
        <w:t xml:space="preserve"> rather than its level.</w:t>
      </w:r>
    </w:p>
    <w:p w14:paraId="729C4FC2" w14:textId="7E470AE1" w:rsidR="001C4BB4" w:rsidRDefault="001C4BB4" w:rsidP="001C4BB4">
      <w:pPr>
        <w:spacing w:line="480" w:lineRule="auto"/>
        <w:rPr>
          <w:rFonts w:ascii="Times New Roman" w:hAnsi="Times New Roman" w:cs="Times New Roman"/>
          <w:sz w:val="24"/>
          <w:szCs w:val="24"/>
          <w:lang w:val="en-IN"/>
        </w:rPr>
      </w:pPr>
      <w:r w:rsidRPr="001C4BB4">
        <w:rPr>
          <w:rFonts w:ascii="Times New Roman" w:hAnsi="Times New Roman" w:cs="Times New Roman"/>
          <w:sz w:val="24"/>
          <w:szCs w:val="24"/>
          <w:lang w:val="en-IN"/>
        </w:rPr>
        <w:t xml:space="preserve">Average sector returns (Fig. </w:t>
      </w:r>
      <w:r w:rsidR="00BE154F">
        <w:rPr>
          <w:rFonts w:ascii="Times New Roman" w:hAnsi="Times New Roman" w:cs="Times New Roman"/>
          <w:sz w:val="24"/>
          <w:szCs w:val="24"/>
          <w:lang w:val="en-IN"/>
        </w:rPr>
        <w:t>X)</w:t>
      </w:r>
      <w:r w:rsidRPr="001C4BB4">
        <w:rPr>
          <w:rFonts w:ascii="Times New Roman" w:hAnsi="Times New Roman" w:cs="Times New Roman"/>
          <w:sz w:val="24"/>
          <w:szCs w:val="24"/>
          <w:lang w:val="en-IN"/>
        </w:rPr>
        <w:t xml:space="preserve"> are positive for Auto, Pharma, IT, FMCG and negative for BFSI (≈ −0.45%). Because </w:t>
      </w:r>
      <w:r w:rsidRPr="001C4BB4">
        <w:rPr>
          <w:rFonts w:ascii="Times New Roman" w:hAnsi="Times New Roman" w:cs="Times New Roman"/>
          <w:b/>
          <w:bCs/>
          <w:sz w:val="24"/>
          <w:szCs w:val="24"/>
          <w:lang w:val="en-IN"/>
        </w:rPr>
        <w:t>base rates</w:t>
      </w:r>
      <w:r w:rsidRPr="001C4BB4">
        <w:rPr>
          <w:rFonts w:ascii="Times New Roman" w:hAnsi="Times New Roman" w:cs="Times New Roman"/>
          <w:sz w:val="24"/>
          <w:szCs w:val="24"/>
          <w:lang w:val="en-IN"/>
        </w:rPr>
        <w:t xml:space="preserve"> differ by sector, both </w:t>
      </w:r>
      <w:r w:rsidR="00BE154F" w:rsidRPr="001C4BB4">
        <w:rPr>
          <w:rFonts w:ascii="Times New Roman" w:hAnsi="Times New Roman" w:cs="Times New Roman"/>
          <w:sz w:val="24"/>
          <w:szCs w:val="24"/>
          <w:lang w:val="en-IN"/>
        </w:rPr>
        <w:t>modelling</w:t>
      </w:r>
      <w:r w:rsidRPr="001C4BB4">
        <w:rPr>
          <w:rFonts w:ascii="Times New Roman" w:hAnsi="Times New Roman" w:cs="Times New Roman"/>
          <w:sz w:val="24"/>
          <w:szCs w:val="24"/>
          <w:lang w:val="en-IN"/>
        </w:rPr>
        <w:t xml:space="preserve"> and evaluation must be </w:t>
      </w:r>
      <w:r w:rsidRPr="001C4BB4">
        <w:rPr>
          <w:rFonts w:ascii="Times New Roman" w:hAnsi="Times New Roman" w:cs="Times New Roman"/>
          <w:b/>
          <w:bCs/>
          <w:sz w:val="24"/>
          <w:szCs w:val="24"/>
          <w:lang w:val="en-IN"/>
        </w:rPr>
        <w:t>sector-aware</w:t>
      </w:r>
      <w:r w:rsidRPr="001C4BB4">
        <w:rPr>
          <w:rFonts w:ascii="Times New Roman" w:hAnsi="Times New Roman" w:cs="Times New Roman"/>
          <w:sz w:val="24"/>
          <w:szCs w:val="24"/>
          <w:lang w:val="en-IN"/>
        </w:rPr>
        <w:t xml:space="preserve"> to avoid Simpson’s paradox effects.</w:t>
      </w:r>
    </w:p>
    <w:p w14:paraId="79201CD9" w14:textId="77777777" w:rsidR="00BE154F" w:rsidRDefault="00BE154F" w:rsidP="001C4BB4">
      <w:pPr>
        <w:spacing w:line="480" w:lineRule="auto"/>
        <w:rPr>
          <w:rFonts w:ascii="Times New Roman" w:hAnsi="Times New Roman" w:cs="Times New Roman"/>
          <w:sz w:val="24"/>
          <w:szCs w:val="24"/>
          <w:lang w:val="en-IN"/>
        </w:rPr>
      </w:pPr>
      <w:r>
        <w:rPr>
          <w:noProof/>
        </w:rPr>
        <w:lastRenderedPageBreak/>
        <w:drawing>
          <wp:inline distT="0" distB="0" distL="0" distR="0" wp14:anchorId="6CD4CD80" wp14:editId="1C535B3B">
            <wp:extent cx="5943600" cy="4481830"/>
            <wp:effectExtent l="0" t="0" r="0" b="0"/>
            <wp:docPr id="139222646"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646" name="Picture 16"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r>
        <w:rPr>
          <w:noProof/>
        </w:rPr>
        <w:drawing>
          <wp:inline distT="0" distB="0" distL="0" distR="0" wp14:anchorId="3ADCAB86" wp14:editId="47B8EC70">
            <wp:extent cx="5943600" cy="3262630"/>
            <wp:effectExtent l="0" t="0" r="0" b="0"/>
            <wp:docPr id="869597512" name="Picture 15"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7512" name="Picture 15" descr="A graph with blue squar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62630"/>
                    </a:xfrm>
                    <a:prstGeom prst="rect">
                      <a:avLst/>
                    </a:prstGeom>
                    <a:noFill/>
                    <a:ln>
                      <a:noFill/>
                    </a:ln>
                  </pic:spPr>
                </pic:pic>
              </a:graphicData>
            </a:graphic>
          </wp:inline>
        </w:drawing>
      </w:r>
      <w:r>
        <w:rPr>
          <w:noProof/>
        </w:rPr>
        <w:lastRenderedPageBreak/>
        <w:drawing>
          <wp:inline distT="0" distB="0" distL="0" distR="0" wp14:anchorId="3EAD0F9E" wp14:editId="2DDB0E1B">
            <wp:extent cx="5943600" cy="4481830"/>
            <wp:effectExtent l="0" t="0" r="0" b="0"/>
            <wp:docPr id="1995421754" name="Picture 14"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754" name="Picture 14" descr="A group of blue and white graph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6E712103" w14:textId="77777777" w:rsidR="00BE154F" w:rsidRDefault="00BE154F" w:rsidP="001C4BB4">
      <w:pPr>
        <w:spacing w:line="480" w:lineRule="auto"/>
        <w:rPr>
          <w:rFonts w:ascii="Times New Roman" w:hAnsi="Times New Roman" w:cs="Times New Roman"/>
          <w:sz w:val="24"/>
          <w:szCs w:val="24"/>
          <w:lang w:val="en-IN"/>
        </w:rPr>
      </w:pPr>
    </w:p>
    <w:p w14:paraId="605517B7" w14:textId="5FFFABDD" w:rsidR="00BE154F" w:rsidRDefault="00BE154F" w:rsidP="001C4BB4">
      <w:pPr>
        <w:spacing w:line="480" w:lineRule="auto"/>
        <w:rPr>
          <w:rFonts w:ascii="Times New Roman" w:hAnsi="Times New Roman" w:cs="Times New Roman"/>
          <w:sz w:val="24"/>
          <w:szCs w:val="24"/>
          <w:lang w:val="en-IN"/>
        </w:rPr>
      </w:pPr>
      <w:r>
        <w:rPr>
          <w:noProof/>
        </w:rPr>
        <w:lastRenderedPageBreak/>
        <w:drawing>
          <wp:inline distT="0" distB="0" distL="0" distR="0" wp14:anchorId="103CF55F" wp14:editId="382336E3">
            <wp:extent cx="4756227" cy="3586480"/>
            <wp:effectExtent l="0" t="0" r="6350" b="0"/>
            <wp:docPr id="102668146" name="Picture 13" descr="A group of blue and white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146" name="Picture 13" descr="A group of blue and white boxes with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0832" cy="3589953"/>
                    </a:xfrm>
                    <a:prstGeom prst="rect">
                      <a:avLst/>
                    </a:prstGeom>
                    <a:noFill/>
                    <a:ln>
                      <a:noFill/>
                    </a:ln>
                  </pic:spPr>
                </pic:pic>
              </a:graphicData>
            </a:graphic>
          </wp:inline>
        </w:drawing>
      </w:r>
      <w:r>
        <w:rPr>
          <w:noProof/>
        </w:rPr>
        <w:drawing>
          <wp:inline distT="0" distB="0" distL="0" distR="0" wp14:anchorId="0D9DF03E" wp14:editId="7EEBD3A4">
            <wp:extent cx="4756150" cy="3586422"/>
            <wp:effectExtent l="0" t="0" r="6350" b="0"/>
            <wp:docPr id="1598778344"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8344" name="Picture 12" descr="A screenshot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9884" cy="3604319"/>
                    </a:xfrm>
                    <a:prstGeom prst="rect">
                      <a:avLst/>
                    </a:prstGeom>
                    <a:noFill/>
                    <a:ln>
                      <a:noFill/>
                    </a:ln>
                  </pic:spPr>
                </pic:pic>
              </a:graphicData>
            </a:graphic>
          </wp:inline>
        </w:drawing>
      </w:r>
      <w:r>
        <w:rPr>
          <w:noProof/>
        </w:rPr>
        <w:lastRenderedPageBreak/>
        <w:drawing>
          <wp:inline distT="0" distB="0" distL="0" distR="0" wp14:anchorId="7F162CDF" wp14:editId="39296809">
            <wp:extent cx="5943600" cy="3920490"/>
            <wp:effectExtent l="0" t="0" r="0" b="3810"/>
            <wp:docPr id="166479958" name="Picture 1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9958" name="Picture 11" descr="A graph with blue and orange do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20490"/>
                    </a:xfrm>
                    <a:prstGeom prst="rect">
                      <a:avLst/>
                    </a:prstGeom>
                    <a:noFill/>
                    <a:ln>
                      <a:noFill/>
                    </a:ln>
                  </pic:spPr>
                </pic:pic>
              </a:graphicData>
            </a:graphic>
          </wp:inline>
        </w:drawing>
      </w:r>
      <w:r>
        <w:rPr>
          <w:noProof/>
        </w:rPr>
        <w:drawing>
          <wp:inline distT="0" distB="0" distL="0" distR="0" wp14:anchorId="10C4699D" wp14:editId="3E896D0D">
            <wp:extent cx="5943600" cy="3291205"/>
            <wp:effectExtent l="0" t="0" r="0" b="4445"/>
            <wp:docPr id="33102067" name="Picture 10"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067" name="Picture 10" descr="A graph of a number of column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291205"/>
                    </a:xfrm>
                    <a:prstGeom prst="rect">
                      <a:avLst/>
                    </a:prstGeom>
                    <a:noFill/>
                    <a:ln>
                      <a:noFill/>
                    </a:ln>
                  </pic:spPr>
                </pic:pic>
              </a:graphicData>
            </a:graphic>
          </wp:inline>
        </w:drawing>
      </w:r>
    </w:p>
    <w:p w14:paraId="2670B346" w14:textId="77777777" w:rsidR="00BE154F" w:rsidRPr="00BE154F" w:rsidRDefault="00BE154F" w:rsidP="00BE154F">
      <w:pPr>
        <w:pStyle w:val="Heading3"/>
        <w:rPr>
          <w:lang w:val="en-IN"/>
        </w:rPr>
      </w:pPr>
      <w:r w:rsidRPr="00BE154F">
        <w:rPr>
          <w:lang w:val="en-IN"/>
        </w:rPr>
        <w:lastRenderedPageBreak/>
        <w:t>Outliers and robustness choices</w:t>
      </w:r>
    </w:p>
    <w:p w14:paraId="4C9A4D8F" w14:textId="77777777" w:rsidR="00BE154F" w:rsidRDefault="00BE154F" w:rsidP="00BE154F">
      <w:pPr>
        <w:spacing w:line="480" w:lineRule="auto"/>
        <w:rPr>
          <w:rFonts w:ascii="Times New Roman" w:hAnsi="Times New Roman" w:cs="Times New Roman"/>
          <w:sz w:val="24"/>
          <w:szCs w:val="24"/>
          <w:lang w:val="en-IN"/>
        </w:rPr>
      </w:pPr>
      <w:r w:rsidRPr="00BE154F">
        <w:rPr>
          <w:rFonts w:ascii="Times New Roman" w:hAnsi="Times New Roman" w:cs="Times New Roman"/>
          <w:sz w:val="24"/>
          <w:szCs w:val="24"/>
          <w:lang w:val="en-IN"/>
        </w:rPr>
        <w:t xml:space="preserve">EPS and Net Profit are </w:t>
      </w:r>
      <w:r w:rsidRPr="00BE154F">
        <w:rPr>
          <w:rFonts w:ascii="Times New Roman" w:hAnsi="Times New Roman" w:cs="Times New Roman"/>
          <w:b/>
          <w:bCs/>
          <w:sz w:val="24"/>
          <w:szCs w:val="24"/>
          <w:lang w:val="en-IN"/>
        </w:rPr>
        <w:t>heavy-tailed</w:t>
      </w:r>
      <w:r w:rsidRPr="00BE154F">
        <w:rPr>
          <w:rFonts w:ascii="Times New Roman" w:hAnsi="Times New Roman" w:cs="Times New Roman"/>
          <w:sz w:val="24"/>
          <w:szCs w:val="24"/>
          <w:lang w:val="en-IN"/>
        </w:rPr>
        <w:t xml:space="preserve">; OPM% is </w:t>
      </w:r>
      <w:r w:rsidRPr="00BE154F">
        <w:rPr>
          <w:rFonts w:ascii="Times New Roman" w:hAnsi="Times New Roman" w:cs="Times New Roman"/>
          <w:b/>
          <w:bCs/>
          <w:sz w:val="24"/>
          <w:szCs w:val="24"/>
          <w:lang w:val="en-IN"/>
        </w:rPr>
        <w:t>bounded</w:t>
      </w:r>
      <w:r w:rsidRPr="00BE154F">
        <w:rPr>
          <w:rFonts w:ascii="Times New Roman" w:hAnsi="Times New Roman" w:cs="Times New Roman"/>
          <w:sz w:val="24"/>
          <w:szCs w:val="24"/>
          <w:lang w:val="en-IN"/>
        </w:rPr>
        <w:t xml:space="preserve">; short-horizon returns have </w:t>
      </w:r>
      <w:r w:rsidRPr="00BE154F">
        <w:rPr>
          <w:rFonts w:ascii="Times New Roman" w:hAnsi="Times New Roman" w:cs="Times New Roman"/>
          <w:b/>
          <w:bCs/>
          <w:sz w:val="24"/>
          <w:szCs w:val="24"/>
          <w:lang w:val="en-IN"/>
        </w:rPr>
        <w:t>modest</w:t>
      </w:r>
      <w:r w:rsidRPr="00BE154F">
        <w:rPr>
          <w:rFonts w:ascii="Times New Roman" w:hAnsi="Times New Roman" w:cs="Times New Roman"/>
          <w:sz w:val="24"/>
          <w:szCs w:val="24"/>
          <w:lang w:val="en-IN"/>
        </w:rPr>
        <w:t xml:space="preserve"> tails. We </w:t>
      </w:r>
      <w:r w:rsidRPr="00BE154F">
        <w:rPr>
          <w:rFonts w:ascii="Times New Roman" w:hAnsi="Times New Roman" w:cs="Times New Roman"/>
          <w:b/>
          <w:bCs/>
          <w:sz w:val="24"/>
          <w:szCs w:val="24"/>
          <w:lang w:val="en-IN"/>
        </w:rPr>
        <w:t>retain</w:t>
      </w:r>
      <w:r w:rsidRPr="00BE154F">
        <w:rPr>
          <w:rFonts w:ascii="Times New Roman" w:hAnsi="Times New Roman" w:cs="Times New Roman"/>
          <w:sz w:val="24"/>
          <w:szCs w:val="24"/>
          <w:lang w:val="en-IN"/>
        </w:rPr>
        <w:t xml:space="preserve"> outliers to preserve economic realism and apply </w:t>
      </w:r>
      <w:r w:rsidRPr="00BE154F">
        <w:rPr>
          <w:rFonts w:ascii="Times New Roman" w:hAnsi="Times New Roman" w:cs="Times New Roman"/>
          <w:b/>
          <w:bCs/>
          <w:sz w:val="24"/>
          <w:szCs w:val="24"/>
          <w:lang w:val="en-IN"/>
        </w:rPr>
        <w:t>robust transforms</w:t>
      </w:r>
      <w:r w:rsidRPr="00BE154F">
        <w:rPr>
          <w:rFonts w:ascii="Times New Roman" w:hAnsi="Times New Roman" w:cs="Times New Roman"/>
          <w:sz w:val="24"/>
          <w:szCs w:val="24"/>
          <w:lang w:val="en-IN"/>
        </w:rPr>
        <w:t xml:space="preserve"> only where necessary for specific estimators: log1p for EPS/NP in linear models; optional </w:t>
      </w:r>
      <w:proofErr w:type="spellStart"/>
      <w:r w:rsidRPr="00BE154F">
        <w:rPr>
          <w:rFonts w:ascii="Times New Roman" w:hAnsi="Times New Roman" w:cs="Times New Roman"/>
          <w:b/>
          <w:bCs/>
          <w:sz w:val="24"/>
          <w:szCs w:val="24"/>
          <w:lang w:val="en-IN"/>
        </w:rPr>
        <w:t>winsorization</w:t>
      </w:r>
      <w:proofErr w:type="spellEnd"/>
      <w:r w:rsidRPr="00BE154F">
        <w:rPr>
          <w:rFonts w:ascii="Times New Roman" w:hAnsi="Times New Roman" w:cs="Times New Roman"/>
          <w:sz w:val="24"/>
          <w:szCs w:val="24"/>
          <w:lang w:val="en-IN"/>
        </w:rPr>
        <w:t xml:space="preserve"> at 1%/99% for EPS if coefficients are unstable. Tree ensembles are robust and can consume raw values.</w:t>
      </w:r>
    </w:p>
    <w:tbl>
      <w:tblPr>
        <w:tblW w:w="9467" w:type="dxa"/>
        <w:tblInd w:w="-5" w:type="dxa"/>
        <w:tblLook w:val="04A0" w:firstRow="1" w:lastRow="0" w:firstColumn="1" w:lastColumn="0" w:noHBand="0" w:noVBand="1"/>
      </w:tblPr>
      <w:tblGrid>
        <w:gridCol w:w="1696"/>
        <w:gridCol w:w="709"/>
        <w:gridCol w:w="831"/>
        <w:gridCol w:w="831"/>
        <w:gridCol w:w="774"/>
        <w:gridCol w:w="966"/>
        <w:gridCol w:w="1134"/>
        <w:gridCol w:w="1134"/>
        <w:gridCol w:w="1392"/>
      </w:tblGrid>
      <w:tr w:rsidR="00BE154F" w:rsidRPr="00BE154F" w14:paraId="2C01722B" w14:textId="77777777" w:rsidTr="00BE154F">
        <w:trPr>
          <w:trHeight w:val="300"/>
        </w:trPr>
        <w:tc>
          <w:tcPr>
            <w:tcW w:w="1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4C0AB5C"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Feature</w:t>
            </w:r>
          </w:p>
        </w:tc>
        <w:tc>
          <w:tcPr>
            <w:tcW w:w="709" w:type="dxa"/>
            <w:tcBorders>
              <w:top w:val="single" w:sz="4" w:space="0" w:color="auto"/>
              <w:left w:val="nil"/>
              <w:bottom w:val="single" w:sz="4" w:space="0" w:color="auto"/>
              <w:right w:val="single" w:sz="4" w:space="0" w:color="auto"/>
            </w:tcBorders>
            <w:shd w:val="clear" w:color="000000" w:fill="FFFF00"/>
            <w:noWrap/>
            <w:vAlign w:val="bottom"/>
            <w:hideMark/>
          </w:tcPr>
          <w:p w14:paraId="1E7AE93A"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N (non-null)</w:t>
            </w:r>
          </w:p>
        </w:tc>
        <w:tc>
          <w:tcPr>
            <w:tcW w:w="831" w:type="dxa"/>
            <w:tcBorders>
              <w:top w:val="single" w:sz="4" w:space="0" w:color="auto"/>
              <w:left w:val="nil"/>
              <w:bottom w:val="single" w:sz="4" w:space="0" w:color="auto"/>
              <w:right w:val="single" w:sz="4" w:space="0" w:color="auto"/>
            </w:tcBorders>
            <w:shd w:val="clear" w:color="000000" w:fill="FFFF00"/>
            <w:noWrap/>
            <w:vAlign w:val="bottom"/>
            <w:hideMark/>
          </w:tcPr>
          <w:p w14:paraId="6C5212D6"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Q1</w:t>
            </w:r>
          </w:p>
        </w:tc>
        <w:tc>
          <w:tcPr>
            <w:tcW w:w="831" w:type="dxa"/>
            <w:tcBorders>
              <w:top w:val="single" w:sz="4" w:space="0" w:color="auto"/>
              <w:left w:val="nil"/>
              <w:bottom w:val="single" w:sz="4" w:space="0" w:color="auto"/>
              <w:right w:val="single" w:sz="4" w:space="0" w:color="auto"/>
            </w:tcBorders>
            <w:shd w:val="clear" w:color="000000" w:fill="FFFF00"/>
            <w:noWrap/>
            <w:vAlign w:val="bottom"/>
            <w:hideMark/>
          </w:tcPr>
          <w:p w14:paraId="23A9817F"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Q3</w:t>
            </w:r>
          </w:p>
        </w:tc>
        <w:tc>
          <w:tcPr>
            <w:tcW w:w="774" w:type="dxa"/>
            <w:tcBorders>
              <w:top w:val="single" w:sz="4" w:space="0" w:color="auto"/>
              <w:left w:val="nil"/>
              <w:bottom w:val="single" w:sz="4" w:space="0" w:color="auto"/>
              <w:right w:val="single" w:sz="4" w:space="0" w:color="auto"/>
            </w:tcBorders>
            <w:shd w:val="clear" w:color="000000" w:fill="FFFF00"/>
            <w:noWrap/>
            <w:vAlign w:val="bottom"/>
            <w:hideMark/>
          </w:tcPr>
          <w:p w14:paraId="38D9B263"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IQR</w:t>
            </w:r>
          </w:p>
        </w:tc>
        <w:tc>
          <w:tcPr>
            <w:tcW w:w="966" w:type="dxa"/>
            <w:tcBorders>
              <w:top w:val="single" w:sz="4" w:space="0" w:color="auto"/>
              <w:left w:val="nil"/>
              <w:bottom w:val="single" w:sz="4" w:space="0" w:color="auto"/>
              <w:right w:val="single" w:sz="4" w:space="0" w:color="auto"/>
            </w:tcBorders>
            <w:shd w:val="clear" w:color="000000" w:fill="FFFF00"/>
            <w:noWrap/>
            <w:vAlign w:val="bottom"/>
            <w:hideMark/>
          </w:tcPr>
          <w:p w14:paraId="129D6439"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Lower Fence</w:t>
            </w:r>
          </w:p>
        </w:tc>
        <w:tc>
          <w:tcPr>
            <w:tcW w:w="1134" w:type="dxa"/>
            <w:tcBorders>
              <w:top w:val="single" w:sz="4" w:space="0" w:color="auto"/>
              <w:left w:val="nil"/>
              <w:bottom w:val="single" w:sz="4" w:space="0" w:color="auto"/>
              <w:right w:val="single" w:sz="4" w:space="0" w:color="auto"/>
            </w:tcBorders>
            <w:shd w:val="clear" w:color="000000" w:fill="FFFF00"/>
            <w:noWrap/>
            <w:vAlign w:val="bottom"/>
            <w:hideMark/>
          </w:tcPr>
          <w:p w14:paraId="3B1A9388"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Upper Fence</w:t>
            </w:r>
          </w:p>
        </w:tc>
        <w:tc>
          <w:tcPr>
            <w:tcW w:w="1134" w:type="dxa"/>
            <w:tcBorders>
              <w:top w:val="single" w:sz="4" w:space="0" w:color="auto"/>
              <w:left w:val="nil"/>
              <w:bottom w:val="single" w:sz="4" w:space="0" w:color="auto"/>
              <w:right w:val="single" w:sz="4" w:space="0" w:color="auto"/>
            </w:tcBorders>
            <w:shd w:val="clear" w:color="000000" w:fill="FFFF00"/>
            <w:noWrap/>
            <w:vAlign w:val="bottom"/>
            <w:hideMark/>
          </w:tcPr>
          <w:p w14:paraId="059AA46C"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Outliers (count)</w:t>
            </w:r>
          </w:p>
        </w:tc>
        <w:tc>
          <w:tcPr>
            <w:tcW w:w="1392" w:type="dxa"/>
            <w:tcBorders>
              <w:top w:val="single" w:sz="4" w:space="0" w:color="auto"/>
              <w:left w:val="nil"/>
              <w:bottom w:val="single" w:sz="4" w:space="0" w:color="auto"/>
              <w:right w:val="single" w:sz="4" w:space="0" w:color="auto"/>
            </w:tcBorders>
            <w:shd w:val="clear" w:color="000000" w:fill="FFFF00"/>
            <w:noWrap/>
            <w:vAlign w:val="bottom"/>
            <w:hideMark/>
          </w:tcPr>
          <w:p w14:paraId="18A278D0" w14:textId="77777777" w:rsidR="00BE154F" w:rsidRPr="00BE154F" w:rsidRDefault="00BE154F" w:rsidP="00BE154F">
            <w:pPr>
              <w:spacing w:line="240" w:lineRule="auto"/>
              <w:rPr>
                <w:rFonts w:ascii="Aptos Narrow" w:eastAsia="Times New Roman" w:hAnsi="Aptos Narrow" w:cs="Times New Roman"/>
                <w:b/>
                <w:bCs/>
                <w:color w:val="000000"/>
                <w:lang w:val="en-IN"/>
              </w:rPr>
            </w:pPr>
            <w:r w:rsidRPr="00BE154F">
              <w:rPr>
                <w:rFonts w:ascii="Aptos Narrow" w:eastAsia="Times New Roman" w:hAnsi="Aptos Narrow" w:cs="Times New Roman"/>
                <w:b/>
                <w:bCs/>
                <w:color w:val="000000"/>
                <w:lang w:val="en-IN"/>
              </w:rPr>
              <w:t>Outliers (%)</w:t>
            </w:r>
          </w:p>
        </w:tc>
      </w:tr>
      <w:tr w:rsidR="00BE154F" w:rsidRPr="00BE154F" w14:paraId="2839A291" w14:textId="77777777" w:rsidTr="00BE154F">
        <w:trPr>
          <w:trHeight w:val="300"/>
        </w:trPr>
        <w:tc>
          <w:tcPr>
            <w:tcW w:w="1696" w:type="dxa"/>
            <w:tcBorders>
              <w:top w:val="nil"/>
              <w:left w:val="single" w:sz="4" w:space="0" w:color="auto"/>
              <w:bottom w:val="single" w:sz="4" w:space="0" w:color="auto"/>
              <w:right w:val="single" w:sz="4" w:space="0" w:color="auto"/>
            </w:tcBorders>
            <w:noWrap/>
            <w:vAlign w:val="bottom"/>
            <w:hideMark/>
          </w:tcPr>
          <w:p w14:paraId="4E85B4B6" w14:textId="77777777" w:rsidR="00BE154F" w:rsidRPr="00BE154F" w:rsidRDefault="00BE154F" w:rsidP="00BE154F">
            <w:pPr>
              <w:spacing w:line="240" w:lineRule="auto"/>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Topline (Sales/Revenue)</w:t>
            </w:r>
          </w:p>
        </w:tc>
        <w:tc>
          <w:tcPr>
            <w:tcW w:w="709" w:type="dxa"/>
            <w:tcBorders>
              <w:top w:val="nil"/>
              <w:left w:val="nil"/>
              <w:bottom w:val="single" w:sz="4" w:space="0" w:color="auto"/>
              <w:right w:val="single" w:sz="4" w:space="0" w:color="auto"/>
            </w:tcBorders>
            <w:noWrap/>
            <w:vAlign w:val="bottom"/>
            <w:hideMark/>
          </w:tcPr>
          <w:p w14:paraId="7A7282D4"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585</w:t>
            </w:r>
          </w:p>
        </w:tc>
        <w:tc>
          <w:tcPr>
            <w:tcW w:w="831" w:type="dxa"/>
            <w:tcBorders>
              <w:top w:val="nil"/>
              <w:left w:val="nil"/>
              <w:bottom w:val="single" w:sz="4" w:space="0" w:color="auto"/>
              <w:right w:val="single" w:sz="4" w:space="0" w:color="auto"/>
            </w:tcBorders>
            <w:noWrap/>
            <w:vAlign w:val="bottom"/>
            <w:hideMark/>
          </w:tcPr>
          <w:p w14:paraId="1612019E"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3433</w:t>
            </w:r>
          </w:p>
        </w:tc>
        <w:tc>
          <w:tcPr>
            <w:tcW w:w="831" w:type="dxa"/>
            <w:tcBorders>
              <w:top w:val="nil"/>
              <w:left w:val="nil"/>
              <w:bottom w:val="single" w:sz="4" w:space="0" w:color="auto"/>
              <w:right w:val="single" w:sz="4" w:space="0" w:color="auto"/>
            </w:tcBorders>
            <w:noWrap/>
            <w:vAlign w:val="bottom"/>
            <w:hideMark/>
          </w:tcPr>
          <w:p w14:paraId="4BD4D4F4"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18790</w:t>
            </w:r>
          </w:p>
        </w:tc>
        <w:tc>
          <w:tcPr>
            <w:tcW w:w="774" w:type="dxa"/>
            <w:tcBorders>
              <w:top w:val="nil"/>
              <w:left w:val="nil"/>
              <w:bottom w:val="single" w:sz="4" w:space="0" w:color="auto"/>
              <w:right w:val="single" w:sz="4" w:space="0" w:color="auto"/>
            </w:tcBorders>
            <w:noWrap/>
            <w:vAlign w:val="bottom"/>
            <w:hideMark/>
          </w:tcPr>
          <w:p w14:paraId="3EFA6437"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15357</w:t>
            </w:r>
          </w:p>
        </w:tc>
        <w:tc>
          <w:tcPr>
            <w:tcW w:w="966" w:type="dxa"/>
            <w:tcBorders>
              <w:top w:val="nil"/>
              <w:left w:val="nil"/>
              <w:bottom w:val="single" w:sz="4" w:space="0" w:color="auto"/>
              <w:right w:val="single" w:sz="4" w:space="0" w:color="auto"/>
            </w:tcBorders>
            <w:noWrap/>
            <w:vAlign w:val="bottom"/>
            <w:hideMark/>
          </w:tcPr>
          <w:p w14:paraId="26E3681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-19602.5</w:t>
            </w:r>
          </w:p>
        </w:tc>
        <w:tc>
          <w:tcPr>
            <w:tcW w:w="1134" w:type="dxa"/>
            <w:tcBorders>
              <w:top w:val="nil"/>
              <w:left w:val="nil"/>
              <w:bottom w:val="single" w:sz="4" w:space="0" w:color="auto"/>
              <w:right w:val="single" w:sz="4" w:space="0" w:color="auto"/>
            </w:tcBorders>
            <w:noWrap/>
            <w:vAlign w:val="bottom"/>
            <w:hideMark/>
          </w:tcPr>
          <w:p w14:paraId="7D1C6F6C"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41825.5</w:t>
            </w:r>
          </w:p>
        </w:tc>
        <w:tc>
          <w:tcPr>
            <w:tcW w:w="1134" w:type="dxa"/>
            <w:tcBorders>
              <w:top w:val="nil"/>
              <w:left w:val="nil"/>
              <w:bottom w:val="single" w:sz="4" w:space="0" w:color="auto"/>
              <w:right w:val="single" w:sz="4" w:space="0" w:color="auto"/>
            </w:tcBorders>
            <w:noWrap/>
            <w:vAlign w:val="bottom"/>
            <w:hideMark/>
          </w:tcPr>
          <w:p w14:paraId="46EB9039"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59</w:t>
            </w:r>
          </w:p>
        </w:tc>
        <w:tc>
          <w:tcPr>
            <w:tcW w:w="1392" w:type="dxa"/>
            <w:tcBorders>
              <w:top w:val="nil"/>
              <w:left w:val="nil"/>
              <w:bottom w:val="single" w:sz="4" w:space="0" w:color="auto"/>
              <w:right w:val="single" w:sz="4" w:space="0" w:color="auto"/>
            </w:tcBorders>
            <w:noWrap/>
            <w:vAlign w:val="bottom"/>
            <w:hideMark/>
          </w:tcPr>
          <w:p w14:paraId="5608BCA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10.09</w:t>
            </w:r>
          </w:p>
        </w:tc>
      </w:tr>
      <w:tr w:rsidR="00BE154F" w:rsidRPr="00BE154F" w14:paraId="75F247BD" w14:textId="77777777" w:rsidTr="00BE154F">
        <w:trPr>
          <w:trHeight w:val="300"/>
        </w:trPr>
        <w:tc>
          <w:tcPr>
            <w:tcW w:w="1696" w:type="dxa"/>
            <w:tcBorders>
              <w:top w:val="nil"/>
              <w:left w:val="single" w:sz="4" w:space="0" w:color="auto"/>
              <w:bottom w:val="single" w:sz="4" w:space="0" w:color="auto"/>
              <w:right w:val="single" w:sz="4" w:space="0" w:color="auto"/>
            </w:tcBorders>
            <w:noWrap/>
            <w:vAlign w:val="bottom"/>
            <w:hideMark/>
          </w:tcPr>
          <w:p w14:paraId="461E56FD" w14:textId="77777777" w:rsidR="00BE154F" w:rsidRPr="00BE154F" w:rsidRDefault="00BE154F" w:rsidP="00BE154F">
            <w:pPr>
              <w:spacing w:line="240" w:lineRule="auto"/>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Net Profit</w:t>
            </w:r>
          </w:p>
        </w:tc>
        <w:tc>
          <w:tcPr>
            <w:tcW w:w="709" w:type="dxa"/>
            <w:tcBorders>
              <w:top w:val="nil"/>
              <w:left w:val="nil"/>
              <w:bottom w:val="single" w:sz="4" w:space="0" w:color="auto"/>
              <w:right w:val="single" w:sz="4" w:space="0" w:color="auto"/>
            </w:tcBorders>
            <w:noWrap/>
            <w:vAlign w:val="bottom"/>
            <w:hideMark/>
          </w:tcPr>
          <w:p w14:paraId="14FBF83C"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585</w:t>
            </w:r>
          </w:p>
        </w:tc>
        <w:tc>
          <w:tcPr>
            <w:tcW w:w="831" w:type="dxa"/>
            <w:tcBorders>
              <w:top w:val="nil"/>
              <w:left w:val="nil"/>
              <w:bottom w:val="single" w:sz="4" w:space="0" w:color="auto"/>
              <w:right w:val="single" w:sz="4" w:space="0" w:color="auto"/>
            </w:tcBorders>
            <w:noWrap/>
            <w:vAlign w:val="bottom"/>
            <w:hideMark/>
          </w:tcPr>
          <w:p w14:paraId="216EE4D9"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410</w:t>
            </w:r>
          </w:p>
        </w:tc>
        <w:tc>
          <w:tcPr>
            <w:tcW w:w="831" w:type="dxa"/>
            <w:tcBorders>
              <w:top w:val="nil"/>
              <w:left w:val="nil"/>
              <w:bottom w:val="single" w:sz="4" w:space="0" w:color="auto"/>
              <w:right w:val="single" w:sz="4" w:space="0" w:color="auto"/>
            </w:tcBorders>
            <w:noWrap/>
            <w:vAlign w:val="bottom"/>
            <w:hideMark/>
          </w:tcPr>
          <w:p w14:paraId="364E248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3336</w:t>
            </w:r>
          </w:p>
        </w:tc>
        <w:tc>
          <w:tcPr>
            <w:tcW w:w="774" w:type="dxa"/>
            <w:tcBorders>
              <w:top w:val="nil"/>
              <w:left w:val="nil"/>
              <w:bottom w:val="single" w:sz="4" w:space="0" w:color="auto"/>
              <w:right w:val="single" w:sz="4" w:space="0" w:color="auto"/>
            </w:tcBorders>
            <w:noWrap/>
            <w:vAlign w:val="bottom"/>
            <w:hideMark/>
          </w:tcPr>
          <w:p w14:paraId="6EDB7A99"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2926</w:t>
            </w:r>
          </w:p>
        </w:tc>
        <w:tc>
          <w:tcPr>
            <w:tcW w:w="966" w:type="dxa"/>
            <w:tcBorders>
              <w:top w:val="nil"/>
              <w:left w:val="nil"/>
              <w:bottom w:val="single" w:sz="4" w:space="0" w:color="auto"/>
              <w:right w:val="single" w:sz="4" w:space="0" w:color="auto"/>
            </w:tcBorders>
            <w:noWrap/>
            <w:vAlign w:val="bottom"/>
            <w:hideMark/>
          </w:tcPr>
          <w:p w14:paraId="74FB2495"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-3979</w:t>
            </w:r>
          </w:p>
        </w:tc>
        <w:tc>
          <w:tcPr>
            <w:tcW w:w="1134" w:type="dxa"/>
            <w:tcBorders>
              <w:top w:val="nil"/>
              <w:left w:val="nil"/>
              <w:bottom w:val="single" w:sz="4" w:space="0" w:color="auto"/>
              <w:right w:val="single" w:sz="4" w:space="0" w:color="auto"/>
            </w:tcBorders>
            <w:noWrap/>
            <w:vAlign w:val="bottom"/>
            <w:hideMark/>
          </w:tcPr>
          <w:p w14:paraId="61B762A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7725</w:t>
            </w:r>
          </w:p>
        </w:tc>
        <w:tc>
          <w:tcPr>
            <w:tcW w:w="1134" w:type="dxa"/>
            <w:tcBorders>
              <w:top w:val="nil"/>
              <w:left w:val="nil"/>
              <w:bottom w:val="single" w:sz="4" w:space="0" w:color="auto"/>
              <w:right w:val="single" w:sz="4" w:space="0" w:color="auto"/>
            </w:tcBorders>
            <w:noWrap/>
            <w:vAlign w:val="bottom"/>
            <w:hideMark/>
          </w:tcPr>
          <w:p w14:paraId="534FE074"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58</w:t>
            </w:r>
          </w:p>
        </w:tc>
        <w:tc>
          <w:tcPr>
            <w:tcW w:w="1392" w:type="dxa"/>
            <w:tcBorders>
              <w:top w:val="nil"/>
              <w:left w:val="nil"/>
              <w:bottom w:val="single" w:sz="4" w:space="0" w:color="auto"/>
              <w:right w:val="single" w:sz="4" w:space="0" w:color="auto"/>
            </w:tcBorders>
            <w:noWrap/>
            <w:vAlign w:val="bottom"/>
            <w:hideMark/>
          </w:tcPr>
          <w:p w14:paraId="3A62A8CB"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9.91</w:t>
            </w:r>
          </w:p>
        </w:tc>
      </w:tr>
      <w:tr w:rsidR="00BE154F" w:rsidRPr="00BE154F" w14:paraId="161560E2" w14:textId="77777777" w:rsidTr="00BE154F">
        <w:trPr>
          <w:trHeight w:val="300"/>
        </w:trPr>
        <w:tc>
          <w:tcPr>
            <w:tcW w:w="1696" w:type="dxa"/>
            <w:tcBorders>
              <w:top w:val="nil"/>
              <w:left w:val="single" w:sz="4" w:space="0" w:color="auto"/>
              <w:bottom w:val="single" w:sz="4" w:space="0" w:color="auto"/>
              <w:right w:val="single" w:sz="4" w:space="0" w:color="auto"/>
            </w:tcBorders>
            <w:noWrap/>
            <w:vAlign w:val="bottom"/>
            <w:hideMark/>
          </w:tcPr>
          <w:p w14:paraId="6AB70F40" w14:textId="77777777" w:rsidR="00BE154F" w:rsidRPr="00BE154F" w:rsidRDefault="00BE154F" w:rsidP="00BE154F">
            <w:pPr>
              <w:spacing w:line="240" w:lineRule="auto"/>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EPS in Rs</w:t>
            </w:r>
          </w:p>
        </w:tc>
        <w:tc>
          <w:tcPr>
            <w:tcW w:w="709" w:type="dxa"/>
            <w:tcBorders>
              <w:top w:val="nil"/>
              <w:left w:val="nil"/>
              <w:bottom w:val="single" w:sz="4" w:space="0" w:color="auto"/>
              <w:right w:val="single" w:sz="4" w:space="0" w:color="auto"/>
            </w:tcBorders>
            <w:noWrap/>
            <w:vAlign w:val="bottom"/>
            <w:hideMark/>
          </w:tcPr>
          <w:p w14:paraId="0BD0F22E"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585</w:t>
            </w:r>
          </w:p>
        </w:tc>
        <w:tc>
          <w:tcPr>
            <w:tcW w:w="831" w:type="dxa"/>
            <w:tcBorders>
              <w:top w:val="nil"/>
              <w:left w:val="nil"/>
              <w:bottom w:val="single" w:sz="4" w:space="0" w:color="auto"/>
              <w:right w:val="single" w:sz="4" w:space="0" w:color="auto"/>
            </w:tcBorders>
            <w:noWrap/>
            <w:vAlign w:val="bottom"/>
            <w:hideMark/>
          </w:tcPr>
          <w:p w14:paraId="69E77FB6"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5.22</w:t>
            </w:r>
          </w:p>
        </w:tc>
        <w:tc>
          <w:tcPr>
            <w:tcW w:w="831" w:type="dxa"/>
            <w:tcBorders>
              <w:top w:val="nil"/>
              <w:left w:val="nil"/>
              <w:bottom w:val="single" w:sz="4" w:space="0" w:color="auto"/>
              <w:right w:val="single" w:sz="4" w:space="0" w:color="auto"/>
            </w:tcBorders>
            <w:noWrap/>
            <w:vAlign w:val="bottom"/>
            <w:hideMark/>
          </w:tcPr>
          <w:p w14:paraId="711B6160"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21.96</w:t>
            </w:r>
          </w:p>
        </w:tc>
        <w:tc>
          <w:tcPr>
            <w:tcW w:w="774" w:type="dxa"/>
            <w:tcBorders>
              <w:top w:val="nil"/>
              <w:left w:val="nil"/>
              <w:bottom w:val="single" w:sz="4" w:space="0" w:color="auto"/>
              <w:right w:val="single" w:sz="4" w:space="0" w:color="auto"/>
            </w:tcBorders>
            <w:noWrap/>
            <w:vAlign w:val="bottom"/>
            <w:hideMark/>
          </w:tcPr>
          <w:p w14:paraId="42738E2B"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16.74</w:t>
            </w:r>
          </w:p>
        </w:tc>
        <w:tc>
          <w:tcPr>
            <w:tcW w:w="966" w:type="dxa"/>
            <w:tcBorders>
              <w:top w:val="nil"/>
              <w:left w:val="nil"/>
              <w:bottom w:val="single" w:sz="4" w:space="0" w:color="auto"/>
              <w:right w:val="single" w:sz="4" w:space="0" w:color="auto"/>
            </w:tcBorders>
            <w:noWrap/>
            <w:vAlign w:val="bottom"/>
            <w:hideMark/>
          </w:tcPr>
          <w:p w14:paraId="6621EFD8"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-19.89</w:t>
            </w:r>
          </w:p>
        </w:tc>
        <w:tc>
          <w:tcPr>
            <w:tcW w:w="1134" w:type="dxa"/>
            <w:tcBorders>
              <w:top w:val="nil"/>
              <w:left w:val="nil"/>
              <w:bottom w:val="single" w:sz="4" w:space="0" w:color="auto"/>
              <w:right w:val="single" w:sz="4" w:space="0" w:color="auto"/>
            </w:tcBorders>
            <w:noWrap/>
            <w:vAlign w:val="bottom"/>
            <w:hideMark/>
          </w:tcPr>
          <w:p w14:paraId="3EFB24B5"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47.07</w:t>
            </w:r>
          </w:p>
        </w:tc>
        <w:tc>
          <w:tcPr>
            <w:tcW w:w="1134" w:type="dxa"/>
            <w:tcBorders>
              <w:top w:val="nil"/>
              <w:left w:val="nil"/>
              <w:bottom w:val="single" w:sz="4" w:space="0" w:color="auto"/>
              <w:right w:val="single" w:sz="4" w:space="0" w:color="auto"/>
            </w:tcBorders>
            <w:noWrap/>
            <w:vAlign w:val="bottom"/>
            <w:hideMark/>
          </w:tcPr>
          <w:p w14:paraId="43BC1B88"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48</w:t>
            </w:r>
          </w:p>
        </w:tc>
        <w:tc>
          <w:tcPr>
            <w:tcW w:w="1392" w:type="dxa"/>
            <w:tcBorders>
              <w:top w:val="nil"/>
              <w:left w:val="nil"/>
              <w:bottom w:val="single" w:sz="4" w:space="0" w:color="auto"/>
              <w:right w:val="single" w:sz="4" w:space="0" w:color="auto"/>
            </w:tcBorders>
            <w:noWrap/>
            <w:vAlign w:val="bottom"/>
            <w:hideMark/>
          </w:tcPr>
          <w:p w14:paraId="2278F9D7"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8.21</w:t>
            </w:r>
          </w:p>
        </w:tc>
      </w:tr>
      <w:tr w:rsidR="00BE154F" w:rsidRPr="00BE154F" w14:paraId="2E5ABAFA" w14:textId="77777777" w:rsidTr="00BE154F">
        <w:trPr>
          <w:trHeight w:val="300"/>
        </w:trPr>
        <w:tc>
          <w:tcPr>
            <w:tcW w:w="1696" w:type="dxa"/>
            <w:tcBorders>
              <w:top w:val="nil"/>
              <w:left w:val="single" w:sz="4" w:space="0" w:color="auto"/>
              <w:bottom w:val="single" w:sz="4" w:space="0" w:color="auto"/>
              <w:right w:val="single" w:sz="4" w:space="0" w:color="auto"/>
            </w:tcBorders>
            <w:noWrap/>
            <w:vAlign w:val="bottom"/>
            <w:hideMark/>
          </w:tcPr>
          <w:p w14:paraId="4D328548" w14:textId="77777777" w:rsidR="00BE154F" w:rsidRPr="00BE154F" w:rsidRDefault="00BE154F" w:rsidP="00BE154F">
            <w:pPr>
              <w:spacing w:line="240" w:lineRule="auto"/>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3-Day Return (%)</w:t>
            </w:r>
          </w:p>
        </w:tc>
        <w:tc>
          <w:tcPr>
            <w:tcW w:w="709" w:type="dxa"/>
            <w:tcBorders>
              <w:top w:val="nil"/>
              <w:left w:val="nil"/>
              <w:bottom w:val="single" w:sz="4" w:space="0" w:color="auto"/>
              <w:right w:val="single" w:sz="4" w:space="0" w:color="auto"/>
            </w:tcBorders>
            <w:noWrap/>
            <w:vAlign w:val="bottom"/>
            <w:hideMark/>
          </w:tcPr>
          <w:p w14:paraId="26300A6D"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584</w:t>
            </w:r>
          </w:p>
        </w:tc>
        <w:tc>
          <w:tcPr>
            <w:tcW w:w="831" w:type="dxa"/>
            <w:tcBorders>
              <w:top w:val="nil"/>
              <w:left w:val="nil"/>
              <w:bottom w:val="single" w:sz="4" w:space="0" w:color="auto"/>
              <w:right w:val="single" w:sz="4" w:space="0" w:color="auto"/>
            </w:tcBorders>
            <w:noWrap/>
            <w:vAlign w:val="bottom"/>
            <w:hideMark/>
          </w:tcPr>
          <w:p w14:paraId="1C0CC75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-2.2325</w:t>
            </w:r>
          </w:p>
        </w:tc>
        <w:tc>
          <w:tcPr>
            <w:tcW w:w="831" w:type="dxa"/>
            <w:tcBorders>
              <w:top w:val="nil"/>
              <w:left w:val="nil"/>
              <w:bottom w:val="single" w:sz="4" w:space="0" w:color="auto"/>
              <w:right w:val="single" w:sz="4" w:space="0" w:color="auto"/>
            </w:tcBorders>
            <w:noWrap/>
            <w:vAlign w:val="bottom"/>
            <w:hideMark/>
          </w:tcPr>
          <w:p w14:paraId="314778D2"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2.8075</w:t>
            </w:r>
          </w:p>
        </w:tc>
        <w:tc>
          <w:tcPr>
            <w:tcW w:w="774" w:type="dxa"/>
            <w:tcBorders>
              <w:top w:val="nil"/>
              <w:left w:val="nil"/>
              <w:bottom w:val="single" w:sz="4" w:space="0" w:color="auto"/>
              <w:right w:val="single" w:sz="4" w:space="0" w:color="auto"/>
            </w:tcBorders>
            <w:noWrap/>
            <w:vAlign w:val="bottom"/>
            <w:hideMark/>
          </w:tcPr>
          <w:p w14:paraId="1DF2D69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5.04</w:t>
            </w:r>
          </w:p>
        </w:tc>
        <w:tc>
          <w:tcPr>
            <w:tcW w:w="966" w:type="dxa"/>
            <w:tcBorders>
              <w:top w:val="nil"/>
              <w:left w:val="nil"/>
              <w:bottom w:val="single" w:sz="4" w:space="0" w:color="auto"/>
              <w:right w:val="single" w:sz="4" w:space="0" w:color="auto"/>
            </w:tcBorders>
            <w:noWrap/>
            <w:vAlign w:val="bottom"/>
            <w:hideMark/>
          </w:tcPr>
          <w:p w14:paraId="081E876B"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-9.7925</w:t>
            </w:r>
          </w:p>
        </w:tc>
        <w:tc>
          <w:tcPr>
            <w:tcW w:w="1134" w:type="dxa"/>
            <w:tcBorders>
              <w:top w:val="nil"/>
              <w:left w:val="nil"/>
              <w:bottom w:val="single" w:sz="4" w:space="0" w:color="auto"/>
              <w:right w:val="single" w:sz="4" w:space="0" w:color="auto"/>
            </w:tcBorders>
            <w:noWrap/>
            <w:vAlign w:val="bottom"/>
            <w:hideMark/>
          </w:tcPr>
          <w:p w14:paraId="163DC85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10.3675</w:t>
            </w:r>
          </w:p>
        </w:tc>
        <w:tc>
          <w:tcPr>
            <w:tcW w:w="1134" w:type="dxa"/>
            <w:tcBorders>
              <w:top w:val="nil"/>
              <w:left w:val="nil"/>
              <w:bottom w:val="single" w:sz="4" w:space="0" w:color="auto"/>
              <w:right w:val="single" w:sz="4" w:space="0" w:color="auto"/>
            </w:tcBorders>
            <w:noWrap/>
            <w:vAlign w:val="bottom"/>
            <w:hideMark/>
          </w:tcPr>
          <w:p w14:paraId="5B3AD152"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20</w:t>
            </w:r>
          </w:p>
        </w:tc>
        <w:tc>
          <w:tcPr>
            <w:tcW w:w="1392" w:type="dxa"/>
            <w:tcBorders>
              <w:top w:val="nil"/>
              <w:left w:val="nil"/>
              <w:bottom w:val="single" w:sz="4" w:space="0" w:color="auto"/>
              <w:right w:val="single" w:sz="4" w:space="0" w:color="auto"/>
            </w:tcBorders>
            <w:noWrap/>
            <w:vAlign w:val="bottom"/>
            <w:hideMark/>
          </w:tcPr>
          <w:p w14:paraId="7A7D2754"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3.42</w:t>
            </w:r>
          </w:p>
        </w:tc>
      </w:tr>
      <w:tr w:rsidR="00BE154F" w:rsidRPr="00BE154F" w14:paraId="756DC0BE" w14:textId="77777777" w:rsidTr="00BE154F">
        <w:trPr>
          <w:trHeight w:val="300"/>
        </w:trPr>
        <w:tc>
          <w:tcPr>
            <w:tcW w:w="1696" w:type="dxa"/>
            <w:tcBorders>
              <w:top w:val="nil"/>
              <w:left w:val="single" w:sz="4" w:space="0" w:color="auto"/>
              <w:bottom w:val="single" w:sz="4" w:space="0" w:color="auto"/>
              <w:right w:val="single" w:sz="4" w:space="0" w:color="auto"/>
            </w:tcBorders>
            <w:noWrap/>
            <w:vAlign w:val="bottom"/>
            <w:hideMark/>
          </w:tcPr>
          <w:p w14:paraId="69C3CD3A" w14:textId="77777777" w:rsidR="00BE154F" w:rsidRPr="00BE154F" w:rsidRDefault="00BE154F" w:rsidP="00BE154F">
            <w:pPr>
              <w:spacing w:line="240" w:lineRule="auto"/>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OPM %</w:t>
            </w:r>
          </w:p>
        </w:tc>
        <w:tc>
          <w:tcPr>
            <w:tcW w:w="709" w:type="dxa"/>
            <w:tcBorders>
              <w:top w:val="nil"/>
              <w:left w:val="nil"/>
              <w:bottom w:val="single" w:sz="4" w:space="0" w:color="auto"/>
              <w:right w:val="single" w:sz="4" w:space="0" w:color="auto"/>
            </w:tcBorders>
            <w:noWrap/>
            <w:vAlign w:val="bottom"/>
            <w:hideMark/>
          </w:tcPr>
          <w:p w14:paraId="17A5240E"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468</w:t>
            </w:r>
          </w:p>
        </w:tc>
        <w:tc>
          <w:tcPr>
            <w:tcW w:w="831" w:type="dxa"/>
            <w:tcBorders>
              <w:top w:val="nil"/>
              <w:left w:val="nil"/>
              <w:bottom w:val="single" w:sz="4" w:space="0" w:color="auto"/>
              <w:right w:val="single" w:sz="4" w:space="0" w:color="auto"/>
            </w:tcBorders>
            <w:noWrap/>
            <w:vAlign w:val="bottom"/>
            <w:hideMark/>
          </w:tcPr>
          <w:p w14:paraId="3564FBD6"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16</w:t>
            </w:r>
          </w:p>
        </w:tc>
        <w:tc>
          <w:tcPr>
            <w:tcW w:w="831" w:type="dxa"/>
            <w:tcBorders>
              <w:top w:val="nil"/>
              <w:left w:val="nil"/>
              <w:bottom w:val="single" w:sz="4" w:space="0" w:color="auto"/>
              <w:right w:val="single" w:sz="4" w:space="0" w:color="auto"/>
            </w:tcBorders>
            <w:noWrap/>
            <w:vAlign w:val="bottom"/>
            <w:hideMark/>
          </w:tcPr>
          <w:p w14:paraId="7E1E16E8"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24</w:t>
            </w:r>
          </w:p>
        </w:tc>
        <w:tc>
          <w:tcPr>
            <w:tcW w:w="774" w:type="dxa"/>
            <w:tcBorders>
              <w:top w:val="nil"/>
              <w:left w:val="nil"/>
              <w:bottom w:val="single" w:sz="4" w:space="0" w:color="auto"/>
              <w:right w:val="single" w:sz="4" w:space="0" w:color="auto"/>
            </w:tcBorders>
            <w:noWrap/>
            <w:vAlign w:val="bottom"/>
            <w:hideMark/>
          </w:tcPr>
          <w:p w14:paraId="6361BE2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8</w:t>
            </w:r>
          </w:p>
        </w:tc>
        <w:tc>
          <w:tcPr>
            <w:tcW w:w="966" w:type="dxa"/>
            <w:tcBorders>
              <w:top w:val="nil"/>
              <w:left w:val="nil"/>
              <w:bottom w:val="single" w:sz="4" w:space="0" w:color="auto"/>
              <w:right w:val="single" w:sz="4" w:space="0" w:color="auto"/>
            </w:tcBorders>
            <w:noWrap/>
            <w:vAlign w:val="bottom"/>
            <w:hideMark/>
          </w:tcPr>
          <w:p w14:paraId="37C8284C"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4</w:t>
            </w:r>
          </w:p>
        </w:tc>
        <w:tc>
          <w:tcPr>
            <w:tcW w:w="1134" w:type="dxa"/>
            <w:tcBorders>
              <w:top w:val="nil"/>
              <w:left w:val="nil"/>
              <w:bottom w:val="single" w:sz="4" w:space="0" w:color="auto"/>
              <w:right w:val="single" w:sz="4" w:space="0" w:color="auto"/>
            </w:tcBorders>
            <w:noWrap/>
            <w:vAlign w:val="bottom"/>
            <w:hideMark/>
          </w:tcPr>
          <w:p w14:paraId="14BEAE73"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36</w:t>
            </w:r>
          </w:p>
        </w:tc>
        <w:tc>
          <w:tcPr>
            <w:tcW w:w="1134" w:type="dxa"/>
            <w:tcBorders>
              <w:top w:val="nil"/>
              <w:left w:val="nil"/>
              <w:bottom w:val="single" w:sz="4" w:space="0" w:color="auto"/>
              <w:right w:val="single" w:sz="4" w:space="0" w:color="auto"/>
            </w:tcBorders>
            <w:noWrap/>
            <w:vAlign w:val="bottom"/>
            <w:hideMark/>
          </w:tcPr>
          <w:p w14:paraId="72372626"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9</w:t>
            </w:r>
          </w:p>
        </w:tc>
        <w:tc>
          <w:tcPr>
            <w:tcW w:w="1392" w:type="dxa"/>
            <w:tcBorders>
              <w:top w:val="nil"/>
              <w:left w:val="nil"/>
              <w:bottom w:val="single" w:sz="4" w:space="0" w:color="auto"/>
              <w:right w:val="single" w:sz="4" w:space="0" w:color="auto"/>
            </w:tcBorders>
            <w:noWrap/>
            <w:vAlign w:val="bottom"/>
            <w:hideMark/>
          </w:tcPr>
          <w:p w14:paraId="48BF7EBC" w14:textId="77777777" w:rsidR="00BE154F" w:rsidRPr="00BE154F" w:rsidRDefault="00BE154F" w:rsidP="00BE154F">
            <w:pPr>
              <w:spacing w:line="240" w:lineRule="auto"/>
              <w:jc w:val="right"/>
              <w:rPr>
                <w:rFonts w:ascii="Aptos Narrow" w:eastAsia="Times New Roman" w:hAnsi="Aptos Narrow" w:cs="Times New Roman"/>
                <w:color w:val="000000"/>
                <w:lang w:val="en-IN"/>
              </w:rPr>
            </w:pPr>
            <w:r w:rsidRPr="00BE154F">
              <w:rPr>
                <w:rFonts w:ascii="Aptos Narrow" w:eastAsia="Times New Roman" w:hAnsi="Aptos Narrow" w:cs="Times New Roman"/>
                <w:color w:val="000000"/>
                <w:lang w:val="en-IN"/>
              </w:rPr>
              <w:t>1.92</w:t>
            </w:r>
          </w:p>
        </w:tc>
      </w:tr>
    </w:tbl>
    <w:p w14:paraId="3727B7BC" w14:textId="77777777" w:rsidR="00BE154F" w:rsidRPr="00BE154F" w:rsidRDefault="00BE154F" w:rsidP="00BE154F">
      <w:pPr>
        <w:spacing w:line="480" w:lineRule="auto"/>
        <w:rPr>
          <w:rFonts w:ascii="Times New Roman" w:hAnsi="Times New Roman" w:cs="Times New Roman"/>
          <w:sz w:val="24"/>
          <w:szCs w:val="24"/>
          <w:lang w:val="en-IN"/>
        </w:rPr>
      </w:pPr>
    </w:p>
    <w:sectPr w:rsidR="00BE154F" w:rsidRPr="00BE154F" w:rsidSect="00376F3E">
      <w:headerReference w:type="default" r:id="rId24"/>
      <w:footerReference w:type="default" r:id="rId25"/>
      <w:headerReference w:type="first" r:id="rId26"/>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D10B9" w14:textId="77777777" w:rsidR="0097047A" w:rsidRDefault="0097047A">
      <w:pPr>
        <w:spacing w:line="240" w:lineRule="auto"/>
      </w:pPr>
      <w:r>
        <w:separator/>
      </w:r>
    </w:p>
  </w:endnote>
  <w:endnote w:type="continuationSeparator" w:id="0">
    <w:p w14:paraId="1EA0281E" w14:textId="77777777" w:rsidR="0097047A" w:rsidRDefault="00970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C" w14:textId="0DD28843" w:rsidR="008728C3" w:rsidRDefault="00000000">
    <w:r>
      <w:fldChar w:fldCharType="begin"/>
    </w:r>
    <w:r>
      <w:instrText>PAGE</w:instrText>
    </w:r>
    <w:r>
      <w:fldChar w:fldCharType="separate"/>
    </w:r>
    <w:r w:rsidR="00B004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ACD8" w14:textId="77777777" w:rsidR="0097047A" w:rsidRDefault="0097047A">
      <w:pPr>
        <w:spacing w:line="240" w:lineRule="auto"/>
      </w:pPr>
      <w:r>
        <w:separator/>
      </w:r>
    </w:p>
  </w:footnote>
  <w:footnote w:type="continuationSeparator" w:id="0">
    <w:p w14:paraId="2B57BEB8" w14:textId="77777777" w:rsidR="0097047A" w:rsidRDefault="009704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77777777" w:rsidR="008728C3" w:rsidRDefault="00000000">
    <w:pPr>
      <w:rPr>
        <w:color w:val="999999"/>
      </w:rPr>
    </w:pPr>
    <w:r>
      <w:rPr>
        <w:color w:val="999999"/>
      </w:rPr>
      <w:t>Interim Report</w:t>
    </w:r>
  </w:p>
  <w:p w14:paraId="0000004B" w14:textId="77777777" w:rsidR="008728C3" w:rsidRDefault="008728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8728C3" w:rsidRDefault="008728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FD2"/>
    <w:multiLevelType w:val="multilevel"/>
    <w:tmpl w:val="509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7349"/>
    <w:multiLevelType w:val="multilevel"/>
    <w:tmpl w:val="1B90C5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62654F7"/>
    <w:multiLevelType w:val="multilevel"/>
    <w:tmpl w:val="8D5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028A"/>
    <w:multiLevelType w:val="multilevel"/>
    <w:tmpl w:val="0A8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0D6C"/>
    <w:multiLevelType w:val="multilevel"/>
    <w:tmpl w:val="526A2FB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7094662"/>
    <w:multiLevelType w:val="multilevel"/>
    <w:tmpl w:val="BC4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359AF"/>
    <w:multiLevelType w:val="multilevel"/>
    <w:tmpl w:val="A54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F3A95"/>
    <w:multiLevelType w:val="multilevel"/>
    <w:tmpl w:val="363AC1CA"/>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7D8838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D5155BA"/>
    <w:multiLevelType w:val="multilevel"/>
    <w:tmpl w:val="A87C2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0534BE2"/>
    <w:multiLevelType w:val="multilevel"/>
    <w:tmpl w:val="A3F81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17E026C"/>
    <w:multiLevelType w:val="multilevel"/>
    <w:tmpl w:val="3D4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827A5"/>
    <w:multiLevelType w:val="multilevel"/>
    <w:tmpl w:val="F84624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F76CC"/>
    <w:multiLevelType w:val="multilevel"/>
    <w:tmpl w:val="675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D09D1"/>
    <w:multiLevelType w:val="multilevel"/>
    <w:tmpl w:val="A12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71842">
    <w:abstractNumId w:val="9"/>
  </w:num>
  <w:num w:numId="2" w16cid:durableId="90661644">
    <w:abstractNumId w:val="10"/>
  </w:num>
  <w:num w:numId="3" w16cid:durableId="234432965">
    <w:abstractNumId w:val="8"/>
  </w:num>
  <w:num w:numId="4" w16cid:durableId="1845510689">
    <w:abstractNumId w:val="1"/>
  </w:num>
  <w:num w:numId="5" w16cid:durableId="71204521">
    <w:abstractNumId w:val="5"/>
  </w:num>
  <w:num w:numId="6" w16cid:durableId="1178079279">
    <w:abstractNumId w:val="13"/>
  </w:num>
  <w:num w:numId="7" w16cid:durableId="646009520">
    <w:abstractNumId w:val="3"/>
  </w:num>
  <w:num w:numId="8" w16cid:durableId="1851405835">
    <w:abstractNumId w:val="14"/>
  </w:num>
  <w:num w:numId="9" w16cid:durableId="757093533">
    <w:abstractNumId w:val="0"/>
  </w:num>
  <w:num w:numId="10" w16cid:durableId="121660858">
    <w:abstractNumId w:val="7"/>
  </w:num>
  <w:num w:numId="11" w16cid:durableId="51512861">
    <w:abstractNumId w:val="12"/>
  </w:num>
  <w:num w:numId="12" w16cid:durableId="327025170">
    <w:abstractNumId w:val="4"/>
  </w:num>
  <w:num w:numId="13" w16cid:durableId="2039040799">
    <w:abstractNumId w:val="2"/>
  </w:num>
  <w:num w:numId="14" w16cid:durableId="1359505204">
    <w:abstractNumId w:val="6"/>
  </w:num>
  <w:num w:numId="15" w16cid:durableId="872227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C3"/>
    <w:rsid w:val="0000306E"/>
    <w:rsid w:val="000F186F"/>
    <w:rsid w:val="001278A5"/>
    <w:rsid w:val="00130512"/>
    <w:rsid w:val="001B0D69"/>
    <w:rsid w:val="001C4BB4"/>
    <w:rsid w:val="00376F3E"/>
    <w:rsid w:val="003E3077"/>
    <w:rsid w:val="004C7FEF"/>
    <w:rsid w:val="004F3920"/>
    <w:rsid w:val="00640335"/>
    <w:rsid w:val="00652359"/>
    <w:rsid w:val="0068518D"/>
    <w:rsid w:val="006908F7"/>
    <w:rsid w:val="007D697D"/>
    <w:rsid w:val="00855AF1"/>
    <w:rsid w:val="008728C3"/>
    <w:rsid w:val="0097047A"/>
    <w:rsid w:val="00A10BA8"/>
    <w:rsid w:val="00AF7FBF"/>
    <w:rsid w:val="00B00464"/>
    <w:rsid w:val="00B65E52"/>
    <w:rsid w:val="00B84E88"/>
    <w:rsid w:val="00BE154F"/>
    <w:rsid w:val="00BF0E66"/>
    <w:rsid w:val="00C803AB"/>
    <w:rsid w:val="00CB3CF0"/>
    <w:rsid w:val="00D86A6A"/>
    <w:rsid w:val="00E062F4"/>
    <w:rsid w:val="00E2496F"/>
    <w:rsid w:val="00EA0EF1"/>
    <w:rsid w:val="00EA4CB3"/>
    <w:rsid w:val="00ED2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71C2"/>
  <w15:docId w15:val="{A8228E9A-4407-4584-B804-351E3634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Default">
    <w:name w:val="Default"/>
    <w:rsid w:val="001B0D69"/>
    <w:pPr>
      <w:autoSpaceDE w:val="0"/>
      <w:autoSpaceDN w:val="0"/>
      <w:adjustRightInd w:val="0"/>
      <w:spacing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1B0D69"/>
    <w:pPr>
      <w:ind w:left="720"/>
      <w:contextualSpacing/>
    </w:pPr>
  </w:style>
  <w:style w:type="character" w:styleId="Hyperlink">
    <w:name w:val="Hyperlink"/>
    <w:basedOn w:val="DefaultParagraphFont"/>
    <w:uiPriority w:val="99"/>
    <w:unhideWhenUsed/>
    <w:rsid w:val="00CB3CF0"/>
    <w:rPr>
      <w:color w:val="0000FF" w:themeColor="hyperlink"/>
      <w:u w:val="single"/>
    </w:rPr>
  </w:style>
  <w:style w:type="character" w:styleId="UnresolvedMention">
    <w:name w:val="Unresolved Mention"/>
    <w:basedOn w:val="DefaultParagraphFont"/>
    <w:uiPriority w:val="99"/>
    <w:semiHidden/>
    <w:unhideWhenUsed/>
    <w:rsid w:val="00CB3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bhivedwa/Walsh-MS_Capstone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23</Pages>
  <Words>2540</Words>
  <Characters>14479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 Vedwa</cp:lastModifiedBy>
  <cp:revision>3</cp:revision>
  <dcterms:created xsi:type="dcterms:W3CDTF">2025-08-14T17:47:00Z</dcterms:created>
  <dcterms:modified xsi:type="dcterms:W3CDTF">2025-08-14T18:00:00Z</dcterms:modified>
</cp:coreProperties>
</file>