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28"/>
        <w:gridCol w:w="2097"/>
        <w:gridCol w:w="2097"/>
        <w:gridCol w:w="1996"/>
        <w:gridCol w:w="1080"/>
        <w:gridCol w:w="1080"/>
      </w:tblGrid>
      <w:tr>
        <w:trPr>
          <w:cantSplit/>
          <w:trHeight w:val="360" w:hRule="auto"/>
          <w:tblHeader/>
        </w:trPr>
        header 1
        <w:tc>
          <w:tcPr>
            <w:gridSpan w:val="6"/>
            <w:tcBorders>
              <w:bottom w:val="single" w:sz="2" w:space="0" w:color="000000"/>
              <w:top w:val="single" w:sz="24" w:space="0" w:color="FF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Table 1. Baseline characteristics By Cancer Status in the 2016, 18 NAMCS Study</w:t>
            </w:r>
          </w:p>
        </w:tc>
      </w:tr>
      <w:tr>
        <w:trPr>
          <w:cantSplit/>
          <w:trHeight w:val="360" w:hRule="auto"/>
          <w:tblHeader/>
        </w:trPr>
        header 2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Overall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test</w:t>
            </w:r>
          </w:p>
        </w:tc>
      </w:tr>
      <w:tr>
        <w:trPr>
          <w:cantSplit/>
          <w:trHeight w:val="541" w:hRule="auto"/>
        </w:trPr>
        body 1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No.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1744110764.3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1618816143.7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125294620.6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 2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724796622.1 (41.6)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670174918.2 (41.4)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54621704.0 (43.6)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0.348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41" w:hRule="auto"/>
        </w:trPr>
        body 3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RACERETH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 4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X...1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1210740753.7 (69.4)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1108924626.2 (68.5)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101816127.5 (81.3)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 5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X...2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150457289.4 (8.6)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143908722.5 (8.9)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6548567.0 (5.2)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 6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X...3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274675311.3 (15.7)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263891839.2 (16.3)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10783472.1 (8.6)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 7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X...4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108237409.9 (6.2)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102090955.8 (6.3)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6146454.1 (4.9)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41" w:hRule="auto"/>
        </w:trPr>
        body 8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SPECCAT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 9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X...1.1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922117770.4 (52.9)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887480657.8 (54.8)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34637112.5 (27.6)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body10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X...2.1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371209895.4 (21.3)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336601057.6 (20.8)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34608837.8 (27.6)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body11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X...3.1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450783098.5 (25.8)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394734428.2 (24.4)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56048670.3 (44.7)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41" w:hRule="auto"/>
        </w:trPr>
        body12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PAYTYPER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body13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X...1.2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855657534.6 (52.1)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813340729.3 (53.3)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42316805.3 (36.3)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body14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X...2.2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456013468.5 (27.7)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390633410.6 (25.6)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65380057.9 (56.1)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body15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X...3.2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223151377.7 (13.6)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216600237.7 (14.2)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6551140.0 (5.6)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body16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X...4.1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7975149.1 (0.5)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7940274.9 (0.5)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34874.3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body17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X...5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77834610.3 (4.7)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76775032.5 (5.0)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1059577.8 (0.9)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body18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X...6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4906329.5 (0.3)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4906329.5 (0.3)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body19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X...7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18200668.2 (1.1)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16997102.3 (1.1)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1203565.9 (1.0)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41" w:hRule="auto"/>
        </w:trPr>
        body20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USETOBAC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body21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X....9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58499284.2 (3.4)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54010419.4 (3.3)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4488864.9 (3.6)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body22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X....8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252729249.1 (14.5)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239846601.9 (14.8)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12882647.2 (10.3)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body23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X...1.3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1263838739.5 (72.5)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1164979147.6 (72.0)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98859591.9 (78.9)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body24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X...2.3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169043491.5 (9.7)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159979974.8 (9.9)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9063516.7 (7.2)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body25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TOTCHRON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 (1.6)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 (1.6)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2.7 (1.7)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body26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PASTVIS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4.6 (5.9)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4.6 (5.9)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4.8 (5.7)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0.713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2" w:hRule="auto"/>
        </w:trPr>
        body27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MAJOR_recoded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body28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X...Chronic.Problem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676875270.6 (38.8)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613463080.3 (37.9)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63412190.3 (50.6)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body29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X...Other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624881596.9 (35.8)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581160458.6 (35.9)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43721138.4 (34.9)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body30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X...Preventive.Care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400372500.2 (23.0)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384515335.9 (23.8)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15857164.3 (12.7)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body31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X...Left.Blank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41981396.6 (2.4)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39677268.9 (2.5)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2304127.7 (1.8)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body32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AGEgt65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491630531.4 (28.2)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418576040.0 (25.9)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73054491.4 (58.3)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footer 1
        <w:tc>
          <w:tcPr>
            <w:gridSpan w:val="6"/>
            <w:tcBorders>
              <w:bottom w:val="single" w:sz="2" w:space="0" w:color="000000"/>
              <w:top w:val="single" w:sz="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Numbers are No. (%) unless otherwise noted.SD = standard deviation, IQR = interquartile range</w:t>
            </w:r>
          </w:p>
        </w:tc>
      </w:tr>
    </w:tbl>
    <w:sectPr>
      <w:pgSz w:h="16838" w:w="11906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2023-01-23T10:16:11Z</dcterms:modified>
  <cp:category/>
</cp:coreProperties>
</file>