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9"/>
        <w:gridCol w:w="2300"/>
        <w:gridCol w:w="2300"/>
        <w:gridCol w:w="2199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1. Baseline characteristics Diabetes Patients in the NAMCS Study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cantSplit/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883725125.7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818964858.9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64760266.7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HTN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240216415.7 (27.2)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193773769.2 (23.7)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46442646.5 (71.7)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CKD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22141248.9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15612454.3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6528794.6 (10.1)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COPD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31481694.7 (3.6)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26519064.8 (3.2)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4962629.9 (7.7)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CHF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15169402.2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11673607.8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3495794.4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59460191.2 (6.7)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45465709.0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13994482.2 (21.6)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ESRD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1594357.6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1182760.0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411597.7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HYPLIPID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151541862.5 (17.1)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115815027.9 (14.1)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35726834.6 (55.2)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66519988.7 (7.5)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54657088.9 (6.7)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11862899.8 (18.3)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OSA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30615807.0 (3.5)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24548406.0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6067401.0 (9.4)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HPE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CEBVD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TOTCHRON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CSTRATM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10275742.6 (104552.0)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10275941.7 (105156.8)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10273224.2 (96595.5)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CPSUM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100352.1 (194.3)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100351.1 (194.2)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100364.6 (195.9)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body16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PATWT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113790.6 (73697.3)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113410.1 (73783.2)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118603.4 (72469.8)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0.658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2022-07-17T10:08:36Z</dcterms:modified>
  <cp:category/>
</cp:coreProperties>
</file>