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1996"/>
        <w:gridCol w:w="1996"/>
        <w:gridCol w:w="1895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2. Service provided By Cancer Status in the 2016-2018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30813184.8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27365932.2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22776808.5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21115403.2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29007475.1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28647258.6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36999632.0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35449392.9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27233950.1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26548693.9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38628828.4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36814931.3 (2.3)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75227618.3 (4.3)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68481463.8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335206570.0 (19.2)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298738617.5 (18.5)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36467952.5 (29.1)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216890076.6 (12.4)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206683059.2 (12.8)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141100033.2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133247031.3 (8.2)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17603370.1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16577517.2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51581723.6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48499123.2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817986.8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817986.8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1659054.1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1530125.7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1112895.7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652108.1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17835579.4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17286279.3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7903741.7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7451179.5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1082350.0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35420.3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9185182.9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8358653.8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1373350.1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1344268.1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491023901.4 (28.2)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464057554.9 (28.7)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26966346.6 (21.5)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15632650.4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15171073.1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22950527.4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20662088.7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8991905.6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8704616.5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287289.1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3262653.8 (0.2)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3095472.9 (0.2)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167180.9 (0.1)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2023-03-01T14:35:32Z</dcterms:modified>
  <cp:category/>
</cp:coreProperties>
</file>