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FA42E" w14:textId="236F2B6D" w:rsidR="00AF3990" w:rsidRPr="00252915" w:rsidRDefault="00D8736B" w:rsidP="00FA150A">
      <w:pPr>
        <w:jc w:val="both"/>
      </w:pPr>
      <w:r w:rsidRPr="00252915">
        <w:rPr>
          <w:noProof/>
        </w:rPr>
        <w:drawing>
          <wp:inline distT="0" distB="0" distL="0" distR="0" wp14:anchorId="3AB0D370" wp14:editId="4A1BB157">
            <wp:extent cx="5972810" cy="4019550"/>
            <wp:effectExtent l="0" t="0" r="8890" b="0"/>
            <wp:docPr id="3" name="Picture 3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line char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BFBF" w14:textId="42D565BB" w:rsidR="00D8736B" w:rsidRPr="00252915" w:rsidRDefault="00D8736B" w:rsidP="00FA150A">
      <w:pPr>
        <w:jc w:val="both"/>
      </w:pPr>
      <w:r w:rsidRPr="00252915">
        <w:rPr>
          <w:b/>
          <w:bCs/>
        </w:rPr>
        <w:t>Figure 2</w:t>
      </w:r>
      <w:r w:rsidRPr="00252915">
        <w:t xml:space="preserve"> Ammonia cost of production (model) vs. </w:t>
      </w:r>
      <w:r w:rsidR="008A3D9D" w:rsidRPr="00252915">
        <w:t>production cost</w:t>
      </w:r>
      <w:r w:rsidRPr="00252915">
        <w:t xml:space="preserve"> (literature)</w:t>
      </w:r>
    </w:p>
    <w:p w14:paraId="3F00DF67" w14:textId="0CB01550" w:rsidR="00D8736B" w:rsidRPr="00252915" w:rsidRDefault="006209ED" w:rsidP="00FA150A">
      <w:pPr>
        <w:jc w:val="both"/>
      </w:pPr>
      <w:r w:rsidRPr="00252915">
        <w:t xml:space="preserve">The production cost of ammonia was calculated using our model and </w:t>
      </w:r>
      <w:r w:rsidR="00DF7496" w:rsidRPr="00252915">
        <w:t>compared</w:t>
      </w:r>
      <w:r w:rsidRPr="00252915">
        <w:t xml:space="preserve"> with the data extracted from </w:t>
      </w:r>
      <w:hyperlink r:id="rId5" w:history="1">
        <w:r w:rsidRPr="00252915">
          <w:rPr>
            <w:rStyle w:val="Hyperlink"/>
            <w:u w:val="none"/>
          </w:rPr>
          <w:t>ICIS</w:t>
        </w:r>
      </w:hyperlink>
      <w:r w:rsidRPr="00252915">
        <w:t xml:space="preserve">. ICIS has published the production cost of ammonia for certain dates </w:t>
      </w:r>
      <w:r w:rsidR="00DF7496" w:rsidRPr="00252915">
        <w:t xml:space="preserve">from October 2021 to October 2022 </w:t>
      </w:r>
      <w:r w:rsidRPr="00252915">
        <w:t xml:space="preserve">using the natural gas TTF spot prices. As shown in Figure 2, </w:t>
      </w:r>
      <w:r w:rsidR="00DF7496" w:rsidRPr="00252915">
        <w:t xml:space="preserve">our model is in good agreement with the values from ICIS except at the peak. This </w:t>
      </w:r>
      <w:r w:rsidR="00FA150A" w:rsidRPr="00252915">
        <w:t>divergence can be explained by understanding the prices used by ICIS. ICIS calculates the peak on 26</w:t>
      </w:r>
      <w:r w:rsidR="00FA150A" w:rsidRPr="00252915">
        <w:rPr>
          <w:vertAlign w:val="superscript"/>
        </w:rPr>
        <w:t>th</w:t>
      </w:r>
      <w:r w:rsidR="00FA150A" w:rsidRPr="00252915">
        <w:t xml:space="preserve"> August 2022, where the natural gas prices were around 339</w:t>
      </w:r>
      <w:r w:rsidR="00345B96" w:rsidRPr="00252915">
        <w:t> </w:t>
      </w:r>
      <w:r w:rsidR="00FA150A" w:rsidRPr="00252915">
        <w:t>EUR MWh</w:t>
      </w:r>
      <w:r w:rsidR="00FA150A" w:rsidRPr="00252915">
        <w:rPr>
          <w:vertAlign w:val="superscript"/>
        </w:rPr>
        <w:t>-1</w:t>
      </w:r>
      <w:r w:rsidR="00FA150A" w:rsidRPr="00252915">
        <w:t>, however we use monthly average prices in our analysis and for that reason the natural gas price we use at the peak</w:t>
      </w:r>
      <w:r w:rsidR="00DA0206">
        <w:t xml:space="preserve"> (August 2022)</w:t>
      </w:r>
      <w:r w:rsidR="00FA150A" w:rsidRPr="00252915">
        <w:t xml:space="preserve"> is around 240 EUR MWh</w:t>
      </w:r>
      <w:r w:rsidR="00FA150A" w:rsidRPr="00252915">
        <w:rPr>
          <w:vertAlign w:val="superscript"/>
        </w:rPr>
        <w:t>-1</w:t>
      </w:r>
      <w:r w:rsidR="00FA150A" w:rsidRPr="00252915">
        <w:t>.</w:t>
      </w:r>
    </w:p>
    <w:sectPr w:rsidR="00D8736B" w:rsidRPr="00252915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36B"/>
    <w:rsid w:val="00252915"/>
    <w:rsid w:val="00345B96"/>
    <w:rsid w:val="006209ED"/>
    <w:rsid w:val="00681CE1"/>
    <w:rsid w:val="008A3D9D"/>
    <w:rsid w:val="00AF3990"/>
    <w:rsid w:val="00D8736B"/>
    <w:rsid w:val="00DA0206"/>
    <w:rsid w:val="00DF7496"/>
    <w:rsid w:val="00FA1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85880"/>
  <w15:chartTrackingRefBased/>
  <w15:docId w15:val="{DA67980C-6131-4D10-96E3-8B633A606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29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9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cis.com/explore/resources/news/2022/10/31/10820515/insight-crashing-gas-spurs-fertilizer-ramp-up-petchems-still-shuttered/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7</cp:revision>
  <dcterms:created xsi:type="dcterms:W3CDTF">2022-12-15T15:50:00Z</dcterms:created>
  <dcterms:modified xsi:type="dcterms:W3CDTF">2022-12-16T11:37:00Z</dcterms:modified>
</cp:coreProperties>
</file>