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9530A" w14:textId="136D762A" w:rsidR="003E51E5" w:rsidRPr="00C65C7B" w:rsidRDefault="003E51E5" w:rsidP="000D1264">
      <w:pPr>
        <w:jc w:val="both"/>
        <w:rPr>
          <w:rFonts w:cstheme="minorHAnsi"/>
          <w:b/>
          <w:bCs/>
        </w:rPr>
      </w:pPr>
      <w:bookmarkStart w:id="0" w:name="_Hlk121150887"/>
      <w:r w:rsidRPr="00C65C7B">
        <w:rPr>
          <w:rFonts w:cstheme="minorHAnsi"/>
          <w:b/>
          <w:bCs/>
        </w:rPr>
        <w:t>RESULTS</w:t>
      </w:r>
    </w:p>
    <w:p w14:paraId="695AF169" w14:textId="7C81AA95" w:rsidR="003E51E5" w:rsidRPr="00C65C7B" w:rsidRDefault="003E51E5" w:rsidP="000D1264">
      <w:pPr>
        <w:jc w:val="both"/>
        <w:rPr>
          <w:rFonts w:cstheme="minorHAnsi"/>
        </w:rPr>
      </w:pPr>
      <w:r w:rsidRPr="00C65C7B">
        <w:rPr>
          <w:rFonts w:cstheme="minorHAnsi"/>
          <w:noProof/>
        </w:rPr>
        <w:drawing>
          <wp:inline distT="0" distB="0" distL="0" distR="0" wp14:anchorId="2EA0E33D" wp14:editId="61EC4FEA">
            <wp:extent cx="5939183" cy="5404485"/>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39183" cy="5404485"/>
                    </a:xfrm>
                    <a:prstGeom prst="rect">
                      <a:avLst/>
                    </a:prstGeom>
                  </pic:spPr>
                </pic:pic>
              </a:graphicData>
            </a:graphic>
          </wp:inline>
        </w:drawing>
      </w:r>
    </w:p>
    <w:p w14:paraId="7B62DC76" w14:textId="1B06D145" w:rsidR="003E51E5" w:rsidRDefault="003E51E5" w:rsidP="000D1264">
      <w:pPr>
        <w:jc w:val="both"/>
        <w:rPr>
          <w:rFonts w:cstheme="minorHAnsi"/>
        </w:rPr>
      </w:pPr>
      <w:r w:rsidRPr="00C65C7B">
        <w:rPr>
          <w:rFonts w:cstheme="minorHAnsi"/>
          <w:b/>
          <w:bCs/>
        </w:rPr>
        <w:t>Fig</w:t>
      </w:r>
      <w:r w:rsidR="00C77BB2" w:rsidRPr="00C65C7B">
        <w:rPr>
          <w:rFonts w:cstheme="minorHAnsi"/>
          <w:b/>
          <w:bCs/>
        </w:rPr>
        <w:t>ure</w:t>
      </w:r>
      <w:r w:rsidRPr="00C65C7B">
        <w:rPr>
          <w:rFonts w:cstheme="minorHAnsi"/>
          <w:b/>
          <w:bCs/>
        </w:rPr>
        <w:t xml:space="preserve"> 1</w:t>
      </w:r>
      <w:r w:rsidR="00C77BB2" w:rsidRPr="00C65C7B">
        <w:rPr>
          <w:rFonts w:cstheme="minorHAnsi"/>
          <w:b/>
          <w:bCs/>
        </w:rPr>
        <w:t>.</w:t>
      </w:r>
      <w:r w:rsidRPr="00C65C7B">
        <w:rPr>
          <w:rFonts w:cstheme="minorHAnsi"/>
          <w:b/>
          <w:bCs/>
        </w:rPr>
        <w:t xml:space="preserve"> </w:t>
      </w:r>
      <w:r w:rsidRPr="00C65C7B">
        <w:rPr>
          <w:rFonts w:cstheme="minorHAnsi"/>
        </w:rPr>
        <w:t>(a) – (c) shows the production cost comparison of fossil (BAU) ammonia vs green ammonia</w:t>
      </w:r>
      <w:r w:rsidRPr="00C65C7B">
        <w:rPr>
          <w:rFonts w:cstheme="minorHAnsi"/>
          <w:b/>
          <w:bCs/>
        </w:rPr>
        <w:t xml:space="preserve"> </w:t>
      </w:r>
      <w:r w:rsidRPr="00C65C7B">
        <w:rPr>
          <w:rFonts w:cstheme="minorHAnsi"/>
        </w:rPr>
        <w:t>with hydrogen from (a) water electrolysis using on-shore wind electricity, (b) water electrolysis using solar electricity, and (c) SMR + CCS. (d) – (f) shows the production cost comparison of fossil (BAU) methanol vs green methanol</w:t>
      </w:r>
      <w:r w:rsidRPr="00C65C7B">
        <w:rPr>
          <w:rFonts w:cstheme="minorHAnsi"/>
          <w:b/>
          <w:bCs/>
        </w:rPr>
        <w:t xml:space="preserve"> </w:t>
      </w:r>
      <w:r w:rsidRPr="00C65C7B">
        <w:rPr>
          <w:rFonts w:cstheme="minorHAnsi"/>
        </w:rPr>
        <w:t>with hydrogen from (d) water electrolysis using on-shore wind electricity, (e) water electrolysis using solar electricity, and (f) SMR + CCS. The error bars in plots (a), (b), (d), and (e) are the sensitivity analysis due to the leveli</w:t>
      </w:r>
      <w:r w:rsidR="002E56C0" w:rsidRPr="00C65C7B">
        <w:rPr>
          <w:rFonts w:cstheme="minorHAnsi"/>
        </w:rPr>
        <w:t>z</w:t>
      </w:r>
      <w:r w:rsidRPr="00C65C7B">
        <w:rPr>
          <w:rFonts w:cstheme="minorHAnsi"/>
        </w:rPr>
        <w:t xml:space="preserve">ed cost of hydrogen (table </w:t>
      </w:r>
      <w:r w:rsidR="00B42A68" w:rsidRPr="00C65C7B">
        <w:rPr>
          <w:rFonts w:cstheme="minorHAnsi"/>
        </w:rPr>
        <w:t>xx</w:t>
      </w:r>
      <w:r w:rsidRPr="00C65C7B">
        <w:rPr>
          <w:rFonts w:cstheme="minorHAnsi"/>
        </w:rPr>
        <w:t xml:space="preserve">). All the data points are shown in table </w:t>
      </w:r>
      <w:r w:rsidR="00B42A68" w:rsidRPr="00C65C7B">
        <w:rPr>
          <w:rFonts w:cstheme="minorHAnsi"/>
        </w:rPr>
        <w:t>xx</w:t>
      </w:r>
      <w:r w:rsidRPr="00C65C7B">
        <w:rPr>
          <w:rFonts w:cstheme="minorHAnsi"/>
        </w:rPr>
        <w:t xml:space="preserve"> for ammonia and table </w:t>
      </w:r>
      <w:r w:rsidR="00B42A68" w:rsidRPr="00C65C7B">
        <w:rPr>
          <w:rFonts w:cstheme="minorHAnsi"/>
        </w:rPr>
        <w:t>xx</w:t>
      </w:r>
      <w:r w:rsidRPr="00C65C7B">
        <w:rPr>
          <w:rFonts w:cstheme="minorHAnsi"/>
        </w:rPr>
        <w:t xml:space="preserve"> for methanol, respectively.</w:t>
      </w:r>
    </w:p>
    <w:p w14:paraId="6F970A1F" w14:textId="0370A0A1" w:rsidR="00CE5BCE" w:rsidRPr="00CE5BCE" w:rsidRDefault="002B1AE9" w:rsidP="000D1264">
      <w:pPr>
        <w:jc w:val="both"/>
        <w:rPr>
          <w:rFonts w:cstheme="minorHAnsi"/>
          <w:b/>
          <w:bCs/>
        </w:rPr>
      </w:pPr>
      <w:r>
        <w:rPr>
          <w:rFonts w:cstheme="minorHAnsi"/>
          <w:b/>
          <w:bCs/>
        </w:rPr>
        <w:t>Cost</w:t>
      </w:r>
      <w:r w:rsidR="00CE5BCE">
        <w:rPr>
          <w:rFonts w:cstheme="minorHAnsi"/>
          <w:b/>
          <w:bCs/>
        </w:rPr>
        <w:t xml:space="preserve"> </w:t>
      </w:r>
      <w:r>
        <w:rPr>
          <w:rFonts w:cstheme="minorHAnsi"/>
          <w:b/>
          <w:bCs/>
        </w:rPr>
        <w:t xml:space="preserve">comparison between </w:t>
      </w:r>
      <w:r w:rsidR="00712FB2">
        <w:rPr>
          <w:rFonts w:cstheme="minorHAnsi"/>
          <w:b/>
          <w:bCs/>
        </w:rPr>
        <w:t xml:space="preserve">the </w:t>
      </w:r>
      <w:r>
        <w:rPr>
          <w:rFonts w:cstheme="minorHAnsi"/>
          <w:b/>
          <w:bCs/>
        </w:rPr>
        <w:t>conventional</w:t>
      </w:r>
      <w:r w:rsidR="00CE5BCE">
        <w:rPr>
          <w:rFonts w:cstheme="minorHAnsi"/>
          <w:b/>
          <w:bCs/>
        </w:rPr>
        <w:t xml:space="preserve"> (</w:t>
      </w:r>
      <w:r>
        <w:rPr>
          <w:rFonts w:cstheme="minorHAnsi"/>
          <w:b/>
          <w:bCs/>
        </w:rPr>
        <w:t>fossil) and alternative routes of production</w:t>
      </w:r>
    </w:p>
    <w:p w14:paraId="0EDC5F5F" w14:textId="561CC17A" w:rsidR="00E079E8" w:rsidRPr="00C65C7B" w:rsidRDefault="00C77BB2" w:rsidP="000D1264">
      <w:pPr>
        <w:jc w:val="both"/>
        <w:rPr>
          <w:rFonts w:cstheme="minorHAnsi"/>
        </w:rPr>
      </w:pPr>
      <w:r w:rsidRPr="00C65C7B">
        <w:rPr>
          <w:rFonts w:cstheme="minorHAnsi"/>
        </w:rPr>
        <w:t xml:space="preserve">Production cost comparison between conventional ammonia and alternative ammonia production routes is shown in Figure 1a – 1c. The material </w:t>
      </w:r>
      <w:r w:rsidR="00F1570A" w:rsidRPr="00C65C7B">
        <w:rPr>
          <w:rFonts w:cstheme="minorHAnsi"/>
        </w:rPr>
        <w:t>balance</w:t>
      </w:r>
      <w:r w:rsidR="00142AC5" w:rsidRPr="00C65C7B">
        <w:rPr>
          <w:rFonts w:cstheme="minorHAnsi"/>
        </w:rPr>
        <w:t>s</w:t>
      </w:r>
      <w:r w:rsidR="00F1570A" w:rsidRPr="00C65C7B">
        <w:rPr>
          <w:rFonts w:cstheme="minorHAnsi"/>
        </w:rPr>
        <w:t xml:space="preserve"> </w:t>
      </w:r>
      <w:r w:rsidRPr="00C65C7B">
        <w:rPr>
          <w:rFonts w:cstheme="minorHAnsi"/>
        </w:rPr>
        <w:t>and energy flow</w:t>
      </w:r>
      <w:r w:rsidR="00F1570A" w:rsidRPr="00C65C7B">
        <w:rPr>
          <w:rFonts w:cstheme="minorHAnsi"/>
        </w:rPr>
        <w:t>s</w:t>
      </w:r>
      <w:r w:rsidRPr="00C65C7B">
        <w:rPr>
          <w:rFonts w:cstheme="minorHAnsi"/>
        </w:rPr>
        <w:t xml:space="preserve"> for both business-as-usual (BAU) or fossil ammonia and alternative production routes are extracted from the work done by </w:t>
      </w:r>
      <w:hyperlink r:id="rId7" w:history="1">
        <w:r w:rsidRPr="00C65C7B">
          <w:rPr>
            <w:rStyle w:val="Hyperlink"/>
            <w:rFonts w:cstheme="minorHAnsi"/>
            <w:u w:val="none"/>
          </w:rPr>
          <w:t>Sebastiano</w:t>
        </w:r>
        <w:r w:rsidR="005D2E59">
          <w:rPr>
            <w:rStyle w:val="Hyperlink"/>
            <w:rFonts w:cstheme="minorHAnsi"/>
            <w:u w:val="none"/>
          </w:rPr>
          <w:t> </w:t>
        </w:r>
        <w:r w:rsidRPr="00C65C7B">
          <w:rPr>
            <w:rStyle w:val="Hyperlink"/>
            <w:rFonts w:cstheme="minorHAnsi"/>
            <w:u w:val="none"/>
          </w:rPr>
          <w:t>et</w:t>
        </w:r>
        <w:r w:rsidR="005D2E59">
          <w:rPr>
            <w:rStyle w:val="Hyperlink"/>
            <w:rFonts w:cstheme="minorHAnsi"/>
            <w:u w:val="none"/>
          </w:rPr>
          <w:t> </w:t>
        </w:r>
        <w:r w:rsidRPr="00C65C7B">
          <w:rPr>
            <w:rStyle w:val="Hyperlink"/>
            <w:rFonts w:cstheme="minorHAnsi"/>
            <w:u w:val="none"/>
          </w:rPr>
          <w:t>al.</w:t>
        </w:r>
        <w:r w:rsidR="005D2E59">
          <w:rPr>
            <w:rStyle w:val="Hyperlink"/>
            <w:rFonts w:cstheme="minorHAnsi"/>
            <w:u w:val="none"/>
          </w:rPr>
          <w:t> </w:t>
        </w:r>
        <w:r w:rsidRPr="00C65C7B">
          <w:rPr>
            <w:rStyle w:val="Hyperlink"/>
            <w:rFonts w:cstheme="minorHAnsi"/>
            <w:u w:val="none"/>
          </w:rPr>
          <w:t>2021</w:t>
        </w:r>
      </w:hyperlink>
      <w:r w:rsidRPr="00C65C7B">
        <w:rPr>
          <w:rFonts w:cstheme="minorHAnsi"/>
        </w:rPr>
        <w:t xml:space="preserve">. Monthly average natural gas and electricity prices in Europe are shown in table xx. </w:t>
      </w:r>
      <w:r w:rsidR="00195899" w:rsidRPr="00C65C7B">
        <w:rPr>
          <w:rFonts w:cstheme="minorHAnsi"/>
        </w:rPr>
        <w:t>In the case of BAU ammonia, every ton of ammonia produced consumes 0.53 ton</w:t>
      </w:r>
      <w:r w:rsidR="00F1570A" w:rsidRPr="00C65C7B">
        <w:rPr>
          <w:rFonts w:cstheme="minorHAnsi"/>
        </w:rPr>
        <w:t>s</w:t>
      </w:r>
      <w:r w:rsidR="00195899" w:rsidRPr="00C65C7B">
        <w:rPr>
          <w:rFonts w:cstheme="minorHAnsi"/>
        </w:rPr>
        <w:t xml:space="preserve"> of natural gas and </w:t>
      </w:r>
      <w:r w:rsidR="00195899" w:rsidRPr="00C65C7B">
        <w:rPr>
          <w:rFonts w:cstheme="minorHAnsi"/>
        </w:rPr>
        <w:lastRenderedPageBreak/>
        <w:t>940</w:t>
      </w:r>
      <w:r w:rsidR="005D2E59">
        <w:rPr>
          <w:rFonts w:cstheme="minorHAnsi"/>
        </w:rPr>
        <w:t> </w:t>
      </w:r>
      <w:r w:rsidR="00195899" w:rsidRPr="00C65C7B">
        <w:rPr>
          <w:rFonts w:cstheme="minorHAnsi"/>
        </w:rPr>
        <w:t>kWh of electricity [</w:t>
      </w:r>
      <w:hyperlink r:id="rId8" w:history="1">
        <w:r w:rsidR="00195899" w:rsidRPr="00C65C7B">
          <w:rPr>
            <w:rStyle w:val="Hyperlink"/>
            <w:rFonts w:cstheme="minorHAnsi"/>
            <w:u w:val="none"/>
          </w:rPr>
          <w:t>Sebastiano et al. 2021</w:t>
        </w:r>
      </w:hyperlink>
      <w:r w:rsidR="00195899" w:rsidRPr="00C65C7B">
        <w:rPr>
          <w:rFonts w:cstheme="minorHAnsi"/>
        </w:rPr>
        <w:t xml:space="preserve">]. As of September 2022, </w:t>
      </w:r>
      <w:r w:rsidR="00F1570A" w:rsidRPr="00C65C7B">
        <w:rPr>
          <w:rFonts w:cstheme="minorHAnsi"/>
        </w:rPr>
        <w:t xml:space="preserve">the </w:t>
      </w:r>
      <w:r w:rsidR="00195899" w:rsidRPr="00C65C7B">
        <w:rPr>
          <w:rFonts w:cstheme="minorHAnsi"/>
        </w:rPr>
        <w:t>cost of production for BAU ammonia was around 1965$ t</w:t>
      </w:r>
      <w:r w:rsidR="00195899" w:rsidRPr="00C65C7B">
        <w:rPr>
          <w:rFonts w:cstheme="minorHAnsi"/>
          <w:vertAlign w:val="superscript"/>
        </w:rPr>
        <w:noBreakHyphen/>
        <w:t>1</w:t>
      </w:r>
      <w:r w:rsidR="00195899" w:rsidRPr="00C65C7B">
        <w:rPr>
          <w:rFonts w:cstheme="minorHAnsi"/>
        </w:rPr>
        <w:t xml:space="preserve"> which is three times higher in comparison to July 2021. </w:t>
      </w:r>
      <w:r w:rsidR="00A352E7" w:rsidRPr="00C65C7B">
        <w:rPr>
          <w:rFonts w:cstheme="minorHAnsi"/>
        </w:rPr>
        <w:t xml:space="preserve">Three alternative scenarios for the production of ammonia </w:t>
      </w:r>
      <w:r w:rsidR="00F1570A" w:rsidRPr="00C65C7B">
        <w:rPr>
          <w:rFonts w:cstheme="minorHAnsi"/>
        </w:rPr>
        <w:t>are</w:t>
      </w:r>
      <w:r w:rsidR="00A352E7" w:rsidRPr="00C65C7B">
        <w:rPr>
          <w:rFonts w:cstheme="minorHAnsi"/>
        </w:rPr>
        <w:t xml:space="preserve"> considered. The only difference in these three cases is the source of hydrogen. The different sources of hydrogen considered are</w:t>
      </w:r>
      <w:r w:rsidR="00420B11" w:rsidRPr="00C65C7B">
        <w:rPr>
          <w:rFonts w:cstheme="minorHAnsi"/>
        </w:rPr>
        <w:t xml:space="preserve"> </w:t>
      </w:r>
      <w:r w:rsidR="00A352E7" w:rsidRPr="00C65C7B">
        <w:rPr>
          <w:rFonts w:cstheme="minorHAnsi"/>
        </w:rPr>
        <w:t>(</w:t>
      </w:r>
      <w:r w:rsidR="00067F1B" w:rsidRPr="00C65C7B">
        <w:rPr>
          <w:rFonts w:cstheme="minorHAnsi"/>
        </w:rPr>
        <w:t>Figure 1</w:t>
      </w:r>
      <w:r w:rsidR="00A352E7" w:rsidRPr="00C65C7B">
        <w:rPr>
          <w:rFonts w:cstheme="minorHAnsi"/>
        </w:rPr>
        <w:t>a) water electrolysis using on-shore wind electricity, (</w:t>
      </w:r>
      <w:r w:rsidR="00067F1B" w:rsidRPr="00C65C7B">
        <w:rPr>
          <w:rFonts w:cstheme="minorHAnsi"/>
        </w:rPr>
        <w:t>Figure 1</w:t>
      </w:r>
      <w:r w:rsidR="00A352E7" w:rsidRPr="00C65C7B">
        <w:rPr>
          <w:rFonts w:cstheme="minorHAnsi"/>
        </w:rPr>
        <w:t>b) water electrolysis using solar electricity, and (</w:t>
      </w:r>
      <w:r w:rsidR="00067F1B" w:rsidRPr="00C65C7B">
        <w:rPr>
          <w:rFonts w:cstheme="minorHAnsi"/>
        </w:rPr>
        <w:t>Figure 1</w:t>
      </w:r>
      <w:r w:rsidR="00A352E7" w:rsidRPr="00C65C7B">
        <w:rPr>
          <w:rFonts w:cstheme="minorHAnsi"/>
        </w:rPr>
        <w:t>c) SMR + C</w:t>
      </w:r>
      <w:r w:rsidR="00762F3A" w:rsidRPr="00C65C7B">
        <w:rPr>
          <w:rFonts w:cstheme="minorHAnsi"/>
        </w:rPr>
        <w:t>arbon Capture and Storage (CCS)</w:t>
      </w:r>
      <w:r w:rsidR="00A352E7" w:rsidRPr="00C65C7B">
        <w:rPr>
          <w:rFonts w:cstheme="minorHAnsi"/>
        </w:rPr>
        <w:t xml:space="preserve">. </w:t>
      </w:r>
      <w:r w:rsidR="00685F5E" w:rsidRPr="00C65C7B">
        <w:rPr>
          <w:rFonts w:cstheme="minorHAnsi"/>
        </w:rPr>
        <w:t xml:space="preserve">For all the alternative scenarios, along with hydrogen, nitrogen from cryogenic air separation is used as a feedstock. Whereas, in the case of conventional ammonia, nitrogen comes from </w:t>
      </w:r>
      <w:r w:rsidR="002E56C0" w:rsidRPr="00C65C7B">
        <w:rPr>
          <w:rFonts w:cstheme="minorHAnsi"/>
        </w:rPr>
        <w:t xml:space="preserve">the </w:t>
      </w:r>
      <w:r w:rsidR="00685F5E" w:rsidRPr="00C65C7B">
        <w:rPr>
          <w:rFonts w:cstheme="minorHAnsi"/>
        </w:rPr>
        <w:t>air which is used in the autothermal reactor [</w:t>
      </w:r>
      <w:hyperlink r:id="rId9" w:history="1">
        <w:r w:rsidR="00685F5E" w:rsidRPr="00C65C7B">
          <w:rPr>
            <w:rStyle w:val="Hyperlink"/>
            <w:rFonts w:cstheme="minorHAnsi"/>
            <w:u w:val="none"/>
          </w:rPr>
          <w:t>Sebastiano et al. 2021</w:t>
        </w:r>
      </w:hyperlink>
      <w:r w:rsidR="00685F5E" w:rsidRPr="00C65C7B">
        <w:rPr>
          <w:rFonts w:cstheme="minorHAnsi"/>
        </w:rPr>
        <w:t>].</w:t>
      </w:r>
      <w:r w:rsidR="003F7D95" w:rsidRPr="00C65C7B">
        <w:rPr>
          <w:rFonts w:cstheme="minorHAnsi"/>
        </w:rPr>
        <w:t xml:space="preserve"> </w:t>
      </w:r>
    </w:p>
    <w:p w14:paraId="157A19EE" w14:textId="6173E81D" w:rsidR="003E51E5" w:rsidRPr="00C65C7B" w:rsidRDefault="002E56C0" w:rsidP="000D1264">
      <w:pPr>
        <w:jc w:val="both"/>
        <w:rPr>
          <w:rFonts w:cstheme="minorHAnsi"/>
        </w:rPr>
      </w:pPr>
      <w:r w:rsidRPr="00C65C7B">
        <w:rPr>
          <w:rFonts w:cstheme="minorHAnsi"/>
        </w:rPr>
        <w:t>In Figure 1a, when natural gas prices reach around 1400$</w:t>
      </w:r>
      <w:r w:rsidR="00CA2F84" w:rsidRPr="00C65C7B">
        <w:rPr>
          <w:rFonts w:cstheme="minorHAnsi"/>
        </w:rPr>
        <w:t xml:space="preserve"> </w:t>
      </w:r>
      <w:r w:rsidRPr="00C65C7B">
        <w:rPr>
          <w:rFonts w:cstheme="minorHAnsi"/>
        </w:rPr>
        <w:t>t</w:t>
      </w:r>
      <w:r w:rsidRPr="00C65C7B">
        <w:rPr>
          <w:rFonts w:cstheme="minorHAnsi"/>
          <w:vertAlign w:val="superscript"/>
        </w:rPr>
        <w:t>-1</w:t>
      </w:r>
      <w:r w:rsidRPr="00C65C7B">
        <w:rPr>
          <w:rFonts w:cstheme="minorHAnsi"/>
        </w:rPr>
        <w:t xml:space="preserve">, ammonia with hydrogen from water electrolysis using on-shore wind electricity </w:t>
      </w:r>
      <w:r w:rsidR="00C03D02" w:rsidRPr="00C65C7B">
        <w:rPr>
          <w:rFonts w:cstheme="minorHAnsi"/>
        </w:rPr>
        <w:t>turns</w:t>
      </w:r>
      <w:r w:rsidRPr="00C65C7B">
        <w:rPr>
          <w:rFonts w:cstheme="minorHAnsi"/>
        </w:rPr>
        <w:t xml:space="preserve"> cost</w:t>
      </w:r>
      <w:r w:rsidR="00CA2F84" w:rsidRPr="00C65C7B">
        <w:rPr>
          <w:rFonts w:cstheme="minorHAnsi"/>
        </w:rPr>
        <w:t>-</w:t>
      </w:r>
      <w:r w:rsidRPr="00C65C7B">
        <w:rPr>
          <w:rFonts w:cstheme="minorHAnsi"/>
        </w:rPr>
        <w:t>competitive with BAU ammonia. Based on monthly average natural gas prices, ammonia production via wind electrolysis has been cheaper than or similar to BAU ammonia for seven months since October 2021 (table xx). Whereas, for the solar scenario (Figure 1b), ammonia production via this route is only feasible around the peak of natural gas prices (August 2022). This can be attributed to lower capacity factors (16.1% to 17.5%) in comparison to wind electricity (35.6% to 39%) resulting in higher levelized costs of hydrogen [</w:t>
      </w:r>
      <w:hyperlink r:id="rId10" w:history="1">
        <w:r w:rsidR="00E079E8" w:rsidRPr="00C65C7B">
          <w:rPr>
            <w:rStyle w:val="Hyperlink"/>
            <w:u w:val="none"/>
          </w:rPr>
          <w:t>IRENA 2021</w:t>
        </w:r>
      </w:hyperlink>
      <w:r w:rsidRPr="00C65C7B">
        <w:rPr>
          <w:rFonts w:cstheme="minorHAnsi"/>
        </w:rPr>
        <w:t>].</w:t>
      </w:r>
      <w:r w:rsidR="001D1DA7" w:rsidRPr="00C65C7B">
        <w:rPr>
          <w:rFonts w:cstheme="minorHAnsi"/>
        </w:rPr>
        <w:t xml:space="preserve"> Notably, in the case of both wind and solar, only the electrolyzer uses the respective electricity source, whereas, the </w:t>
      </w:r>
      <w:r w:rsidR="00745805" w:rsidRPr="00C65C7B">
        <w:rPr>
          <w:rFonts w:cstheme="minorHAnsi"/>
        </w:rPr>
        <w:t xml:space="preserve">production </w:t>
      </w:r>
      <w:r w:rsidR="001D1DA7" w:rsidRPr="00C65C7B">
        <w:rPr>
          <w:rFonts w:cstheme="minorHAnsi"/>
        </w:rPr>
        <w:t xml:space="preserve">process (compressors) </w:t>
      </w:r>
      <w:r w:rsidR="00745805" w:rsidRPr="00C65C7B">
        <w:rPr>
          <w:rFonts w:cstheme="minorHAnsi"/>
        </w:rPr>
        <w:t xml:space="preserve">itself </w:t>
      </w:r>
      <w:r w:rsidR="001D1DA7" w:rsidRPr="00C65C7B">
        <w:rPr>
          <w:rFonts w:cstheme="minorHAnsi"/>
        </w:rPr>
        <w:t xml:space="preserve">uses grid electricity. </w:t>
      </w:r>
      <w:r w:rsidR="002835FC" w:rsidRPr="00C65C7B">
        <w:rPr>
          <w:rFonts w:cstheme="minorHAnsi"/>
        </w:rPr>
        <w:t xml:space="preserve"> Ammonia production in the scenario of hydrogen from SMR +</w:t>
      </w:r>
      <w:r w:rsidR="000743E4" w:rsidRPr="00C65C7B">
        <w:rPr>
          <w:rFonts w:cstheme="minorHAnsi"/>
        </w:rPr>
        <w:t> </w:t>
      </w:r>
      <w:r w:rsidR="002835FC" w:rsidRPr="00C65C7B">
        <w:rPr>
          <w:rFonts w:cstheme="minorHAnsi"/>
        </w:rPr>
        <w:t>CCS is always more expensive than the conventional route due to the inclusion of CCS and also the additional nitrogen feed required in this scenario.</w:t>
      </w:r>
      <w:r w:rsidR="009904EE" w:rsidRPr="00C65C7B">
        <w:rPr>
          <w:rFonts w:cstheme="minorHAnsi"/>
        </w:rPr>
        <w:t xml:space="preserve"> In the current state of affairs, natural gas prices are predicted to remain high (1579 – 2216$ t</w:t>
      </w:r>
      <w:r w:rsidR="009904EE" w:rsidRPr="00C65C7B">
        <w:rPr>
          <w:rFonts w:cstheme="minorHAnsi"/>
          <w:vertAlign w:val="superscript"/>
        </w:rPr>
        <w:t>-1</w:t>
      </w:r>
      <w:r w:rsidR="009904EE" w:rsidRPr="00C65C7B">
        <w:rPr>
          <w:rFonts w:cstheme="minorHAnsi"/>
        </w:rPr>
        <w:t xml:space="preserve">) for the next few years. On the contrary, prices of renewable energy technologies are expected to decrease. </w:t>
      </w:r>
      <w:r w:rsidR="003C47DD" w:rsidRPr="00C65C7B">
        <w:rPr>
          <w:rFonts w:cstheme="minorHAnsi"/>
        </w:rPr>
        <w:t>For that reason</w:t>
      </w:r>
      <w:r w:rsidR="009904EE" w:rsidRPr="00C65C7B">
        <w:rPr>
          <w:rFonts w:cstheme="minorHAnsi"/>
        </w:rPr>
        <w:t xml:space="preserve">, ammonia production from wind could be the most promising technology in the foreseeable future. </w:t>
      </w:r>
    </w:p>
    <w:p w14:paraId="2A56C082" w14:textId="42187DB2" w:rsidR="00906FC2" w:rsidRDefault="00F5495B" w:rsidP="000D1264">
      <w:pPr>
        <w:jc w:val="both"/>
        <w:rPr>
          <w:rFonts w:cstheme="minorHAnsi"/>
        </w:rPr>
      </w:pPr>
      <w:r w:rsidRPr="00C65C7B">
        <w:rPr>
          <w:rFonts w:cstheme="minorHAnsi"/>
        </w:rPr>
        <w:t xml:space="preserve">Figure 1d – 1f shows the comparison between the production cost of conventional and alternative routes for methanol production. </w:t>
      </w:r>
      <w:r w:rsidR="00515EBE" w:rsidRPr="00C65C7B">
        <w:rPr>
          <w:rFonts w:cstheme="minorHAnsi"/>
        </w:rPr>
        <w:t xml:space="preserve">Natural gas is first converted to syngas and then to methanol using the water gas shift reaction in the case of BAU methanol. </w:t>
      </w:r>
      <w:r w:rsidR="00142AC5" w:rsidRPr="00C65C7B">
        <w:rPr>
          <w:rFonts w:cstheme="minorHAnsi"/>
        </w:rPr>
        <w:t xml:space="preserve">The material balance and energy flows for BAU methanol and green methanol are extracted from </w:t>
      </w:r>
      <w:hyperlink r:id="rId11" w:history="1">
        <w:r w:rsidR="00142AC5" w:rsidRPr="00C65C7B">
          <w:rPr>
            <w:rStyle w:val="Hyperlink"/>
            <w:rFonts w:cstheme="minorHAnsi"/>
            <w:u w:val="none"/>
          </w:rPr>
          <w:t>L.A. Pellegrini et al. 2011</w:t>
        </w:r>
      </w:hyperlink>
      <w:r w:rsidR="00142AC5" w:rsidRPr="00C65C7B">
        <w:rPr>
          <w:rFonts w:cstheme="minorHAnsi"/>
        </w:rPr>
        <w:t xml:space="preserve"> and </w:t>
      </w:r>
      <w:hyperlink r:id="rId12" w:history="1">
        <w:r w:rsidR="00142AC5" w:rsidRPr="00C65C7B">
          <w:rPr>
            <w:rStyle w:val="Hyperlink"/>
            <w:u w:val="none"/>
            <w:shd w:val="clear" w:color="auto" w:fill="FFFFFF"/>
          </w:rPr>
          <w:t>Vázquez et al. 2021</w:t>
        </w:r>
      </w:hyperlink>
      <w:r w:rsidR="00142AC5" w:rsidRPr="00C65C7B">
        <w:rPr>
          <w:shd w:val="clear" w:color="auto" w:fill="FFFFFF"/>
        </w:rPr>
        <w:t xml:space="preserve">, respectively. </w:t>
      </w:r>
      <w:r w:rsidR="00241861" w:rsidRPr="00C65C7B">
        <w:rPr>
          <w:rFonts w:cstheme="minorHAnsi"/>
        </w:rPr>
        <w:t xml:space="preserve">Every ton of </w:t>
      </w:r>
      <w:r w:rsidR="005C3252" w:rsidRPr="00C65C7B">
        <w:rPr>
          <w:rFonts w:cstheme="minorHAnsi"/>
        </w:rPr>
        <w:t xml:space="preserve">conventional </w:t>
      </w:r>
      <w:r w:rsidR="00241861" w:rsidRPr="00C65C7B">
        <w:rPr>
          <w:rFonts w:cstheme="minorHAnsi"/>
        </w:rPr>
        <w:t xml:space="preserve">methanol produced </w:t>
      </w:r>
      <w:r w:rsidR="00C407F0" w:rsidRPr="00C65C7B">
        <w:rPr>
          <w:rFonts w:cstheme="minorHAnsi"/>
        </w:rPr>
        <w:t>consume</w:t>
      </w:r>
      <w:r w:rsidR="00C65C7B" w:rsidRPr="00C65C7B">
        <w:rPr>
          <w:rFonts w:cstheme="minorHAnsi"/>
        </w:rPr>
        <w:t>s</w:t>
      </w:r>
      <w:r w:rsidR="00241861" w:rsidRPr="00C65C7B">
        <w:rPr>
          <w:rFonts w:cstheme="minorHAnsi"/>
        </w:rPr>
        <w:t xml:space="preserve"> 0.67 tons of natural gas and 708 kWh of electricity. Therefore, similar to ammonia, the cost of production for BAU methanol has increased sharply. In comparison to July 2021, the production cost for BAU methanol rose by 232% in September 2022. </w:t>
      </w:r>
      <w:r w:rsidR="00692538" w:rsidRPr="00C65C7B">
        <w:rPr>
          <w:rFonts w:cstheme="minorHAnsi"/>
        </w:rPr>
        <w:t>Following a</w:t>
      </w:r>
      <w:r w:rsidR="00BD28D6" w:rsidRPr="00C65C7B">
        <w:rPr>
          <w:rFonts w:cstheme="minorHAnsi"/>
        </w:rPr>
        <w:t>n</w:t>
      </w:r>
      <w:r w:rsidR="00692538" w:rsidRPr="00C65C7B">
        <w:rPr>
          <w:rFonts w:cstheme="minorHAnsi"/>
        </w:rPr>
        <w:t xml:space="preserve"> identical approach to ammonia, t</w:t>
      </w:r>
      <w:r w:rsidR="004D00E2" w:rsidRPr="00C65C7B">
        <w:rPr>
          <w:rFonts w:cstheme="minorHAnsi"/>
        </w:rPr>
        <w:t>hree alternative routes for methanol production are considered depending on the source of hydrogen</w:t>
      </w:r>
      <w:r w:rsidR="00692538" w:rsidRPr="00C65C7B">
        <w:rPr>
          <w:rFonts w:cstheme="minorHAnsi"/>
        </w:rPr>
        <w:t>.</w:t>
      </w:r>
      <w:r w:rsidR="004D00E2" w:rsidRPr="00C65C7B">
        <w:rPr>
          <w:rFonts w:cstheme="minorHAnsi"/>
        </w:rPr>
        <w:t xml:space="preserve"> </w:t>
      </w:r>
      <w:r w:rsidR="00692538" w:rsidRPr="00C65C7B">
        <w:rPr>
          <w:rFonts w:cstheme="minorHAnsi"/>
        </w:rPr>
        <w:t>They are</w:t>
      </w:r>
      <w:r w:rsidR="00420B11" w:rsidRPr="00C65C7B">
        <w:rPr>
          <w:rFonts w:cstheme="minorHAnsi"/>
        </w:rPr>
        <w:t xml:space="preserve"> </w:t>
      </w:r>
      <w:r w:rsidR="004D00E2" w:rsidRPr="00C65C7B">
        <w:rPr>
          <w:rFonts w:cstheme="minorHAnsi"/>
        </w:rPr>
        <w:t>(</w:t>
      </w:r>
      <w:r w:rsidR="00641520" w:rsidRPr="00C65C7B">
        <w:t>Figure</w:t>
      </w:r>
      <w:r w:rsidR="00C407F0" w:rsidRPr="00C65C7B">
        <w:t> </w:t>
      </w:r>
      <w:r w:rsidR="00641520" w:rsidRPr="00C65C7B">
        <w:t>1</w:t>
      </w:r>
      <w:r w:rsidR="004D00E2" w:rsidRPr="00C65C7B">
        <w:t>d</w:t>
      </w:r>
      <w:r w:rsidR="004D00E2" w:rsidRPr="00C65C7B">
        <w:rPr>
          <w:rFonts w:cstheme="minorHAnsi"/>
        </w:rPr>
        <w:t>) water electrolysis using on-shore wind electricity, (</w:t>
      </w:r>
      <w:r w:rsidR="00AD2216" w:rsidRPr="00C65C7B">
        <w:rPr>
          <w:rFonts w:cstheme="minorHAnsi"/>
        </w:rPr>
        <w:t>Figure 1</w:t>
      </w:r>
      <w:r w:rsidR="004D00E2" w:rsidRPr="00C65C7B">
        <w:rPr>
          <w:rFonts w:cstheme="minorHAnsi"/>
        </w:rPr>
        <w:t>e) water electrolysis using solar electricity, and (</w:t>
      </w:r>
      <w:r w:rsidR="00641520" w:rsidRPr="00C65C7B">
        <w:t>Figure</w:t>
      </w:r>
      <w:r w:rsidR="00F3088B" w:rsidRPr="00C65C7B">
        <w:t> </w:t>
      </w:r>
      <w:r w:rsidR="00641520" w:rsidRPr="00C65C7B">
        <w:t>1</w:t>
      </w:r>
      <w:r w:rsidR="004D00E2" w:rsidRPr="00C65C7B">
        <w:t>f</w:t>
      </w:r>
      <w:r w:rsidR="004D00E2" w:rsidRPr="00C65C7B">
        <w:rPr>
          <w:rFonts w:cstheme="minorHAnsi"/>
        </w:rPr>
        <w:t>) SMR +</w:t>
      </w:r>
      <w:r w:rsidR="00D3376F" w:rsidRPr="00C65C7B">
        <w:rPr>
          <w:rFonts w:cstheme="minorHAnsi"/>
        </w:rPr>
        <w:t xml:space="preserve"> </w:t>
      </w:r>
      <w:r w:rsidR="004D00E2" w:rsidRPr="00C65C7B">
        <w:rPr>
          <w:rFonts w:cstheme="minorHAnsi"/>
        </w:rPr>
        <w:t xml:space="preserve">CCS. </w:t>
      </w:r>
      <w:r w:rsidR="008F63D5">
        <w:rPr>
          <w:rFonts w:cstheme="minorHAnsi"/>
        </w:rPr>
        <w:t xml:space="preserve">All three alternative routes of production use carbon dioxide from Direct Air Capture (DAC) as a feedstock. Therefore, carbon dioxide and hydrogen undergo </w:t>
      </w:r>
      <w:r w:rsidR="00AF69DF">
        <w:rPr>
          <w:rFonts w:cstheme="minorHAnsi"/>
        </w:rPr>
        <w:t xml:space="preserve">the </w:t>
      </w:r>
      <w:r w:rsidR="008F63D5">
        <w:rPr>
          <w:rFonts w:cstheme="minorHAnsi"/>
        </w:rPr>
        <w:t xml:space="preserve">reverse water gas shift </w:t>
      </w:r>
      <w:r w:rsidR="00AF69DF">
        <w:rPr>
          <w:rFonts w:cstheme="minorHAnsi"/>
        </w:rPr>
        <w:t xml:space="preserve">reaction </w:t>
      </w:r>
      <w:r w:rsidR="008F63D5">
        <w:rPr>
          <w:rFonts w:cstheme="minorHAnsi"/>
        </w:rPr>
        <w:t>to produce syngas</w:t>
      </w:r>
      <w:r w:rsidR="00AA2EEA">
        <w:rPr>
          <w:rFonts w:cstheme="minorHAnsi"/>
        </w:rPr>
        <w:t xml:space="preserve">, </w:t>
      </w:r>
      <w:r w:rsidR="008F63D5">
        <w:rPr>
          <w:rFonts w:cstheme="minorHAnsi"/>
        </w:rPr>
        <w:t xml:space="preserve">and </w:t>
      </w:r>
      <w:r w:rsidR="00AF69DF">
        <w:rPr>
          <w:rFonts w:cstheme="minorHAnsi"/>
        </w:rPr>
        <w:t xml:space="preserve">syngas is converted to methanol in the next step. </w:t>
      </w:r>
    </w:p>
    <w:p w14:paraId="409ADB1F" w14:textId="4760D5EC" w:rsidR="00F20B5E" w:rsidRDefault="00F20B5E" w:rsidP="000D1264">
      <w:pPr>
        <w:jc w:val="both"/>
        <w:rPr>
          <w:rFonts w:cstheme="minorHAnsi"/>
        </w:rPr>
      </w:pPr>
      <w:r>
        <w:rPr>
          <w:rFonts w:cstheme="minorHAnsi"/>
        </w:rPr>
        <w:t>In the alternative routes of methanol production, for every ton of carbon dioxide captured, 0.11 tons of natural gas is required. At natural gas prices of around 2475$ t</w:t>
      </w:r>
      <w:r w:rsidRPr="00F20B5E">
        <w:rPr>
          <w:rFonts w:cstheme="minorHAnsi"/>
          <w:vertAlign w:val="superscript"/>
        </w:rPr>
        <w:t>-1</w:t>
      </w:r>
      <w:r>
        <w:rPr>
          <w:rFonts w:cstheme="minorHAnsi"/>
        </w:rPr>
        <w:t>, the wind scenario is economically competitive in comparison to BAU methanol</w:t>
      </w:r>
      <w:r w:rsidR="002122C3">
        <w:rPr>
          <w:rFonts w:cstheme="minorHAnsi"/>
        </w:rPr>
        <w:t xml:space="preserve"> (Figure 1d)</w:t>
      </w:r>
      <w:r>
        <w:rPr>
          <w:rFonts w:cstheme="minorHAnsi"/>
        </w:rPr>
        <w:t>. Also, considering the low prices of wind electricity, at natural gas prices of 1700$ t</w:t>
      </w:r>
      <w:r w:rsidRPr="00F20B5E">
        <w:rPr>
          <w:rFonts w:cstheme="minorHAnsi"/>
          <w:vertAlign w:val="superscript"/>
        </w:rPr>
        <w:t>-1</w:t>
      </w:r>
      <w:r>
        <w:rPr>
          <w:rFonts w:cstheme="minorHAnsi"/>
        </w:rPr>
        <w:t>, methanol production via on-shore wind electricity is more feasible than the conventional route.</w:t>
      </w:r>
      <w:r w:rsidR="002122C3">
        <w:rPr>
          <w:rFonts w:cstheme="minorHAnsi"/>
        </w:rPr>
        <w:t xml:space="preserve"> The solar scenario for the production of methanol (Figure 1e) follows a similar trend to that seen for ammonia and is only feasible at the peak of natural gas prices (August 2022) considering the low prices of solar electricity. For the case of hydrogen from SMR + CCS</w:t>
      </w:r>
      <w:r w:rsidR="004D2190">
        <w:rPr>
          <w:rFonts w:cstheme="minorHAnsi"/>
        </w:rPr>
        <w:t xml:space="preserve"> (Figure 1f)</w:t>
      </w:r>
      <w:r w:rsidR="002122C3">
        <w:rPr>
          <w:rFonts w:cstheme="minorHAnsi"/>
        </w:rPr>
        <w:t xml:space="preserve">, the cost of production is on average 67.8% higher than BAU methanol due to the additional cost of CCS and </w:t>
      </w:r>
      <w:r w:rsidR="002122C3">
        <w:rPr>
          <w:rFonts w:cstheme="minorHAnsi"/>
        </w:rPr>
        <w:lastRenderedPageBreak/>
        <w:t xml:space="preserve">carbon dioxide from DAC. Identical to </w:t>
      </w:r>
      <w:r w:rsidR="00BC78E9">
        <w:rPr>
          <w:rFonts w:cstheme="minorHAnsi"/>
        </w:rPr>
        <w:t xml:space="preserve">the case of </w:t>
      </w:r>
      <w:r w:rsidR="002122C3">
        <w:rPr>
          <w:rFonts w:cstheme="minorHAnsi"/>
        </w:rPr>
        <w:t xml:space="preserve">ammonia, methanol production via wind is expected to be cost-competitive with BAU methanol in the coming future. </w:t>
      </w:r>
    </w:p>
    <w:p w14:paraId="09E82CC3" w14:textId="38E27D6A" w:rsidR="00962843" w:rsidRDefault="00C41893" w:rsidP="000D1264">
      <w:pPr>
        <w:jc w:val="both"/>
        <w:rPr>
          <w:rFonts w:cstheme="minorHAnsi"/>
        </w:rPr>
      </w:pPr>
      <w:r>
        <w:rPr>
          <w:rFonts w:cstheme="minorHAnsi"/>
          <w:noProof/>
        </w:rPr>
        <w:drawing>
          <wp:inline distT="0" distB="0" distL="0" distR="0" wp14:anchorId="73475BD9" wp14:editId="64C64589">
            <wp:extent cx="5972810" cy="60490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6049010"/>
                    </a:xfrm>
                    <a:prstGeom prst="rect">
                      <a:avLst/>
                    </a:prstGeom>
                  </pic:spPr>
                </pic:pic>
              </a:graphicData>
            </a:graphic>
          </wp:inline>
        </w:drawing>
      </w:r>
    </w:p>
    <w:p w14:paraId="267D6C93" w14:textId="7EE13C20" w:rsidR="00F03F5A" w:rsidRDefault="00F03F5A" w:rsidP="000D1264">
      <w:pPr>
        <w:jc w:val="both"/>
        <w:rPr>
          <w:rFonts w:cstheme="minorHAnsi"/>
        </w:rPr>
      </w:pPr>
      <w:r w:rsidRPr="005A109C">
        <w:rPr>
          <w:rFonts w:cstheme="minorHAnsi"/>
          <w:b/>
          <w:bCs/>
        </w:rPr>
        <w:t>Fig</w:t>
      </w:r>
      <w:r>
        <w:rPr>
          <w:rFonts w:cstheme="minorHAnsi"/>
          <w:b/>
          <w:bCs/>
        </w:rPr>
        <w:t>ure</w:t>
      </w:r>
      <w:r w:rsidRPr="005A109C">
        <w:rPr>
          <w:rFonts w:cstheme="minorHAnsi"/>
          <w:b/>
          <w:bCs/>
        </w:rPr>
        <w:t xml:space="preserve"> 2</w:t>
      </w:r>
      <w:r w:rsidR="00B37C26">
        <w:rPr>
          <w:rFonts w:cstheme="minorHAnsi"/>
          <w:b/>
          <w:bCs/>
        </w:rPr>
        <w:t>.</w:t>
      </w:r>
      <w:r w:rsidRPr="005A109C">
        <w:rPr>
          <w:rFonts w:cstheme="minorHAnsi"/>
          <w:b/>
          <w:bCs/>
        </w:rPr>
        <w:t xml:space="preserve"> </w:t>
      </w:r>
      <w:r w:rsidRPr="005A109C">
        <w:rPr>
          <w:rFonts w:cstheme="minorHAnsi"/>
        </w:rPr>
        <w:t>Breakdown of production costs for (a) fossil (BAU) ammonia vs green ammonia</w:t>
      </w:r>
      <w:r w:rsidRPr="005A109C">
        <w:rPr>
          <w:rFonts w:cstheme="minorHAnsi"/>
          <w:b/>
          <w:bCs/>
        </w:rPr>
        <w:t xml:space="preserve"> </w:t>
      </w:r>
      <w:r w:rsidRPr="005A109C">
        <w:rPr>
          <w:rFonts w:cstheme="minorHAnsi"/>
        </w:rPr>
        <w:t>with hydrogen from water electrolysis using on-shore wind electricity and (b) fossil (BAU) methanol vs green methanol</w:t>
      </w:r>
      <w:r w:rsidRPr="005A109C">
        <w:rPr>
          <w:rFonts w:cstheme="minorHAnsi"/>
          <w:b/>
          <w:bCs/>
        </w:rPr>
        <w:t xml:space="preserve"> </w:t>
      </w:r>
      <w:r w:rsidRPr="005A109C">
        <w:rPr>
          <w:rFonts w:cstheme="minorHAnsi"/>
        </w:rPr>
        <w:t xml:space="preserve">with hydrogen from water electrolysis using on-shore wind electricity. The error bars are the sensitivity analysis due to the levelized cost of hydrogen (table </w:t>
      </w:r>
      <w:r w:rsidR="00B975FB">
        <w:rPr>
          <w:rFonts w:cstheme="minorHAnsi"/>
        </w:rPr>
        <w:t>xx</w:t>
      </w:r>
      <w:r w:rsidRPr="005A109C">
        <w:rPr>
          <w:rFonts w:cstheme="minorHAnsi"/>
        </w:rPr>
        <w:t xml:space="preserve">). </w:t>
      </w:r>
    </w:p>
    <w:p w14:paraId="21CC99ED" w14:textId="66B8D36B" w:rsidR="00F12109" w:rsidRPr="00F12109" w:rsidRDefault="002249F5" w:rsidP="000D1264">
      <w:pPr>
        <w:jc w:val="both"/>
        <w:rPr>
          <w:rFonts w:cstheme="minorHAnsi"/>
          <w:b/>
          <w:bCs/>
        </w:rPr>
      </w:pPr>
      <w:r>
        <w:rPr>
          <w:rFonts w:cstheme="minorHAnsi"/>
          <w:b/>
          <w:bCs/>
        </w:rPr>
        <w:t xml:space="preserve">Breakdown of production costs for </w:t>
      </w:r>
      <w:r w:rsidR="00DD39FA">
        <w:rPr>
          <w:rFonts w:cstheme="minorHAnsi"/>
          <w:b/>
          <w:bCs/>
        </w:rPr>
        <w:t xml:space="preserve">the </w:t>
      </w:r>
      <w:r>
        <w:rPr>
          <w:rFonts w:cstheme="minorHAnsi"/>
          <w:b/>
          <w:bCs/>
        </w:rPr>
        <w:t>conventional and wind routes</w:t>
      </w:r>
    </w:p>
    <w:p w14:paraId="63F218AF" w14:textId="24AF713F" w:rsidR="00962843" w:rsidRDefault="00391C51" w:rsidP="000D1264">
      <w:pPr>
        <w:jc w:val="both"/>
        <w:rPr>
          <w:rFonts w:cstheme="minorHAnsi"/>
        </w:rPr>
      </w:pPr>
      <w:r>
        <w:rPr>
          <w:rFonts w:cstheme="minorHAnsi"/>
        </w:rPr>
        <w:t>From</w:t>
      </w:r>
      <w:r w:rsidR="00670B56">
        <w:rPr>
          <w:rFonts w:cstheme="minorHAnsi"/>
        </w:rPr>
        <w:t xml:space="preserve"> Figure 1 we can establish that hydrogen from water electrolysis using on-shore wind electricity for the production of both ammonia and methanol is the most </w:t>
      </w:r>
      <w:r w:rsidR="00B95AFB">
        <w:rPr>
          <w:rFonts w:cstheme="minorHAnsi"/>
        </w:rPr>
        <w:t xml:space="preserve">practical alternative </w:t>
      </w:r>
      <w:r w:rsidR="00670B56">
        <w:rPr>
          <w:rFonts w:cstheme="minorHAnsi"/>
        </w:rPr>
        <w:t xml:space="preserve">compared to the conventional routes of production. </w:t>
      </w:r>
      <w:r w:rsidR="004D5EA1">
        <w:rPr>
          <w:rFonts w:cstheme="minorHAnsi"/>
        </w:rPr>
        <w:t xml:space="preserve">To investigate further, </w:t>
      </w:r>
      <w:r w:rsidR="00E64625">
        <w:rPr>
          <w:rFonts w:cstheme="minorHAnsi"/>
        </w:rPr>
        <w:t xml:space="preserve">Figure 2 shows the breakdown of the </w:t>
      </w:r>
      <w:r w:rsidR="00BA6518">
        <w:rPr>
          <w:rFonts w:cstheme="minorHAnsi"/>
        </w:rPr>
        <w:t xml:space="preserve">production </w:t>
      </w:r>
      <w:r w:rsidR="00BA6518">
        <w:rPr>
          <w:rFonts w:cstheme="minorHAnsi"/>
        </w:rPr>
        <w:lastRenderedPageBreak/>
        <w:t>costs</w:t>
      </w:r>
      <w:r w:rsidR="00E64625">
        <w:rPr>
          <w:rFonts w:cstheme="minorHAnsi"/>
        </w:rPr>
        <w:t xml:space="preserve"> for conventional and wind routes of production for ammonia (Figure 2a) and methanol (Figure 2b)</w:t>
      </w:r>
      <w:r w:rsidR="00450A57">
        <w:rPr>
          <w:rFonts w:cstheme="minorHAnsi"/>
        </w:rPr>
        <w:t xml:space="preserve"> </w:t>
      </w:r>
      <w:r w:rsidR="003B1058">
        <w:rPr>
          <w:rFonts w:cstheme="minorHAnsi"/>
        </w:rPr>
        <w:t>in</w:t>
      </w:r>
      <w:r w:rsidR="00450A57">
        <w:rPr>
          <w:rFonts w:cstheme="minorHAnsi"/>
        </w:rPr>
        <w:t xml:space="preserve"> different months</w:t>
      </w:r>
      <w:r w:rsidR="00E64625">
        <w:rPr>
          <w:rFonts w:cstheme="minorHAnsi"/>
        </w:rPr>
        <w:t>.</w:t>
      </w:r>
      <w:r w:rsidR="00C52451">
        <w:rPr>
          <w:rFonts w:cstheme="minorHAnsi"/>
        </w:rPr>
        <w:t xml:space="preserve"> </w:t>
      </w:r>
      <w:r w:rsidR="000A7BEA">
        <w:rPr>
          <w:rFonts w:cstheme="minorHAnsi"/>
        </w:rPr>
        <w:t>Notably, for the year</w:t>
      </w:r>
      <w:r w:rsidR="00B42467">
        <w:rPr>
          <w:rFonts w:cstheme="minorHAnsi"/>
        </w:rPr>
        <w:t>s</w:t>
      </w:r>
      <w:r w:rsidR="000A7BEA">
        <w:rPr>
          <w:rFonts w:cstheme="minorHAnsi"/>
        </w:rPr>
        <w:t xml:space="preserve"> 2019 and 2020, we take average values for the breakdown calculations as the natural gas and electricity prices before July 2021 were approximately constant (</w:t>
      </w:r>
      <w:r w:rsidR="000A7BEA" w:rsidRPr="000A7BEA">
        <w:t>table</w:t>
      </w:r>
      <w:r w:rsidR="00A03762">
        <w:t> </w:t>
      </w:r>
      <w:r w:rsidR="000A7BEA" w:rsidRPr="000A7BEA">
        <w:t>xx</w:t>
      </w:r>
      <w:r w:rsidR="000A7BEA">
        <w:rPr>
          <w:rFonts w:cstheme="minorHAnsi"/>
        </w:rPr>
        <w:t xml:space="preserve">). </w:t>
      </w:r>
      <w:r w:rsidR="00E64625">
        <w:rPr>
          <w:rFonts w:cstheme="minorHAnsi"/>
        </w:rPr>
        <w:t xml:space="preserve"> </w:t>
      </w:r>
    </w:p>
    <w:p w14:paraId="1F345B88" w14:textId="49A5A2E5" w:rsidR="00EE5194" w:rsidRDefault="00EE5194" w:rsidP="000D1264">
      <w:pPr>
        <w:jc w:val="both"/>
        <w:rPr>
          <w:rFonts w:cstheme="minorHAnsi"/>
        </w:rPr>
      </w:pPr>
      <w:r>
        <w:rPr>
          <w:rFonts w:cstheme="minorHAnsi"/>
        </w:rPr>
        <w:t>For BAU ammonia (Figure 2a)</w:t>
      </w:r>
      <w:r w:rsidR="000879E4">
        <w:rPr>
          <w:rFonts w:cstheme="minorHAnsi"/>
        </w:rPr>
        <w:t>, the contribution of natural gas to production costs increased from 21.7% in 2020 (average) to 44.3% in July 2021. Further, the percentage share of natural gas increased to 66.3% in September 2022. Similarly, the contribution of electricity increased from 8.1% in 2020 (average) to 16.5% in September 2022. Green hydrogen from wind electrolysis has the highest share</w:t>
      </w:r>
      <w:r w:rsidR="006948E9">
        <w:rPr>
          <w:rFonts w:cstheme="minorHAnsi"/>
        </w:rPr>
        <w:t xml:space="preserve"> (66.7% to 83.3%) </w:t>
      </w:r>
      <w:r w:rsidR="00377C39">
        <w:rPr>
          <w:rFonts w:cstheme="minorHAnsi"/>
        </w:rPr>
        <w:t>of</w:t>
      </w:r>
      <w:r w:rsidR="006948E9">
        <w:rPr>
          <w:rFonts w:cstheme="minorHAnsi"/>
        </w:rPr>
        <w:t xml:space="preserve"> the production cost </w:t>
      </w:r>
      <w:r w:rsidR="003B1058">
        <w:rPr>
          <w:rFonts w:cstheme="minorHAnsi"/>
        </w:rPr>
        <w:t>for</w:t>
      </w:r>
      <w:r w:rsidR="006948E9">
        <w:rPr>
          <w:rFonts w:cstheme="minorHAnsi"/>
        </w:rPr>
        <w:t xml:space="preserve"> green ammonia (Figure 2</w:t>
      </w:r>
      <w:r w:rsidR="00FB60D1">
        <w:rPr>
          <w:rFonts w:cstheme="minorHAnsi"/>
        </w:rPr>
        <w:t>a</w:t>
      </w:r>
      <w:r w:rsidR="006948E9">
        <w:rPr>
          <w:rFonts w:cstheme="minorHAnsi"/>
        </w:rPr>
        <w:t>). Since wind electricity is used only for the electrolyzer, whereas for the compressors we utilize grid electricity, the share of grid electricity rose from 1.3% in 2020 (average) to 11.4% in September 2022.</w:t>
      </w:r>
    </w:p>
    <w:p w14:paraId="1A3FA619" w14:textId="77B4E7F0" w:rsidR="00C814D4" w:rsidRDefault="00C814D4" w:rsidP="000D1264">
      <w:pPr>
        <w:jc w:val="both"/>
        <w:rPr>
          <w:rFonts w:cstheme="minorHAnsi"/>
        </w:rPr>
      </w:pPr>
      <w:r>
        <w:rPr>
          <w:rFonts w:cstheme="minorHAnsi"/>
        </w:rPr>
        <w:t xml:space="preserve">Similarly, for the production of BAU methanol (Figure 2b), the share of natural gas increased from 32.3% in 2020 (average) to 57.8% in July 2021, and 76.9% in September 2022. Whereas, the contribution of electricity increased from 7.2% in 2020 (average) to 11.5% in September 2022. </w:t>
      </w:r>
      <w:r w:rsidR="00E77B34">
        <w:rPr>
          <w:rFonts w:cstheme="minorHAnsi"/>
        </w:rPr>
        <w:t>Hydrogen from wind electrolysis ha</w:t>
      </w:r>
      <w:r w:rsidR="00365C76">
        <w:rPr>
          <w:rFonts w:cstheme="minorHAnsi"/>
        </w:rPr>
        <w:t>d</w:t>
      </w:r>
      <w:r w:rsidR="00E77B34">
        <w:rPr>
          <w:rFonts w:cstheme="minorHAnsi"/>
        </w:rPr>
        <w:t xml:space="preserve"> the highest share of around 60.2% in July 2021 which decreased to 50.7% in September</w:t>
      </w:r>
      <w:r w:rsidR="008902FE">
        <w:rPr>
          <w:rFonts w:cstheme="minorHAnsi"/>
        </w:rPr>
        <w:t> </w:t>
      </w:r>
      <w:r w:rsidR="00E77B34">
        <w:rPr>
          <w:rFonts w:cstheme="minorHAnsi"/>
        </w:rPr>
        <w:t xml:space="preserve">2022 for the green methanol production route (Figure 2b). </w:t>
      </w:r>
      <w:r w:rsidR="009B64FA">
        <w:rPr>
          <w:rFonts w:cstheme="minorHAnsi"/>
        </w:rPr>
        <w:t xml:space="preserve">The share of carbon dioxide from DAC for green methanol production was about 16.5% in 2020 (average) and increased to 32.5% in September 2022. </w:t>
      </w:r>
      <w:r w:rsidR="00D77E48">
        <w:rPr>
          <w:rFonts w:cstheme="minorHAnsi"/>
        </w:rPr>
        <w:t xml:space="preserve">This increase can be attributed to the increase in natural gas prices which is required for the capture of carbon dioxide via DAC (0.11 tons of natural gas per ton of carbon dioxide). </w:t>
      </w:r>
    </w:p>
    <w:p w14:paraId="38D5365C" w14:textId="11C02F5A" w:rsidR="00DD39FA" w:rsidRDefault="001D352A" w:rsidP="000D1264">
      <w:pPr>
        <w:jc w:val="both"/>
        <w:rPr>
          <w:rFonts w:cstheme="minorHAnsi"/>
        </w:rPr>
      </w:pPr>
      <w:r>
        <w:rPr>
          <w:rFonts w:cstheme="minorHAnsi"/>
          <w:b/>
          <w:bCs/>
        </w:rPr>
        <w:t>CO</w:t>
      </w:r>
      <w:r w:rsidRPr="001D352A">
        <w:rPr>
          <w:rFonts w:cstheme="minorHAnsi"/>
          <w:b/>
          <w:bCs/>
          <w:vertAlign w:val="subscript"/>
        </w:rPr>
        <w:t>2</w:t>
      </w:r>
      <w:r>
        <w:rPr>
          <w:rFonts w:cstheme="minorHAnsi"/>
          <w:b/>
          <w:bCs/>
        </w:rPr>
        <w:t xml:space="preserve"> </w:t>
      </w:r>
      <w:r w:rsidR="00E16EC5">
        <w:rPr>
          <w:rFonts w:cstheme="minorHAnsi"/>
          <w:b/>
          <w:bCs/>
        </w:rPr>
        <w:t>avoidance costs</w:t>
      </w:r>
    </w:p>
    <w:p w14:paraId="14E53E9A" w14:textId="7304740D" w:rsidR="009A3F9F" w:rsidRDefault="009A3F9F" w:rsidP="000D1264">
      <w:pPr>
        <w:jc w:val="both"/>
        <w:rPr>
          <w:rFonts w:cstheme="minorHAnsi"/>
        </w:rPr>
      </w:pPr>
      <w:r>
        <w:rPr>
          <w:rFonts w:cstheme="minorHAnsi"/>
        </w:rPr>
        <w:t xml:space="preserve">The </w:t>
      </w:r>
      <w:r w:rsidR="00BB61DC" w:rsidRPr="00BB61DC">
        <w:rPr>
          <w:rFonts w:cstheme="minorHAnsi"/>
        </w:rPr>
        <w:t>CO</w:t>
      </w:r>
      <w:r w:rsidR="00BB61DC" w:rsidRPr="00BB61DC">
        <w:rPr>
          <w:rFonts w:cstheme="minorHAnsi"/>
          <w:vertAlign w:val="subscript"/>
        </w:rPr>
        <w:t>2</w:t>
      </w:r>
      <w:r w:rsidR="00BB61DC">
        <w:rPr>
          <w:rFonts w:cstheme="minorHAnsi"/>
          <w:b/>
          <w:bCs/>
          <w:vertAlign w:val="subscript"/>
        </w:rPr>
        <w:t xml:space="preserve"> </w:t>
      </w:r>
      <w:r>
        <w:rPr>
          <w:rFonts w:cstheme="minorHAnsi"/>
        </w:rPr>
        <w:t>avoidance costs in $ t</w:t>
      </w:r>
      <w:r w:rsidRPr="009A3F9F">
        <w:rPr>
          <w:rFonts w:cstheme="minorHAnsi"/>
          <w:vertAlign w:val="superscript"/>
        </w:rPr>
        <w:t>-1</w:t>
      </w:r>
      <w:r w:rsidRPr="00363CB5">
        <w:rPr>
          <w:rFonts w:cstheme="minorHAnsi"/>
          <w:vertAlign w:val="subscript"/>
        </w:rPr>
        <w:t>CO</w:t>
      </w:r>
      <w:r w:rsidRPr="00E07BC8">
        <w:rPr>
          <w:rFonts w:cstheme="minorHAnsi"/>
          <w:sz w:val="16"/>
          <w:szCs w:val="16"/>
          <w:vertAlign w:val="subscript"/>
        </w:rPr>
        <w:t>2eq</w:t>
      </w:r>
      <w:r w:rsidR="00363CB5" w:rsidRPr="00363CB5">
        <w:rPr>
          <w:rFonts w:cstheme="minorHAnsi"/>
        </w:rPr>
        <w:t xml:space="preserve"> </w:t>
      </w:r>
      <w:r w:rsidR="00363CB5">
        <w:rPr>
          <w:rFonts w:cstheme="minorHAnsi"/>
        </w:rPr>
        <w:t>are calculated as follows:</w:t>
      </w:r>
    </w:p>
    <w:p w14:paraId="5539DBCC" w14:textId="128E52B6" w:rsidR="00363CB5" w:rsidRPr="00C45253" w:rsidRDefault="00000000" w:rsidP="000D1264">
      <w:pPr>
        <w:jc w:val="both"/>
        <w:rPr>
          <w:rFonts w:eastAsiaTheme="minorEastAsia" w:cstheme="minorHAnsi"/>
          <w:i/>
        </w:rPr>
      </w:pPr>
      <m:oMathPara>
        <m:oMath>
          <m:sSub>
            <m:sSubPr>
              <m:ctrlPr>
                <w:rPr>
                  <w:rFonts w:ascii="Cambria Math" w:hAnsi="Cambria Math" w:cstheme="minorHAnsi"/>
                </w:rPr>
              </m:ctrlPr>
            </m:sSubPr>
            <m:e>
              <m:r>
                <m:rPr>
                  <m:nor/>
                </m:rPr>
                <w:rPr>
                  <w:rFonts w:cstheme="minorHAnsi"/>
                </w:rPr>
                <m:t>CO</m:t>
              </m:r>
            </m:e>
            <m:sub>
              <m:r>
                <m:rPr>
                  <m:nor/>
                </m:rPr>
                <w:rPr>
                  <w:rFonts w:cstheme="minorHAnsi"/>
                </w:rPr>
                <m:t>2</m:t>
              </m:r>
            </m:sub>
          </m:sSub>
          <m:r>
            <m:rPr>
              <m:nor/>
            </m:rPr>
            <w:rPr>
              <w:rFonts w:cstheme="minorHAnsi"/>
            </w:rPr>
            <m:t xml:space="preserve"> avoidance costs [</m:t>
          </m:r>
          <m:f>
            <m:fPr>
              <m:ctrlPr>
                <w:rPr>
                  <w:rFonts w:ascii="Cambria Math" w:hAnsi="Cambria Math" w:cstheme="minorHAnsi"/>
                </w:rPr>
              </m:ctrlPr>
            </m:fPr>
            <m:num>
              <m:r>
                <m:rPr>
                  <m:nor/>
                </m:rPr>
                <w:rPr>
                  <w:rFonts w:cstheme="minorHAnsi"/>
                </w:rPr>
                <m:t>$</m:t>
              </m:r>
            </m:num>
            <m:den>
              <m:sSubSup>
                <m:sSubSupPr>
                  <m:ctrlPr>
                    <w:rPr>
                      <w:rFonts w:ascii="Cambria Math" w:hAnsi="Cambria Math" w:cstheme="minorHAnsi"/>
                    </w:rPr>
                  </m:ctrlPr>
                </m:sSubSupPr>
                <m:e>
                  <m:r>
                    <m:rPr>
                      <m:nor/>
                    </m:rPr>
                    <w:rPr>
                      <w:rFonts w:cstheme="minorHAnsi"/>
                    </w:rPr>
                    <m:t>t</m:t>
                  </m:r>
                </m:e>
                <m:sub>
                  <m:sSub>
                    <m:sSubPr>
                      <m:ctrlPr>
                        <w:rPr>
                          <w:rFonts w:ascii="Cambria Math" w:hAnsi="Cambria Math" w:cstheme="minorHAnsi"/>
                        </w:rPr>
                      </m:ctrlPr>
                    </m:sSubPr>
                    <m:e>
                      <m:r>
                        <m:rPr>
                          <m:nor/>
                        </m:rPr>
                        <w:rPr>
                          <w:rFonts w:cstheme="minorHAnsi"/>
                        </w:rPr>
                        <m:t>CO</m:t>
                      </m:r>
                    </m:e>
                    <m:sub>
                      <m:r>
                        <m:rPr>
                          <m:nor/>
                        </m:rPr>
                        <w:rPr>
                          <w:rFonts w:cstheme="minorHAnsi"/>
                        </w:rPr>
                        <m:t>2eq</m:t>
                      </m:r>
                    </m:sub>
                  </m:sSub>
                </m:sub>
                <m:sup>
                  <m:r>
                    <m:rPr>
                      <m:nor/>
                    </m:rPr>
                    <w:rPr>
                      <w:rFonts w:cstheme="minorHAnsi"/>
                    </w:rPr>
                    <m:t>-1</m:t>
                  </m:r>
                </m:sup>
              </m:sSubSup>
            </m:den>
          </m:f>
          <m:r>
            <m:rPr>
              <m:nor/>
            </m:rPr>
            <w:rPr>
              <w:rFonts w:cstheme="minorHAnsi"/>
            </w:rPr>
            <m:t>] =</m:t>
          </m:r>
          <m:r>
            <m:rPr>
              <m:sty m:val="p"/>
            </m:rPr>
            <w:rPr>
              <w:rFonts w:ascii="Cambria Math" w:hAnsi="Cambria Math"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ALT</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P.C</m:t>
                  </m:r>
                </m:e>
                <m:sub>
                  <m:r>
                    <m:rPr>
                      <m:nor/>
                    </m:rPr>
                    <w:rPr>
                      <w:rFonts w:cstheme="minorHAnsi"/>
                    </w:rPr>
                    <m:t>BAU</m:t>
                  </m:r>
                </m:sub>
              </m:sSub>
            </m:num>
            <m:den>
              <m:sSub>
                <m:sSubPr>
                  <m:ctrlPr>
                    <w:rPr>
                      <w:rFonts w:ascii="Cambria Math" w:hAnsi="Cambria Math" w:cstheme="minorHAnsi"/>
                    </w:rPr>
                  </m:ctrlPr>
                </m:sSubPr>
                <m:e>
                  <m:r>
                    <m:rPr>
                      <m:nor/>
                    </m:rPr>
                    <w:rPr>
                      <w:rFonts w:cstheme="minorHAnsi"/>
                    </w:rPr>
                    <m:t>GWP</m:t>
                  </m:r>
                </m:e>
                <m:sub>
                  <m:r>
                    <m:rPr>
                      <m:nor/>
                    </m:rPr>
                    <w:rPr>
                      <w:rFonts w:cstheme="minorHAnsi"/>
                    </w:rPr>
                    <m:t>BAU</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GWP</m:t>
                  </m:r>
                </m:e>
                <m:sub>
                  <m:r>
                    <m:rPr>
                      <m:nor/>
                    </m:rPr>
                    <w:rPr>
                      <w:rFonts w:cstheme="minorHAnsi"/>
                    </w:rPr>
                    <m:t>ALT</m:t>
                  </m:r>
                </m:sub>
              </m:sSub>
            </m:den>
          </m:f>
        </m:oMath>
      </m:oMathPara>
    </w:p>
    <w:p w14:paraId="10C6E926" w14:textId="47667702" w:rsidR="00225F83" w:rsidRDefault="00D16B4C" w:rsidP="000D1264">
      <w:pPr>
        <w:jc w:val="both"/>
        <w:rPr>
          <w:rFonts w:eastAsiaTheme="minorEastAsia" w:cstheme="minorHAnsi"/>
          <w:iCs/>
        </w:rPr>
      </w:pPr>
      <w:r w:rsidRPr="00D16B4C">
        <w:rPr>
          <w:rFonts w:eastAsiaTheme="minorEastAsia" w:cstheme="minorHAnsi"/>
          <w:iCs/>
        </w:rPr>
        <w:t xml:space="preserve">where </w:t>
      </w:r>
      <w:proofErr w:type="gramStart"/>
      <w:r w:rsidRPr="00D16B4C">
        <w:rPr>
          <w:rFonts w:eastAsiaTheme="minorEastAsia" w:cstheme="minorHAnsi"/>
          <w:iCs/>
        </w:rPr>
        <w:t>P.C</w:t>
      </w:r>
      <w:r w:rsidRPr="00D16B4C">
        <w:rPr>
          <w:rFonts w:eastAsiaTheme="minorEastAsia" w:cstheme="minorHAnsi"/>
          <w:iCs/>
          <w:vertAlign w:val="subscript"/>
        </w:rPr>
        <w:t>BAU</w:t>
      </w:r>
      <w:proofErr w:type="gramEnd"/>
      <w:r w:rsidRPr="00D16B4C">
        <w:rPr>
          <w:rFonts w:eastAsiaTheme="minorEastAsia" w:cstheme="minorHAnsi"/>
          <w:iCs/>
          <w:vertAlign w:val="subscript"/>
        </w:rPr>
        <w:t>/</w:t>
      </w:r>
      <w:r w:rsidR="001E224F">
        <w:rPr>
          <w:rFonts w:eastAsiaTheme="minorEastAsia" w:cstheme="minorHAnsi"/>
          <w:iCs/>
          <w:vertAlign w:val="subscript"/>
        </w:rPr>
        <w:t>ALT</w:t>
      </w:r>
      <w:r w:rsidRPr="00D16B4C">
        <w:rPr>
          <w:rFonts w:eastAsiaTheme="minorEastAsia" w:cstheme="minorHAnsi"/>
          <w:iCs/>
          <w:vertAlign w:val="subscript"/>
        </w:rPr>
        <w:t xml:space="preserve"> </w:t>
      </w:r>
      <w:r>
        <w:rPr>
          <w:rFonts w:eastAsiaTheme="minorEastAsia" w:cstheme="minorHAnsi"/>
          <w:iCs/>
        </w:rPr>
        <w:t>represents the production cost in $ t</w:t>
      </w:r>
      <w:r w:rsidRPr="00D16B4C">
        <w:rPr>
          <w:rFonts w:eastAsiaTheme="minorEastAsia" w:cstheme="minorHAnsi"/>
          <w:iCs/>
          <w:vertAlign w:val="superscript"/>
        </w:rPr>
        <w:t>-1</w:t>
      </w:r>
      <w:r>
        <w:rPr>
          <w:rFonts w:eastAsiaTheme="minorEastAsia" w:cstheme="minorHAnsi"/>
          <w:iCs/>
          <w:vertAlign w:val="superscript"/>
        </w:rPr>
        <w:t xml:space="preserve"> </w:t>
      </w:r>
      <w:r>
        <w:rPr>
          <w:rFonts w:eastAsiaTheme="minorEastAsia" w:cstheme="minorHAnsi"/>
          <w:iCs/>
        </w:rPr>
        <w:t>for the conventional (BAU) and alternative</w:t>
      </w:r>
      <w:r w:rsidR="00B85324">
        <w:rPr>
          <w:rFonts w:eastAsiaTheme="minorEastAsia" w:cstheme="minorHAnsi"/>
          <w:iCs/>
        </w:rPr>
        <w:t xml:space="preserve"> </w:t>
      </w:r>
      <w:r w:rsidR="00E07BC8">
        <w:rPr>
          <w:rFonts w:eastAsiaTheme="minorEastAsia" w:cstheme="minorHAnsi"/>
          <w:iCs/>
        </w:rPr>
        <w:t>(ALT)</w:t>
      </w:r>
      <w:r>
        <w:rPr>
          <w:rFonts w:eastAsiaTheme="minorEastAsia" w:cstheme="minorHAnsi"/>
          <w:iCs/>
        </w:rPr>
        <w:t xml:space="preserve"> routes. Similarly, GWP</w:t>
      </w:r>
      <w:r w:rsidRPr="00E07BC8">
        <w:rPr>
          <w:rFonts w:eastAsiaTheme="minorEastAsia" w:cstheme="minorHAnsi"/>
          <w:iCs/>
          <w:vertAlign w:val="subscript"/>
        </w:rPr>
        <w:t>BAU/</w:t>
      </w:r>
      <w:r w:rsidR="00302CC2">
        <w:rPr>
          <w:rFonts w:eastAsiaTheme="minorEastAsia" w:cstheme="minorHAnsi"/>
          <w:iCs/>
          <w:vertAlign w:val="subscript"/>
        </w:rPr>
        <w:t>ALT</w:t>
      </w:r>
      <w:r w:rsidR="003E316C">
        <w:rPr>
          <w:rFonts w:eastAsiaTheme="minorEastAsia" w:cstheme="minorHAnsi"/>
          <w:iCs/>
          <w:vertAlign w:val="subscript"/>
        </w:rPr>
        <w:t xml:space="preserve"> </w:t>
      </w:r>
      <w:r>
        <w:rPr>
          <w:rFonts w:eastAsiaTheme="minorEastAsia" w:cstheme="minorHAnsi"/>
          <w:iCs/>
        </w:rPr>
        <w:t xml:space="preserve">represents the global warming potential </w:t>
      </w:r>
      <w:r w:rsidR="00E07BC8">
        <w:rPr>
          <w:rFonts w:eastAsiaTheme="minorEastAsia" w:cstheme="minorHAnsi"/>
          <w:iCs/>
        </w:rPr>
        <w:t>in t</w:t>
      </w:r>
      <w:r w:rsidR="00E07BC8" w:rsidRPr="00E07BC8">
        <w:rPr>
          <w:rFonts w:eastAsiaTheme="minorEastAsia" w:cstheme="minorHAnsi"/>
          <w:iCs/>
          <w:vertAlign w:val="subscript"/>
        </w:rPr>
        <w:t>CO</w:t>
      </w:r>
      <w:r w:rsidR="00E07BC8" w:rsidRPr="00E07BC8">
        <w:rPr>
          <w:rFonts w:eastAsiaTheme="minorEastAsia" w:cstheme="minorHAnsi"/>
          <w:iCs/>
          <w:sz w:val="16"/>
          <w:szCs w:val="16"/>
          <w:vertAlign w:val="subscript"/>
        </w:rPr>
        <w:t>2eq</w:t>
      </w:r>
      <w:r w:rsidR="00E07BC8">
        <w:rPr>
          <w:rFonts w:eastAsiaTheme="minorEastAsia" w:cstheme="minorHAnsi"/>
          <w:iCs/>
        </w:rPr>
        <w:t xml:space="preserve"> t</w:t>
      </w:r>
      <w:r w:rsidR="00E07BC8" w:rsidRPr="00E07BC8">
        <w:rPr>
          <w:rFonts w:eastAsiaTheme="minorEastAsia" w:cstheme="minorHAnsi"/>
          <w:iCs/>
          <w:vertAlign w:val="superscript"/>
        </w:rPr>
        <w:t>-1</w:t>
      </w:r>
      <w:r w:rsidR="00E07BC8" w:rsidRPr="00E07BC8">
        <w:rPr>
          <w:rFonts w:eastAsiaTheme="minorEastAsia" w:cstheme="minorHAnsi"/>
          <w:iCs/>
        </w:rPr>
        <w:t xml:space="preserve"> </w:t>
      </w:r>
      <w:r w:rsidR="00E07BC8">
        <w:rPr>
          <w:rFonts w:eastAsiaTheme="minorEastAsia" w:cstheme="minorHAnsi"/>
          <w:iCs/>
        </w:rPr>
        <w:t>for the conventional (BAU) and alternative (ALT) routes of production.</w:t>
      </w:r>
      <w:r w:rsidR="005E0E0D">
        <w:rPr>
          <w:rFonts w:eastAsiaTheme="minorEastAsia" w:cstheme="minorHAnsi"/>
          <w:iCs/>
        </w:rPr>
        <w:t xml:space="preserve"> </w:t>
      </w:r>
    </w:p>
    <w:p w14:paraId="6C4FB20F" w14:textId="31C7F7EF" w:rsidR="007D5052" w:rsidRPr="00D16B4C" w:rsidRDefault="00886AA8" w:rsidP="000D1264">
      <w:pPr>
        <w:jc w:val="both"/>
        <w:rPr>
          <w:rFonts w:eastAsiaTheme="minorEastAsia" w:cstheme="minorHAnsi"/>
          <w:iCs/>
        </w:rPr>
      </w:pPr>
      <w:r>
        <w:rPr>
          <w:rFonts w:eastAsiaTheme="minorEastAsia" w:cstheme="minorHAnsi"/>
          <w:iCs/>
        </w:rPr>
        <w:t>In Figure</w:t>
      </w:r>
      <w:r w:rsidR="00200894">
        <w:rPr>
          <w:rFonts w:eastAsiaTheme="minorEastAsia" w:cstheme="minorHAnsi"/>
          <w:iCs/>
        </w:rPr>
        <w:t xml:space="preserve"> </w:t>
      </w:r>
      <w:r>
        <w:rPr>
          <w:rFonts w:eastAsiaTheme="minorEastAsia" w:cstheme="minorHAnsi"/>
          <w:iCs/>
        </w:rPr>
        <w:t>3, the avoidance costs of all the alternative routes of production considered for ammonia (Figure</w:t>
      </w:r>
      <w:r w:rsidR="00A34EAB">
        <w:rPr>
          <w:rFonts w:eastAsiaTheme="minorEastAsia" w:cstheme="minorHAnsi"/>
          <w:iCs/>
        </w:rPr>
        <w:t> </w:t>
      </w:r>
      <w:r>
        <w:rPr>
          <w:rFonts w:eastAsiaTheme="minorEastAsia" w:cstheme="minorHAnsi"/>
          <w:iCs/>
        </w:rPr>
        <w:t>3a) and methanol (Figure 3b) are shown.</w:t>
      </w:r>
      <w:r w:rsidR="00481E65">
        <w:rPr>
          <w:rFonts w:eastAsiaTheme="minorEastAsia" w:cstheme="minorHAnsi"/>
          <w:iCs/>
        </w:rPr>
        <w:t xml:space="preserve"> </w:t>
      </w:r>
      <w:r w:rsidR="007D5052">
        <w:rPr>
          <w:rFonts w:eastAsiaTheme="minorEastAsia" w:cstheme="minorHAnsi"/>
          <w:iCs/>
        </w:rPr>
        <w:t xml:space="preserve">Again, average values are considered for the years 2019 and 2020. It can be seen that the avoidance costs follow an inverse trend to the natural gas price. </w:t>
      </w:r>
      <w:r w:rsidR="00225F83">
        <w:rPr>
          <w:rFonts w:eastAsiaTheme="minorEastAsia" w:cstheme="minorHAnsi"/>
          <w:iCs/>
        </w:rPr>
        <w:t xml:space="preserve">As natural gas prices increase, we spend less money for every ton of carbon dioxide emissions avoided. </w:t>
      </w:r>
      <w:r w:rsidR="00F54CFB">
        <w:rPr>
          <w:rFonts w:eastAsiaTheme="minorEastAsia" w:cstheme="minorHAnsi"/>
          <w:iCs/>
        </w:rPr>
        <w:t xml:space="preserve">Negative avoidance costs signify that the cost of production of BAU ammonia or methanol </w:t>
      </w:r>
      <w:r w:rsidR="00132488">
        <w:rPr>
          <w:rFonts w:eastAsiaTheme="minorEastAsia" w:cstheme="minorHAnsi"/>
          <w:iCs/>
        </w:rPr>
        <w:t>is</w:t>
      </w:r>
      <w:r w:rsidR="00F54CFB">
        <w:rPr>
          <w:rFonts w:eastAsiaTheme="minorEastAsia" w:cstheme="minorHAnsi"/>
          <w:iCs/>
        </w:rPr>
        <w:t xml:space="preserve"> higher than the alternative route. As a result, we save money for every ton of carbon dioxide emissions avoided. </w:t>
      </w:r>
      <w:r w:rsidR="006F6D47">
        <w:rPr>
          <w:rFonts w:eastAsiaTheme="minorEastAsia" w:cstheme="minorHAnsi"/>
          <w:iCs/>
        </w:rPr>
        <w:t xml:space="preserve">Since July 2021, we save around 125$ to 638$ per ton of carbon dioxide avoided </w:t>
      </w:r>
      <w:r w:rsidR="009A7C85">
        <w:rPr>
          <w:rFonts w:eastAsiaTheme="minorEastAsia" w:cstheme="minorHAnsi"/>
          <w:iCs/>
        </w:rPr>
        <w:t>via</w:t>
      </w:r>
      <w:r w:rsidR="006F6D47">
        <w:rPr>
          <w:rFonts w:eastAsiaTheme="minorEastAsia" w:cstheme="minorHAnsi"/>
          <w:iCs/>
        </w:rPr>
        <w:t xml:space="preserve"> the wind route for </w:t>
      </w:r>
      <w:r w:rsidR="009A7C85">
        <w:rPr>
          <w:rFonts w:eastAsiaTheme="minorEastAsia" w:cstheme="minorHAnsi"/>
          <w:iCs/>
        </w:rPr>
        <w:t>ammonia production</w:t>
      </w:r>
      <w:r w:rsidR="006F6D47">
        <w:rPr>
          <w:rFonts w:eastAsiaTheme="minorEastAsia" w:cstheme="minorHAnsi"/>
          <w:iCs/>
        </w:rPr>
        <w:t xml:space="preserve"> (Figure 3a). Similarly, in August 2022 for methanol via wind, savings stood at around 325$ per ton of carbon dioxide avoided. </w:t>
      </w:r>
    </w:p>
    <w:p w14:paraId="3D8AFB3A" w14:textId="77777777" w:rsidR="001D352A" w:rsidRPr="00D16B4C" w:rsidRDefault="001D352A" w:rsidP="000D1264">
      <w:pPr>
        <w:jc w:val="both"/>
        <w:rPr>
          <w:rFonts w:cstheme="minorHAnsi"/>
        </w:rPr>
      </w:pPr>
    </w:p>
    <w:p w14:paraId="0EAD0B5B" w14:textId="1989F4C2" w:rsidR="00CE5BCE" w:rsidRDefault="00CE5BCE" w:rsidP="000D1264">
      <w:pPr>
        <w:jc w:val="both"/>
        <w:rPr>
          <w:rFonts w:cstheme="minorHAnsi"/>
        </w:rPr>
      </w:pPr>
      <w:r>
        <w:rPr>
          <w:rFonts w:cstheme="minorHAnsi"/>
          <w:noProof/>
        </w:rPr>
        <w:lastRenderedPageBreak/>
        <w:drawing>
          <wp:inline distT="0" distB="0" distL="0" distR="0" wp14:anchorId="4B339934" wp14:editId="1C1CE195">
            <wp:extent cx="5972810" cy="605536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6055360"/>
                    </a:xfrm>
                    <a:prstGeom prst="rect">
                      <a:avLst/>
                    </a:prstGeom>
                  </pic:spPr>
                </pic:pic>
              </a:graphicData>
            </a:graphic>
          </wp:inline>
        </w:drawing>
      </w:r>
    </w:p>
    <w:p w14:paraId="1ED42A08" w14:textId="5DA7E5A1" w:rsidR="00673104" w:rsidRPr="005A109C" w:rsidRDefault="00673104" w:rsidP="000D1264">
      <w:pPr>
        <w:jc w:val="both"/>
        <w:rPr>
          <w:rFonts w:cstheme="minorHAnsi"/>
        </w:rPr>
      </w:pPr>
      <w:r w:rsidRPr="005A109C">
        <w:rPr>
          <w:rFonts w:cstheme="minorHAnsi"/>
          <w:b/>
          <w:bCs/>
        </w:rPr>
        <w:t xml:space="preserve">Fig. 3 </w:t>
      </w:r>
      <w:r w:rsidRPr="005A109C">
        <w:rPr>
          <w:rFonts w:cstheme="minorHAnsi"/>
        </w:rPr>
        <w:t>CO</w:t>
      </w:r>
      <w:r w:rsidRPr="005A109C">
        <w:rPr>
          <w:rFonts w:cstheme="minorHAnsi"/>
          <w:vertAlign w:val="subscript"/>
        </w:rPr>
        <w:t>2</w:t>
      </w:r>
      <w:r w:rsidRPr="005A109C">
        <w:rPr>
          <w:rFonts w:cstheme="minorHAnsi"/>
        </w:rPr>
        <w:t xml:space="preserve"> avoidance costs for (a) ammonia, and (b) methanol. The GWP values used are given in table </w:t>
      </w:r>
      <w:r w:rsidR="00FD62C2">
        <w:rPr>
          <w:rFonts w:cstheme="minorHAnsi"/>
        </w:rPr>
        <w:t>xx</w:t>
      </w:r>
      <w:r w:rsidRPr="005A109C">
        <w:rPr>
          <w:rFonts w:cstheme="minorHAnsi"/>
        </w:rPr>
        <w:t xml:space="preserve"> and table </w:t>
      </w:r>
      <w:r w:rsidR="00FD62C2">
        <w:rPr>
          <w:rFonts w:cstheme="minorHAnsi"/>
        </w:rPr>
        <w:t>xx</w:t>
      </w:r>
      <w:r w:rsidRPr="005A109C">
        <w:rPr>
          <w:rFonts w:cstheme="minorHAnsi"/>
        </w:rPr>
        <w:t xml:space="preserve"> for ammonia and methanol, respectively. The error bars are the sensitivity analysis due to the levelized cost of hydrogen (table </w:t>
      </w:r>
      <w:r>
        <w:rPr>
          <w:rFonts w:cstheme="minorHAnsi"/>
        </w:rPr>
        <w:t>xx</w:t>
      </w:r>
      <w:r w:rsidRPr="005A109C">
        <w:rPr>
          <w:rFonts w:cstheme="minorHAnsi"/>
        </w:rPr>
        <w:t>).</w:t>
      </w:r>
    </w:p>
    <w:bookmarkEnd w:id="0"/>
    <w:p w14:paraId="5C7F6861" w14:textId="77777777" w:rsidR="00673104" w:rsidRPr="00C65C7B" w:rsidRDefault="00673104" w:rsidP="000D1264">
      <w:pPr>
        <w:jc w:val="both"/>
        <w:rPr>
          <w:rFonts w:cstheme="minorHAnsi"/>
        </w:rPr>
      </w:pPr>
    </w:p>
    <w:sectPr w:rsidR="00673104" w:rsidRPr="00C65C7B">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375F6" w14:textId="77777777" w:rsidR="00973E0B" w:rsidRDefault="00973E0B" w:rsidP="00673104">
      <w:pPr>
        <w:spacing w:after="0" w:line="240" w:lineRule="auto"/>
      </w:pPr>
      <w:r>
        <w:separator/>
      </w:r>
    </w:p>
  </w:endnote>
  <w:endnote w:type="continuationSeparator" w:id="0">
    <w:p w14:paraId="4C8D0F7D" w14:textId="77777777" w:rsidR="00973E0B" w:rsidRDefault="00973E0B" w:rsidP="00673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C5B0" w14:textId="77777777" w:rsidR="00673104" w:rsidRDefault="006731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75ED" w14:textId="77777777" w:rsidR="00673104" w:rsidRDefault="006731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2DC0B" w14:textId="77777777" w:rsidR="00673104" w:rsidRDefault="00673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50014" w14:textId="77777777" w:rsidR="00973E0B" w:rsidRDefault="00973E0B" w:rsidP="00673104">
      <w:pPr>
        <w:spacing w:after="0" w:line="240" w:lineRule="auto"/>
      </w:pPr>
      <w:r>
        <w:separator/>
      </w:r>
    </w:p>
  </w:footnote>
  <w:footnote w:type="continuationSeparator" w:id="0">
    <w:p w14:paraId="36AA3D8D" w14:textId="77777777" w:rsidR="00973E0B" w:rsidRDefault="00973E0B" w:rsidP="00673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E53EE" w14:textId="77777777" w:rsidR="00673104" w:rsidRDefault="006731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7C62C" w14:textId="77777777" w:rsidR="00673104" w:rsidRDefault="006731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C425F" w14:textId="77777777" w:rsidR="00673104" w:rsidRDefault="006731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NDE1MjEzMDa3NDRQ0lEKTi0uzszPAykwqgUAYhEP2CwAAAA="/>
  </w:docVars>
  <w:rsids>
    <w:rsidRoot w:val="003E51E5"/>
    <w:rsid w:val="00006AE4"/>
    <w:rsid w:val="00063DE3"/>
    <w:rsid w:val="00067F1B"/>
    <w:rsid w:val="000743E4"/>
    <w:rsid w:val="00074740"/>
    <w:rsid w:val="000879E4"/>
    <w:rsid w:val="000932AD"/>
    <w:rsid w:val="000A2F79"/>
    <w:rsid w:val="000A7BEA"/>
    <w:rsid w:val="000D1264"/>
    <w:rsid w:val="000F77FD"/>
    <w:rsid w:val="00132488"/>
    <w:rsid w:val="00134B2D"/>
    <w:rsid w:val="00142AC5"/>
    <w:rsid w:val="00180B18"/>
    <w:rsid w:val="00182D35"/>
    <w:rsid w:val="00195899"/>
    <w:rsid w:val="001D1DA7"/>
    <w:rsid w:val="001D352A"/>
    <w:rsid w:val="001D5607"/>
    <w:rsid w:val="001E224F"/>
    <w:rsid w:val="00200894"/>
    <w:rsid w:val="002122C3"/>
    <w:rsid w:val="00222E74"/>
    <w:rsid w:val="002249F5"/>
    <w:rsid w:val="00225F83"/>
    <w:rsid w:val="00236C00"/>
    <w:rsid w:val="00241861"/>
    <w:rsid w:val="00243548"/>
    <w:rsid w:val="00270ED3"/>
    <w:rsid w:val="002835FC"/>
    <w:rsid w:val="00290936"/>
    <w:rsid w:val="0029484F"/>
    <w:rsid w:val="00295EAC"/>
    <w:rsid w:val="002A6A6C"/>
    <w:rsid w:val="002B1AE9"/>
    <w:rsid w:val="002E2FCA"/>
    <w:rsid w:val="002E56C0"/>
    <w:rsid w:val="00302CC2"/>
    <w:rsid w:val="00317F2E"/>
    <w:rsid w:val="003462B0"/>
    <w:rsid w:val="00355B42"/>
    <w:rsid w:val="003635EF"/>
    <w:rsid w:val="00363CB5"/>
    <w:rsid w:val="00365C76"/>
    <w:rsid w:val="00377C39"/>
    <w:rsid w:val="00391C51"/>
    <w:rsid w:val="003B1058"/>
    <w:rsid w:val="003C47DD"/>
    <w:rsid w:val="003E316C"/>
    <w:rsid w:val="003E51E5"/>
    <w:rsid w:val="003F7D95"/>
    <w:rsid w:val="00420B11"/>
    <w:rsid w:val="00450A57"/>
    <w:rsid w:val="00481E65"/>
    <w:rsid w:val="004913C8"/>
    <w:rsid w:val="004D00E2"/>
    <w:rsid w:val="004D2190"/>
    <w:rsid w:val="004D3F15"/>
    <w:rsid w:val="004D5EA1"/>
    <w:rsid w:val="004F67CC"/>
    <w:rsid w:val="00515EBE"/>
    <w:rsid w:val="005216FF"/>
    <w:rsid w:val="00525F80"/>
    <w:rsid w:val="00593717"/>
    <w:rsid w:val="00596023"/>
    <w:rsid w:val="005C3252"/>
    <w:rsid w:val="005D2E59"/>
    <w:rsid w:val="005E0E0D"/>
    <w:rsid w:val="005F63C6"/>
    <w:rsid w:val="00625954"/>
    <w:rsid w:val="00641520"/>
    <w:rsid w:val="00670B56"/>
    <w:rsid w:val="00673104"/>
    <w:rsid w:val="00685F5E"/>
    <w:rsid w:val="00692538"/>
    <w:rsid w:val="006948E9"/>
    <w:rsid w:val="006B7F78"/>
    <w:rsid w:val="006D23FF"/>
    <w:rsid w:val="006F6D47"/>
    <w:rsid w:val="00712FB2"/>
    <w:rsid w:val="00745805"/>
    <w:rsid w:val="00762F3A"/>
    <w:rsid w:val="007B4F2E"/>
    <w:rsid w:val="007D5052"/>
    <w:rsid w:val="00876D32"/>
    <w:rsid w:val="00886AA8"/>
    <w:rsid w:val="008902FE"/>
    <w:rsid w:val="008F63D5"/>
    <w:rsid w:val="00906FC2"/>
    <w:rsid w:val="00926480"/>
    <w:rsid w:val="00926BC2"/>
    <w:rsid w:val="00954DE4"/>
    <w:rsid w:val="00962843"/>
    <w:rsid w:val="00963189"/>
    <w:rsid w:val="00973E0B"/>
    <w:rsid w:val="009904EE"/>
    <w:rsid w:val="009A3F9F"/>
    <w:rsid w:val="009A7C85"/>
    <w:rsid w:val="009B64FA"/>
    <w:rsid w:val="009E0FA8"/>
    <w:rsid w:val="00A03762"/>
    <w:rsid w:val="00A13B1B"/>
    <w:rsid w:val="00A34EAB"/>
    <w:rsid w:val="00A352E7"/>
    <w:rsid w:val="00A812BD"/>
    <w:rsid w:val="00AA2EEA"/>
    <w:rsid w:val="00AD2216"/>
    <w:rsid w:val="00AF69DF"/>
    <w:rsid w:val="00B1310E"/>
    <w:rsid w:val="00B37C26"/>
    <w:rsid w:val="00B42467"/>
    <w:rsid w:val="00B42A68"/>
    <w:rsid w:val="00B80E4D"/>
    <w:rsid w:val="00B85324"/>
    <w:rsid w:val="00B95AFB"/>
    <w:rsid w:val="00B975FB"/>
    <w:rsid w:val="00BA5259"/>
    <w:rsid w:val="00BA6518"/>
    <w:rsid w:val="00BB61DC"/>
    <w:rsid w:val="00BC78E9"/>
    <w:rsid w:val="00BD28D6"/>
    <w:rsid w:val="00BD2D0E"/>
    <w:rsid w:val="00C03D02"/>
    <w:rsid w:val="00C407F0"/>
    <w:rsid w:val="00C41893"/>
    <w:rsid w:val="00C45253"/>
    <w:rsid w:val="00C52451"/>
    <w:rsid w:val="00C65C7B"/>
    <w:rsid w:val="00C77BB2"/>
    <w:rsid w:val="00C814D4"/>
    <w:rsid w:val="00CA2F84"/>
    <w:rsid w:val="00CD4B33"/>
    <w:rsid w:val="00CE5BCE"/>
    <w:rsid w:val="00CF330D"/>
    <w:rsid w:val="00D0204E"/>
    <w:rsid w:val="00D16B4C"/>
    <w:rsid w:val="00D3376F"/>
    <w:rsid w:val="00D561A8"/>
    <w:rsid w:val="00D77E48"/>
    <w:rsid w:val="00DD39FA"/>
    <w:rsid w:val="00E079E8"/>
    <w:rsid w:val="00E07BC8"/>
    <w:rsid w:val="00E16EC5"/>
    <w:rsid w:val="00E64625"/>
    <w:rsid w:val="00E77B34"/>
    <w:rsid w:val="00EE5194"/>
    <w:rsid w:val="00F03F5A"/>
    <w:rsid w:val="00F12109"/>
    <w:rsid w:val="00F1570A"/>
    <w:rsid w:val="00F20B5E"/>
    <w:rsid w:val="00F3088B"/>
    <w:rsid w:val="00F5302E"/>
    <w:rsid w:val="00F5495B"/>
    <w:rsid w:val="00F54CFB"/>
    <w:rsid w:val="00F90E08"/>
    <w:rsid w:val="00FB60D1"/>
    <w:rsid w:val="00FD62C2"/>
    <w:rsid w:val="00FF1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A144"/>
  <w15:chartTrackingRefBased/>
  <w15:docId w15:val="{263F73D5-40C9-426F-A7EB-14C87E18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7BB2"/>
    <w:rPr>
      <w:color w:val="0563C1" w:themeColor="hyperlink"/>
      <w:u w:val="single"/>
    </w:rPr>
  </w:style>
  <w:style w:type="character" w:styleId="UnresolvedMention">
    <w:name w:val="Unresolved Mention"/>
    <w:basedOn w:val="DefaultParagraphFont"/>
    <w:uiPriority w:val="99"/>
    <w:semiHidden/>
    <w:unhideWhenUsed/>
    <w:rsid w:val="00C77BB2"/>
    <w:rPr>
      <w:color w:val="605E5C"/>
      <w:shd w:val="clear" w:color="auto" w:fill="E1DFDD"/>
    </w:rPr>
  </w:style>
  <w:style w:type="paragraph" w:styleId="Header">
    <w:name w:val="header"/>
    <w:basedOn w:val="Normal"/>
    <w:link w:val="HeaderChar"/>
    <w:uiPriority w:val="99"/>
    <w:unhideWhenUsed/>
    <w:rsid w:val="00673104"/>
    <w:pPr>
      <w:tabs>
        <w:tab w:val="center" w:pos="4703"/>
        <w:tab w:val="right" w:pos="9406"/>
      </w:tabs>
      <w:spacing w:after="0" w:line="240" w:lineRule="auto"/>
    </w:pPr>
  </w:style>
  <w:style w:type="character" w:customStyle="1" w:styleId="HeaderChar">
    <w:name w:val="Header Char"/>
    <w:basedOn w:val="DefaultParagraphFont"/>
    <w:link w:val="Header"/>
    <w:uiPriority w:val="99"/>
    <w:rsid w:val="00673104"/>
  </w:style>
  <w:style w:type="paragraph" w:styleId="Footer">
    <w:name w:val="footer"/>
    <w:basedOn w:val="Normal"/>
    <w:link w:val="FooterChar"/>
    <w:uiPriority w:val="99"/>
    <w:unhideWhenUsed/>
    <w:rsid w:val="00673104"/>
    <w:pPr>
      <w:tabs>
        <w:tab w:val="center" w:pos="4703"/>
        <w:tab w:val="right" w:pos="9406"/>
      </w:tabs>
      <w:spacing w:after="0" w:line="240" w:lineRule="auto"/>
    </w:pPr>
  </w:style>
  <w:style w:type="character" w:customStyle="1" w:styleId="FooterChar">
    <w:name w:val="Footer Char"/>
    <w:basedOn w:val="DefaultParagraphFont"/>
    <w:link w:val="Footer"/>
    <w:uiPriority w:val="99"/>
    <w:rsid w:val="00673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acs.org/doi/10.1021/acssuschemeng.1c01915" TargetMode="Externa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pubs.acs.org/doi/10.1021/acssuschemeng.1c01915" TargetMode="External"/><Relationship Id="rId12" Type="http://schemas.openxmlformats.org/officeDocument/2006/relationships/hyperlink" Target="https://www.sciencedirect.com/science/article/pii/S0009250921004565"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eader.elsevier.com/reader/sd/pii/S0306261911004168?token=871B13B1E9F6BDE8789C4F77FAF36531E5E009031FCCA76F1B072F5620C3E40C4B47EB146424C0505BE6666348E88BF3&amp;originRegion=eu-west-1&amp;originCreation=20221123151138"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www.irena.org/publications/2022/Jul/Renewable-Power-Generation-Costs-in-2021"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pubs.acs.org/doi/10.1021/acssuschemeng.1c01915" TargetMode="Externa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220</cp:revision>
  <dcterms:created xsi:type="dcterms:W3CDTF">2022-11-22T18:15:00Z</dcterms:created>
  <dcterms:modified xsi:type="dcterms:W3CDTF">2022-12-05T15:43:00Z</dcterms:modified>
</cp:coreProperties>
</file>