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A342" w14:textId="23A2C3F4" w:rsidR="00AF59B3" w:rsidRPr="002D4245" w:rsidRDefault="00AF59B3" w:rsidP="00AF59B3">
      <w:pPr>
        <w:pStyle w:val="Heading1"/>
        <w:spacing w:before="0" w:after="160"/>
        <w:jc w:val="left"/>
        <w:rPr>
          <w:rFonts w:asciiTheme="minorHAnsi" w:hAnsiTheme="minorHAnsi" w:cstheme="minorHAnsi"/>
          <w:lang w:val="en-US"/>
        </w:rPr>
      </w:pPr>
      <w:r w:rsidRPr="002D4245">
        <w:rPr>
          <w:rFonts w:asciiTheme="minorHAnsi" w:hAnsiTheme="minorHAnsi" w:cstheme="minorHAnsi"/>
          <w:lang w:val="en-US"/>
        </w:rPr>
        <w:t>Natural gas crisis in Europe revamps green chemicals into win-win solutions</w:t>
      </w:r>
    </w:p>
    <w:p w14:paraId="088BF8DE" w14:textId="77777777" w:rsidR="00AF59B3" w:rsidRPr="002D4245" w:rsidRDefault="00AF59B3" w:rsidP="00AF59B3">
      <w:pPr>
        <w:rPr>
          <w:rFonts w:cstheme="minorHAnsi"/>
          <w:vertAlign w:val="superscript"/>
        </w:rPr>
      </w:pPr>
      <w:r w:rsidRPr="002D4245">
        <w:rPr>
          <w:rFonts w:cstheme="minorHAnsi"/>
        </w:rPr>
        <w:t>Abhinandan Nabera, Ioan-Robert Istrate, Javier Pérez-Ramírez and Gonzalo Guillén-Gosálbez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8" w:history="1">
        <w:r w:rsidRPr="002D4245">
          <w:rPr>
            <w:rStyle w:val="Hyperlink"/>
            <w:rFonts w:cstheme="minorHAnsi"/>
            <w:sz w:val="20"/>
            <w:szCs w:val="20"/>
          </w:rPr>
          <w:t>gonzalo.guillen.gosalbez@chem.ethz.ch</w:t>
        </w:r>
      </w:hyperlink>
    </w:p>
    <w:p w14:paraId="1E8836B5" w14:textId="77777777" w:rsidR="00AF59B3" w:rsidRPr="002D4245" w:rsidRDefault="00AF59B3" w:rsidP="00AF59B3">
      <w:pPr>
        <w:pStyle w:val="Heading2"/>
        <w:rPr>
          <w:rFonts w:cstheme="minorHAnsi"/>
        </w:rPr>
      </w:pPr>
      <w:r w:rsidRPr="002D4245">
        <w:rPr>
          <w:rFonts w:cstheme="minorHAnsi"/>
        </w:rPr>
        <w:t>Context and scale</w:t>
      </w:r>
    </w:p>
    <w:p w14:paraId="6AA7921F" w14:textId="3DD8B889" w:rsidR="00AF59B3" w:rsidRPr="002D4245" w:rsidRDefault="00E474E5" w:rsidP="00AF59B3">
      <w:pPr>
        <w:rPr>
          <w:rFonts w:cstheme="minorHAnsi"/>
          <w:bCs/>
          <w:szCs w:val="28"/>
        </w:rPr>
      </w:pPr>
      <w:r>
        <w:rPr>
          <w:rFonts w:cstheme="minorHAnsi"/>
          <w:bCs/>
          <w:szCs w:val="28"/>
        </w:rPr>
        <w:t>Ammonia and methanol are two of the most important chemicals which are used in our daily lives. Both these chemicals majorly use natural gas as a feedstock for their production which results in higher CO</w:t>
      </w:r>
      <w:r w:rsidRPr="00E474E5">
        <w:rPr>
          <w:rFonts w:cstheme="minorHAnsi"/>
          <w:bCs/>
          <w:szCs w:val="28"/>
          <w:vertAlign w:val="subscript"/>
        </w:rPr>
        <w:t>2</w:t>
      </w:r>
      <w:r>
        <w:rPr>
          <w:rFonts w:cstheme="minorHAnsi"/>
          <w:bCs/>
          <w:szCs w:val="28"/>
        </w:rPr>
        <w:t xml:space="preserve"> emissions. A variety of research has been carried out in abundance to produce these chemicals in a more environmentally sustainable manner. However, the economics of such alternative routes of production </w:t>
      </w:r>
      <w:r w:rsidR="00FC1F2C">
        <w:rPr>
          <w:rFonts w:cstheme="minorHAnsi"/>
          <w:bCs/>
          <w:szCs w:val="28"/>
        </w:rPr>
        <w:t>was found to be</w:t>
      </w:r>
      <w:r>
        <w:rPr>
          <w:rFonts w:cstheme="minorHAnsi"/>
          <w:bCs/>
          <w:szCs w:val="28"/>
        </w:rPr>
        <w:t xml:space="preserve"> infeasible. </w:t>
      </w:r>
      <w:r w:rsidR="009041C9">
        <w:rPr>
          <w:rFonts w:cstheme="minorHAnsi"/>
          <w:bCs/>
          <w:szCs w:val="28"/>
        </w:rPr>
        <w:t>Nonetheless, the current scenario in Europe paints a d</w:t>
      </w:r>
      <w:r>
        <w:rPr>
          <w:rFonts w:cstheme="minorHAnsi"/>
          <w:bCs/>
          <w:szCs w:val="28"/>
        </w:rPr>
        <w:t>ifferent picture</w:t>
      </w:r>
      <w:r w:rsidR="009041C9">
        <w:rPr>
          <w:rFonts w:cstheme="minorHAnsi"/>
          <w:bCs/>
          <w:szCs w:val="28"/>
        </w:rPr>
        <w:t xml:space="preserve"> </w:t>
      </w:r>
      <w:r>
        <w:rPr>
          <w:rFonts w:cstheme="minorHAnsi"/>
          <w:bCs/>
          <w:szCs w:val="28"/>
        </w:rPr>
        <w:t>when natural gas prices become volatile</w:t>
      </w:r>
      <w:r w:rsidR="009041C9">
        <w:rPr>
          <w:rFonts w:cstheme="minorHAnsi"/>
          <w:bCs/>
          <w:szCs w:val="28"/>
        </w:rPr>
        <w:t>.</w:t>
      </w:r>
      <w:r>
        <w:rPr>
          <w:rFonts w:cstheme="minorHAnsi"/>
          <w:bCs/>
          <w:szCs w:val="28"/>
        </w:rPr>
        <w:t xml:space="preserve"> In this work, a </w:t>
      </w:r>
      <w:r w:rsidR="003049C8">
        <w:rPr>
          <w:rFonts w:cstheme="minorHAnsi"/>
          <w:bCs/>
          <w:szCs w:val="28"/>
        </w:rPr>
        <w:t>cost</w:t>
      </w:r>
      <w:r w:rsidR="006E1C64">
        <w:rPr>
          <w:rFonts w:cstheme="minorHAnsi"/>
          <w:bCs/>
          <w:szCs w:val="28"/>
        </w:rPr>
        <w:t>-benefit</w:t>
      </w:r>
      <w:r>
        <w:rPr>
          <w:rFonts w:cstheme="minorHAnsi"/>
          <w:bCs/>
          <w:szCs w:val="28"/>
        </w:rPr>
        <w:t xml:space="preserve"> analysis </w:t>
      </w:r>
      <w:r w:rsidR="00945C5B">
        <w:rPr>
          <w:rFonts w:cstheme="minorHAnsi"/>
          <w:bCs/>
          <w:szCs w:val="28"/>
        </w:rPr>
        <w:t>of</w:t>
      </w:r>
      <w:r>
        <w:rPr>
          <w:rFonts w:cstheme="minorHAnsi"/>
          <w:bCs/>
          <w:szCs w:val="28"/>
        </w:rPr>
        <w:t xml:space="preserve"> the changing production costs for fossil ammonia and methanol is compared with the greener routes of production </w:t>
      </w:r>
      <w:r w:rsidR="009041C9">
        <w:rPr>
          <w:rFonts w:cstheme="minorHAnsi"/>
          <w:bCs/>
          <w:szCs w:val="28"/>
        </w:rPr>
        <w:t>as a result of the current state of affairs</w:t>
      </w:r>
      <w:r>
        <w:rPr>
          <w:rFonts w:cstheme="minorHAnsi"/>
          <w:bCs/>
          <w:szCs w:val="28"/>
        </w:rPr>
        <w:t xml:space="preserve"> in Europe.</w:t>
      </w:r>
      <w:r w:rsidR="002264D1">
        <w:rPr>
          <w:rFonts w:cstheme="minorHAnsi"/>
          <w:bCs/>
          <w:szCs w:val="28"/>
        </w:rPr>
        <w:t xml:space="preserve"> </w:t>
      </w:r>
      <w:r w:rsidR="006E1C64">
        <w:rPr>
          <w:rFonts w:cstheme="minorHAnsi"/>
          <w:bCs/>
          <w:szCs w:val="28"/>
        </w:rPr>
        <w:t>In addition to emitting less CO</w:t>
      </w:r>
      <w:r w:rsidR="006E1C64" w:rsidRPr="006E1C64">
        <w:rPr>
          <w:rFonts w:cstheme="minorHAnsi"/>
          <w:bCs/>
          <w:szCs w:val="28"/>
          <w:vertAlign w:val="subscript"/>
        </w:rPr>
        <w:t>2</w:t>
      </w:r>
      <w:r w:rsidR="002264D1">
        <w:rPr>
          <w:rFonts w:cstheme="minorHAnsi"/>
          <w:bCs/>
          <w:szCs w:val="28"/>
        </w:rPr>
        <w:t xml:space="preserve">, the alternative routes of production </w:t>
      </w:r>
      <w:r w:rsidR="006E1C64">
        <w:rPr>
          <w:rFonts w:cstheme="minorHAnsi"/>
          <w:bCs/>
          <w:szCs w:val="28"/>
        </w:rPr>
        <w:t>were</w:t>
      </w:r>
      <w:r w:rsidR="002264D1">
        <w:rPr>
          <w:rFonts w:cstheme="minorHAnsi"/>
          <w:bCs/>
          <w:szCs w:val="28"/>
        </w:rPr>
        <w:t xml:space="preserve"> found to be cost competitive </w:t>
      </w:r>
      <w:r w:rsidR="006E1C64">
        <w:rPr>
          <w:rFonts w:cstheme="minorHAnsi"/>
          <w:bCs/>
          <w:szCs w:val="28"/>
        </w:rPr>
        <w:t>and, in some cases,</w:t>
      </w:r>
      <w:r w:rsidR="002264D1">
        <w:rPr>
          <w:rFonts w:cstheme="minorHAnsi"/>
          <w:bCs/>
          <w:szCs w:val="28"/>
        </w:rPr>
        <w:t xml:space="preserve"> even cheaper than their fossil counterparts</w:t>
      </w:r>
      <w:r w:rsidR="006E1C64">
        <w:rPr>
          <w:rFonts w:cstheme="minorHAnsi"/>
          <w:bCs/>
          <w:szCs w:val="28"/>
        </w:rPr>
        <w:t>.</w:t>
      </w:r>
    </w:p>
    <w:p w14:paraId="399D9D55" w14:textId="77777777" w:rsidR="00AF59B3" w:rsidRPr="002D4245" w:rsidRDefault="00AF59B3" w:rsidP="00AF59B3">
      <w:pPr>
        <w:pStyle w:val="Heading2"/>
        <w:rPr>
          <w:rFonts w:cstheme="minorHAnsi"/>
        </w:rPr>
      </w:pPr>
      <w:r w:rsidRPr="002D4245">
        <w:rPr>
          <w:rFonts w:cstheme="minorHAnsi"/>
        </w:rPr>
        <w:t>Summary</w:t>
      </w:r>
    </w:p>
    <w:p w14:paraId="1AF7D9E3" w14:textId="6B23037E" w:rsidR="000A56C5" w:rsidRDefault="000A56C5" w:rsidP="00812859">
      <w:pPr>
        <w:pStyle w:val="Heading2"/>
        <w:rPr>
          <w:rFonts w:cstheme="minorHAnsi"/>
          <w:b w:val="0"/>
          <w:bCs/>
          <w:u w:val="none"/>
        </w:rPr>
      </w:pPr>
      <w:r>
        <w:rPr>
          <w:rFonts w:cstheme="minorHAnsi"/>
          <w:b w:val="0"/>
          <w:bCs/>
          <w:u w:val="none"/>
        </w:rPr>
        <w:t>Green hydrogen produced via water electrolysis using renewable electricity sources is a possible alternative to lower</w:t>
      </w:r>
      <w:r w:rsidR="00D53CD5">
        <w:rPr>
          <w:rFonts w:cstheme="minorHAnsi"/>
          <w:b w:val="0"/>
          <w:bCs/>
          <w:u w:val="none"/>
        </w:rPr>
        <w:t xml:space="preserve"> </w:t>
      </w:r>
      <w:r>
        <w:rPr>
          <w:rFonts w:cstheme="minorHAnsi"/>
          <w:b w:val="0"/>
          <w:bCs/>
          <w:u w:val="none"/>
        </w:rPr>
        <w:t xml:space="preserve">greenhouse gas </w:t>
      </w:r>
      <w:r w:rsidR="00C2161A">
        <w:rPr>
          <w:rFonts w:cstheme="minorHAnsi"/>
          <w:b w:val="0"/>
          <w:bCs/>
          <w:u w:val="none"/>
        </w:rPr>
        <w:t xml:space="preserve">(GHG) </w:t>
      </w:r>
      <w:r>
        <w:rPr>
          <w:rFonts w:cstheme="minorHAnsi"/>
          <w:b w:val="0"/>
          <w:bCs/>
          <w:u w:val="none"/>
        </w:rPr>
        <w:t>emissions related to ammonia and methanol production. However, the economics of green hydrogen act</w:t>
      </w:r>
      <w:r w:rsidR="00D53CD5">
        <w:rPr>
          <w:rFonts w:cstheme="minorHAnsi"/>
          <w:b w:val="0"/>
          <w:bCs/>
          <w:u w:val="none"/>
        </w:rPr>
        <w:t>s</w:t>
      </w:r>
      <w:r>
        <w:rPr>
          <w:rFonts w:cstheme="minorHAnsi"/>
          <w:b w:val="0"/>
          <w:bCs/>
          <w:u w:val="none"/>
        </w:rPr>
        <w:t xml:space="preserve"> as a bottleneck making this route infeasible. Here, we show that these alternative routes of production </w:t>
      </w:r>
      <w:r w:rsidR="00D83BA7">
        <w:rPr>
          <w:rFonts w:cstheme="minorHAnsi"/>
          <w:b w:val="0"/>
          <w:bCs/>
          <w:u w:val="none"/>
        </w:rPr>
        <w:t>become</w:t>
      </w:r>
      <w:r>
        <w:rPr>
          <w:rFonts w:cstheme="minorHAnsi"/>
          <w:b w:val="0"/>
          <w:bCs/>
          <w:u w:val="none"/>
        </w:rPr>
        <w:t xml:space="preserve"> economically feasible in the current scenario where natural gas prices are skyrocketing majorly due to the geopolitical </w:t>
      </w:r>
      <w:r w:rsidR="00D655A8">
        <w:rPr>
          <w:rFonts w:cstheme="minorHAnsi"/>
          <w:b w:val="0"/>
          <w:bCs/>
          <w:u w:val="none"/>
        </w:rPr>
        <w:t>outline</w:t>
      </w:r>
      <w:r>
        <w:rPr>
          <w:rFonts w:cstheme="minorHAnsi"/>
          <w:b w:val="0"/>
          <w:bCs/>
          <w:u w:val="none"/>
        </w:rPr>
        <w:t xml:space="preserve">. Green ammonia produced from hydrogen via water electrolysis using on-shore wind electricity was found to be economically </w:t>
      </w:r>
      <w:r w:rsidR="009960D1">
        <w:rPr>
          <w:rFonts w:cstheme="minorHAnsi"/>
          <w:b w:val="0"/>
          <w:bCs/>
          <w:u w:val="none"/>
        </w:rPr>
        <w:t>competitive or similar (&lt;5%)</w:t>
      </w:r>
      <w:r w:rsidR="004053B2">
        <w:rPr>
          <w:rFonts w:cstheme="minorHAnsi"/>
          <w:b w:val="0"/>
          <w:bCs/>
          <w:u w:val="none"/>
        </w:rPr>
        <w:t xml:space="preserve"> to the fossil route</w:t>
      </w:r>
      <w:r>
        <w:rPr>
          <w:rFonts w:cstheme="minorHAnsi"/>
          <w:b w:val="0"/>
          <w:bCs/>
          <w:u w:val="none"/>
        </w:rPr>
        <w:t xml:space="preserve"> for </w:t>
      </w:r>
      <w:r w:rsidR="004908FD">
        <w:rPr>
          <w:rFonts w:cstheme="minorHAnsi"/>
          <w:b w:val="0"/>
          <w:bCs/>
          <w:u w:val="none"/>
        </w:rPr>
        <w:t>nine</w:t>
      </w:r>
      <w:r>
        <w:rPr>
          <w:rFonts w:cstheme="minorHAnsi"/>
          <w:b w:val="0"/>
          <w:bCs/>
          <w:u w:val="none"/>
        </w:rPr>
        <w:t xml:space="preserve"> months since </w:t>
      </w:r>
      <w:r w:rsidR="009960D1">
        <w:rPr>
          <w:rFonts w:cstheme="minorHAnsi"/>
          <w:b w:val="0"/>
          <w:bCs/>
          <w:u w:val="none"/>
        </w:rPr>
        <w:t xml:space="preserve">October 2021. The lowest </w:t>
      </w:r>
      <w:r w:rsidR="00887CB2">
        <w:rPr>
          <w:rFonts w:cstheme="minorHAnsi"/>
          <w:b w:val="0"/>
          <w:bCs/>
          <w:u w:val="none"/>
        </w:rPr>
        <w:t xml:space="preserve">feasible </w:t>
      </w:r>
      <w:r w:rsidR="009960D1">
        <w:rPr>
          <w:rFonts w:cstheme="minorHAnsi"/>
          <w:b w:val="0"/>
          <w:bCs/>
          <w:u w:val="none"/>
        </w:rPr>
        <w:t xml:space="preserve">monthly average </w:t>
      </w:r>
      <w:r w:rsidR="00887CB2">
        <w:rPr>
          <w:rFonts w:cstheme="minorHAnsi"/>
          <w:b w:val="0"/>
          <w:bCs/>
          <w:u w:val="none"/>
        </w:rPr>
        <w:t>production cost</w:t>
      </w:r>
      <w:r w:rsidR="009960D1">
        <w:rPr>
          <w:rFonts w:cstheme="minorHAnsi"/>
          <w:b w:val="0"/>
          <w:bCs/>
          <w:u w:val="none"/>
        </w:rPr>
        <w:t xml:space="preserve"> for wind-based ammonia was </w:t>
      </w:r>
      <w:r w:rsidR="00887CB2">
        <w:rPr>
          <w:rFonts w:cstheme="minorHAnsi"/>
          <w:b w:val="0"/>
          <w:bCs/>
          <w:u w:val="none"/>
        </w:rPr>
        <w:t>around</w:t>
      </w:r>
      <w:r w:rsidR="009960D1">
        <w:rPr>
          <w:rFonts w:cstheme="minorHAnsi"/>
          <w:b w:val="0"/>
          <w:bCs/>
          <w:u w:val="none"/>
        </w:rPr>
        <w:t xml:space="preserve"> 1</w:t>
      </w:r>
      <w:r w:rsidR="003117B3">
        <w:rPr>
          <w:rFonts w:cstheme="minorHAnsi"/>
          <w:b w:val="0"/>
          <w:bCs/>
          <w:u w:val="none"/>
        </w:rPr>
        <w:t>,</w:t>
      </w:r>
      <w:r w:rsidR="009960D1">
        <w:rPr>
          <w:rFonts w:cstheme="minorHAnsi"/>
          <w:b w:val="0"/>
          <w:bCs/>
          <w:u w:val="none"/>
        </w:rPr>
        <w:t>166 USD t</w:t>
      </w:r>
      <w:r w:rsidR="009960D1" w:rsidRPr="009960D1">
        <w:rPr>
          <w:rFonts w:cstheme="minorHAnsi"/>
          <w:b w:val="0"/>
          <w:bCs/>
          <w:u w:val="none"/>
          <w:vertAlign w:val="superscript"/>
        </w:rPr>
        <w:t>-1</w:t>
      </w:r>
      <w:r w:rsidR="009960D1">
        <w:rPr>
          <w:rFonts w:cstheme="minorHAnsi"/>
          <w:b w:val="0"/>
          <w:bCs/>
          <w:u w:val="none"/>
        </w:rPr>
        <w:t xml:space="preserve"> in October 2021 in comparison to 1</w:t>
      </w:r>
      <w:r w:rsidR="003117B3">
        <w:rPr>
          <w:rFonts w:cstheme="minorHAnsi"/>
          <w:b w:val="0"/>
          <w:bCs/>
          <w:u w:val="none"/>
        </w:rPr>
        <w:t>,</w:t>
      </w:r>
      <w:r w:rsidR="009960D1">
        <w:rPr>
          <w:rFonts w:cstheme="minorHAnsi"/>
          <w:b w:val="0"/>
          <w:bCs/>
          <w:u w:val="none"/>
        </w:rPr>
        <w:t>155 USD t</w:t>
      </w:r>
      <w:r w:rsidR="009960D1" w:rsidRPr="009960D1">
        <w:rPr>
          <w:rFonts w:cstheme="minorHAnsi"/>
          <w:b w:val="0"/>
          <w:bCs/>
          <w:u w:val="none"/>
          <w:vertAlign w:val="superscript"/>
        </w:rPr>
        <w:t>-1</w:t>
      </w:r>
      <w:r w:rsidR="009960D1">
        <w:rPr>
          <w:rFonts w:cstheme="minorHAnsi"/>
          <w:b w:val="0"/>
          <w:bCs/>
          <w:u w:val="none"/>
        </w:rPr>
        <w:t xml:space="preserve"> </w:t>
      </w:r>
      <w:r w:rsidR="002E0BC0">
        <w:rPr>
          <w:rFonts w:cstheme="minorHAnsi"/>
          <w:b w:val="0"/>
          <w:bCs/>
          <w:u w:val="none"/>
        </w:rPr>
        <w:t>for</w:t>
      </w:r>
      <w:r w:rsidR="009960D1">
        <w:rPr>
          <w:rFonts w:cstheme="minorHAnsi"/>
          <w:b w:val="0"/>
          <w:bCs/>
          <w:u w:val="none"/>
        </w:rPr>
        <w:t xml:space="preserve"> the fossil route. </w:t>
      </w:r>
      <w:r w:rsidR="00802F9E">
        <w:rPr>
          <w:rFonts w:cstheme="minorHAnsi"/>
          <w:b w:val="0"/>
          <w:bCs/>
          <w:u w:val="none"/>
        </w:rPr>
        <w:t xml:space="preserve">Similarly, wind-based methanol was found to be economically feasible in comparison to fossil methanol for </w:t>
      </w:r>
      <w:r w:rsidR="00DC0120">
        <w:rPr>
          <w:rFonts w:cstheme="minorHAnsi"/>
          <w:b w:val="0"/>
          <w:bCs/>
          <w:u w:val="none"/>
        </w:rPr>
        <w:t>one</w:t>
      </w:r>
      <w:r w:rsidR="00802F9E">
        <w:rPr>
          <w:rFonts w:cstheme="minorHAnsi"/>
          <w:b w:val="0"/>
          <w:bCs/>
          <w:u w:val="none"/>
        </w:rPr>
        <w:t xml:space="preserve"> month during the peak of natural gas prices in Europe.</w:t>
      </w:r>
      <w:r w:rsidR="00D83BA7">
        <w:rPr>
          <w:rFonts w:cstheme="minorHAnsi"/>
          <w:b w:val="0"/>
          <w:bCs/>
          <w:u w:val="none"/>
        </w:rPr>
        <w:t xml:space="preserve"> This study makes us realize the </w:t>
      </w:r>
      <w:r w:rsidR="00105AD5">
        <w:rPr>
          <w:rFonts w:cstheme="minorHAnsi"/>
          <w:b w:val="0"/>
          <w:bCs/>
          <w:u w:val="none"/>
        </w:rPr>
        <w:t>importance and</w:t>
      </w:r>
      <w:r w:rsidR="00D83BA7">
        <w:rPr>
          <w:rFonts w:cstheme="minorHAnsi"/>
          <w:b w:val="0"/>
          <w:bCs/>
          <w:u w:val="none"/>
        </w:rPr>
        <w:t xml:space="preserve"> need of the hour to invest in alternative routes for </w:t>
      </w:r>
      <w:r w:rsidR="00D53CD5">
        <w:rPr>
          <w:rFonts w:cstheme="minorHAnsi"/>
          <w:b w:val="0"/>
          <w:bCs/>
          <w:u w:val="none"/>
        </w:rPr>
        <w:t xml:space="preserve">the </w:t>
      </w:r>
      <w:r w:rsidR="00D83BA7">
        <w:rPr>
          <w:rFonts w:cstheme="minorHAnsi"/>
          <w:b w:val="0"/>
          <w:bCs/>
          <w:u w:val="none"/>
        </w:rPr>
        <w:t>production of chemicals starting with ammonia and methanol.</w:t>
      </w:r>
    </w:p>
    <w:p w14:paraId="10640E9D" w14:textId="60E70D58" w:rsidR="00812859" w:rsidRPr="002D4245" w:rsidRDefault="00AF59B3" w:rsidP="00812859">
      <w:pPr>
        <w:pStyle w:val="Heading2"/>
        <w:rPr>
          <w:rFonts w:cstheme="minorHAnsi"/>
        </w:rPr>
      </w:pPr>
      <w:r w:rsidRPr="002D4245">
        <w:rPr>
          <w:rFonts w:cstheme="minorHAnsi"/>
        </w:rPr>
        <w:t>Introduction</w:t>
      </w:r>
    </w:p>
    <w:p w14:paraId="47CB28B1" w14:textId="78683FDC" w:rsidR="00F340A4" w:rsidRPr="002D4245" w:rsidRDefault="00AF59B3">
      <w:pPr>
        <w:rPr>
          <w:rFonts w:cstheme="minorHAnsi"/>
        </w:rPr>
      </w:pPr>
      <w:r w:rsidRPr="002D4245">
        <w:rPr>
          <w:rFonts w:cstheme="minorHAnsi"/>
        </w:rPr>
        <w:t>The chemical industry is the industrial sector with the highest energy demand as it uses fossil fuels both as feedstock and fuel. About 14% and 8% of global oil and gas, respectively, are consumed by the chemical industry</w:t>
      </w:r>
      <w:r w:rsidRPr="002D4245">
        <w:rPr>
          <w:rFonts w:cstheme="minorHAnsi"/>
          <w:vertAlign w:val="superscript"/>
        </w:rPr>
        <w:t>1</w:t>
      </w:r>
      <w:r w:rsidRPr="002D4245">
        <w:rPr>
          <w:rFonts w:cstheme="minorHAnsi"/>
        </w:rPr>
        <w:t>, which is also responsible for 5.6 Gt CO</w:t>
      </w:r>
      <w:r w:rsidRPr="002D4245">
        <w:rPr>
          <w:rFonts w:cstheme="minorHAnsi"/>
          <w:vertAlign w:val="subscript"/>
        </w:rPr>
        <w:t>2</w:t>
      </w:r>
      <w:r w:rsidRPr="002D4245">
        <w:rPr>
          <w:rFonts w:cstheme="minorHAnsi"/>
        </w:rPr>
        <w:t>-eq per year (including direct and indirect emissions), equivalent to roughly 10% of global anthropogenic GHG emissions</w:t>
      </w:r>
      <w:r w:rsidRPr="002D4245">
        <w:rPr>
          <w:rFonts w:cstheme="minorHAnsi"/>
          <w:vertAlign w:val="superscript"/>
        </w:rPr>
        <w:t>2,3</w:t>
      </w:r>
      <w:r w:rsidRPr="002D4245">
        <w:rPr>
          <w:rFonts w:cstheme="minorHAnsi"/>
        </w:rPr>
        <w:t xml:space="preserve">. Out of all the chemicals, ammonia, methanol, ethylene, and propylene are the major building blocks of the chemical industry which are further used as raw materials for the production of valuable products. </w:t>
      </w:r>
      <w:r w:rsidR="002A631C" w:rsidRPr="002D4245">
        <w:rPr>
          <w:rFonts w:cstheme="minorHAnsi"/>
        </w:rPr>
        <w:t>Notably, ammonia is critical to the production of fertilizers and to ensure global food security</w:t>
      </w:r>
      <w:r w:rsidR="002A631C" w:rsidRPr="002D4245">
        <w:rPr>
          <w:rFonts w:cstheme="minorHAnsi"/>
          <w:vertAlign w:val="superscript"/>
        </w:rPr>
        <w:t>4</w:t>
      </w:r>
      <w:r w:rsidR="002A631C" w:rsidRPr="002D4245">
        <w:rPr>
          <w:rFonts w:cstheme="minorHAnsi"/>
        </w:rPr>
        <w:t>, while methanol is largely used for the production of valuable products (e.g., formic acid, acetic acid, dimethyl ether, and methylamine) and can serve as an intermediate to olefins and aromatics</w:t>
      </w:r>
      <w:r w:rsidR="002A631C" w:rsidRPr="002D4245">
        <w:rPr>
          <w:rFonts w:cstheme="minorHAnsi"/>
          <w:vertAlign w:val="superscript"/>
        </w:rPr>
        <w:t>5</w:t>
      </w:r>
      <w:r w:rsidR="002A631C" w:rsidRPr="002D4245">
        <w:rPr>
          <w:rFonts w:cstheme="minorHAnsi"/>
        </w:rPr>
        <w:t>. Ammonia is predominantly produced via the Haber-Bosch process using natural gas as feedstock and is responsible for one-fourth of the total fossil fuel consumption in the chemical industry</w:t>
      </w:r>
      <w:r w:rsidR="002A631C" w:rsidRPr="002D4245">
        <w:rPr>
          <w:rFonts w:cstheme="minorHAnsi"/>
          <w:vertAlign w:val="superscript"/>
        </w:rPr>
        <w:t>6</w:t>
      </w:r>
      <w:r w:rsidR="002A631C" w:rsidRPr="002D4245">
        <w:rPr>
          <w:rFonts w:cstheme="minorHAnsi"/>
        </w:rPr>
        <w:t>. Similarly, methanol relies on natural gas or coal for the production of syngas which is then converted to methanol via the water-gas shift reaction.</w:t>
      </w:r>
    </w:p>
    <w:p w14:paraId="0DB11E66" w14:textId="46C919C2" w:rsidR="000500CC" w:rsidRPr="002D4245" w:rsidRDefault="000500CC">
      <w:pPr>
        <w:rPr>
          <w:rFonts w:cstheme="minorHAnsi"/>
        </w:rPr>
      </w:pPr>
      <w:r w:rsidRPr="002D4245">
        <w:rPr>
          <w:rFonts w:cstheme="minorHAnsi"/>
        </w:rPr>
        <w:t>Ammonia and methanol are hard-to-abate chemicals primarily due to their strong dependence on natural gas as feedstock. Hence, shifting to renewable feedstocks is paramount to mitigate their climate impacts</w:t>
      </w:r>
      <w:r w:rsidRPr="002D4245">
        <w:rPr>
          <w:rFonts w:cstheme="minorHAnsi"/>
          <w:vertAlign w:val="superscript"/>
        </w:rPr>
        <w:t>7,8</w:t>
      </w:r>
      <w:r w:rsidRPr="002D4245">
        <w:rPr>
          <w:rFonts w:cstheme="minorHAnsi"/>
        </w:rPr>
        <w:t>. Low-carbon ammonia production is possible by replacing the steam methane reforming (SMR)-based hydrogen with electrolytic hydrogen powered by wind or solar energy</w:t>
      </w:r>
      <w:r w:rsidRPr="002D4245">
        <w:rPr>
          <w:rFonts w:cstheme="minorHAnsi"/>
          <w:vertAlign w:val="superscript"/>
        </w:rPr>
        <w:t>9</w:t>
      </w:r>
      <w:r w:rsidRPr="002D4245">
        <w:rPr>
          <w:rFonts w:cstheme="minorHAnsi"/>
        </w:rPr>
        <w:t xml:space="preserve">. Moreover, carbon capture and utilization (CCU) offer a route to </w:t>
      </w:r>
      <w:r w:rsidR="00440727">
        <w:rPr>
          <w:rFonts w:cstheme="minorHAnsi"/>
          <w:noProof/>
        </w:rPr>
        <w:lastRenderedPageBreak/>
        <w:drawing>
          <wp:inline distT="0" distB="0" distL="0" distR="0" wp14:anchorId="3DE54B5A" wp14:editId="393A1A82">
            <wp:extent cx="6547104" cy="713079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7104" cy="7130796"/>
                    </a:xfrm>
                    <a:prstGeom prst="rect">
                      <a:avLst/>
                    </a:prstGeom>
                  </pic:spPr>
                </pic:pic>
              </a:graphicData>
            </a:graphic>
          </wp:inline>
        </w:drawing>
      </w:r>
      <w:r w:rsidR="00440727">
        <w:rPr>
          <w:rFonts w:cstheme="minorHAnsi"/>
          <w:noProof/>
        </w:rPr>
        <w:lastRenderedPageBreak/>
        <w:drawing>
          <wp:inline distT="0" distB="0" distL="0" distR="0" wp14:anchorId="2BEDF807" wp14:editId="2644A702">
            <wp:extent cx="6547104" cy="307238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r w:rsidRPr="002D4245">
        <w:rPr>
          <w:rFonts w:cstheme="minorHAnsi"/>
        </w:rPr>
        <w:t>decarbonize methanol production via CO</w:t>
      </w:r>
      <w:r w:rsidRPr="002D4245">
        <w:rPr>
          <w:rFonts w:cstheme="minorHAnsi"/>
          <w:vertAlign w:val="subscript"/>
        </w:rPr>
        <w:t>2</w:t>
      </w:r>
      <w:r w:rsidRPr="002D4245">
        <w:rPr>
          <w:rFonts w:cstheme="minorHAnsi"/>
        </w:rPr>
        <w:t xml:space="preserve"> hydrogenation</w:t>
      </w:r>
      <w:r w:rsidRPr="002D4245">
        <w:rPr>
          <w:rFonts w:cstheme="minorHAnsi"/>
          <w:vertAlign w:val="superscript"/>
        </w:rPr>
        <w:t>10</w:t>
      </w:r>
      <w:r w:rsidRPr="002D4245">
        <w:rPr>
          <w:rFonts w:cstheme="minorHAnsi"/>
        </w:rPr>
        <w:t>. Prior works have demonstrated the technical feasibility</w:t>
      </w:r>
      <w:r w:rsidRPr="002D4245">
        <w:rPr>
          <w:rFonts w:cstheme="minorHAnsi"/>
          <w:vertAlign w:val="superscript"/>
        </w:rPr>
        <w:t>11</w:t>
      </w:r>
      <w:r w:rsidRPr="002D4245">
        <w:rPr>
          <w:rFonts w:cstheme="minorHAnsi"/>
        </w:rPr>
        <w:t xml:space="preserve"> and potential climate benefits</w:t>
      </w:r>
      <w:r w:rsidRPr="002D4245">
        <w:rPr>
          <w:rFonts w:cstheme="minorHAnsi"/>
          <w:vertAlign w:val="superscript"/>
        </w:rPr>
        <w:t xml:space="preserve">9,12-14 </w:t>
      </w:r>
      <w:r w:rsidRPr="002D4245">
        <w:rPr>
          <w:rFonts w:cstheme="minorHAnsi"/>
        </w:rPr>
        <w:t>of green chemical production routes, but the high costs remain a major barrier to their implementation</w:t>
      </w:r>
      <w:r w:rsidRPr="002D4245">
        <w:rPr>
          <w:rFonts w:cstheme="minorHAnsi"/>
          <w:vertAlign w:val="superscript"/>
        </w:rPr>
        <w:t>15</w:t>
      </w:r>
      <w:r w:rsidRPr="002D4245">
        <w:rPr>
          <w:rFonts w:cstheme="minorHAnsi"/>
        </w:rPr>
        <w:t>. Literature estimates suggest that green ammonia and methanol cost twice as much as the natural gas-based counterpart</w:t>
      </w:r>
      <w:r w:rsidRPr="002D4245">
        <w:rPr>
          <w:rFonts w:cstheme="minorHAnsi"/>
          <w:vertAlign w:val="superscript"/>
        </w:rPr>
        <w:t>9,10</w:t>
      </w:r>
      <w:r w:rsidRPr="002D4245">
        <w:rPr>
          <w:rFonts w:cstheme="minorHAnsi"/>
        </w:rPr>
        <w:t>.</w:t>
      </w:r>
    </w:p>
    <w:p w14:paraId="4C845A43" w14:textId="0E0CFAEB" w:rsidR="000500CC" w:rsidRPr="002D4245" w:rsidRDefault="00B22DAA">
      <w:pPr>
        <w:rPr>
          <w:rFonts w:cstheme="minorHAnsi"/>
        </w:rPr>
      </w:pPr>
      <w:r w:rsidRPr="002D4245">
        <w:rPr>
          <w:rFonts w:cstheme="minorHAnsi"/>
        </w:rPr>
        <w:t>The economic viability of green chemicals has been largely hampered by the high costs of renewable feedstocks (i.e., hydrogen and captured CO</w:t>
      </w:r>
      <w:r w:rsidRPr="002D4245">
        <w:rPr>
          <w:rFonts w:cstheme="minorHAnsi"/>
          <w:vertAlign w:val="subscript"/>
        </w:rPr>
        <w:t>2</w:t>
      </w:r>
      <w:r w:rsidRPr="002D4245">
        <w:rPr>
          <w:rFonts w:cstheme="minorHAnsi"/>
        </w:rPr>
        <w:t>) compared with natural gas</w:t>
      </w:r>
      <w:r w:rsidRPr="002D4245">
        <w:rPr>
          <w:rFonts w:cstheme="minorHAnsi"/>
          <w:vertAlign w:val="superscript"/>
        </w:rPr>
        <w:t>9,10</w:t>
      </w:r>
      <w:r w:rsidRPr="002D4245">
        <w:rPr>
          <w:rFonts w:cstheme="minorHAnsi"/>
        </w:rPr>
        <w:t>. However, natural gas has seen a sharp increase in prices over the last two years, primarily due to the COVID-19 pandemic, skyrocketing inflation, and the global energy crisis caused by the Russian invasion of Ukraine. In Europe, which is particularly affected by the new geopolitical scenarios, monthly average natural gas TTF spot prices have increased from 560 USD 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Pr="002D4245">
        <w:rPr>
          <w:rFonts w:cstheme="minorHAnsi"/>
          <w:vertAlign w:val="superscript"/>
        </w:rPr>
        <w:t>16</w:t>
      </w:r>
      <w:r w:rsidRPr="002D4245">
        <w:rPr>
          <w:rFonts w:cstheme="minorHAnsi"/>
        </w:rPr>
        <w:t>. Similarly, the price of grid electricity has almost quadrupled</w:t>
      </w:r>
      <w:r w:rsidR="00AD2884" w:rsidRPr="002D4245">
        <w:rPr>
          <w:rFonts w:cstheme="minorHAnsi"/>
          <w:vertAlign w:val="superscript"/>
        </w:rPr>
        <w:t>17</w:t>
      </w:r>
      <w:r w:rsidR="00AD2884" w:rsidRPr="002D4245">
        <w:rPr>
          <w:rFonts w:cstheme="minorHAnsi"/>
        </w:rPr>
        <w:t xml:space="preserve">. </w:t>
      </w:r>
      <w:r w:rsidRPr="002D4245">
        <w:rPr>
          <w:rFonts w:cstheme="minorHAnsi"/>
        </w:rPr>
        <w:t>The drastic increase in natural gas and electricity prices has severe consequences for the European chemical industry. For example, recent news suggests that more than half of Europe’s ammonia production capacity (estimated at around 19 Mt a</w:t>
      </w:r>
      <w:r w:rsidRPr="002D4245">
        <w:rPr>
          <w:rFonts w:cstheme="minorHAnsi"/>
          <w:vertAlign w:val="superscript"/>
        </w:rPr>
        <w:t>-1</w:t>
      </w:r>
      <w:r w:rsidRPr="002D4245">
        <w:rPr>
          <w:rFonts w:cstheme="minorHAnsi"/>
        </w:rPr>
        <w:t>)</w:t>
      </w:r>
      <w:r w:rsidRPr="002D4245">
        <w:rPr>
          <w:rFonts w:cstheme="minorHAnsi"/>
          <w:vertAlign w:val="superscript"/>
        </w:rPr>
        <w:t>1</w:t>
      </w:r>
      <w:r w:rsidR="00AD2884" w:rsidRPr="002D4245">
        <w:rPr>
          <w:rFonts w:cstheme="minorHAnsi"/>
          <w:vertAlign w:val="superscript"/>
        </w:rPr>
        <w:t>8</w:t>
      </w:r>
      <w:r w:rsidRPr="002D4245">
        <w:rPr>
          <w:rFonts w:cstheme="minorHAnsi"/>
        </w:rPr>
        <w:t xml:space="preserve"> has been shut down due to gas prices</w:t>
      </w:r>
      <w:r w:rsidRPr="002D4245">
        <w:rPr>
          <w:rFonts w:cstheme="minorHAnsi"/>
          <w:vertAlign w:val="superscript"/>
        </w:rPr>
        <w:t>1</w:t>
      </w:r>
      <w:r w:rsidR="00AD2884" w:rsidRPr="002D4245">
        <w:rPr>
          <w:rFonts w:cstheme="minorHAnsi"/>
          <w:vertAlign w:val="superscript"/>
        </w:rPr>
        <w:t>9</w:t>
      </w:r>
      <w:r w:rsidRPr="002D4245">
        <w:rPr>
          <w:rFonts w:cstheme="minorHAnsi"/>
          <w:vertAlign w:val="superscript"/>
        </w:rPr>
        <w:t>,</w:t>
      </w:r>
      <w:r w:rsidR="00AD2884" w:rsidRPr="002D4245">
        <w:rPr>
          <w:rFonts w:cstheme="minorHAnsi"/>
          <w:vertAlign w:val="superscript"/>
        </w:rPr>
        <w:t>20</w:t>
      </w:r>
      <w:r w:rsidRPr="002D4245">
        <w:rPr>
          <w:rFonts w:cstheme="minorHAnsi"/>
        </w:rPr>
        <w:t xml:space="preserve">. </w:t>
      </w:r>
    </w:p>
    <w:p w14:paraId="3C1F6B7F" w14:textId="0873F020" w:rsidR="00915C18" w:rsidRPr="002D4245" w:rsidRDefault="00915C18">
      <w:pPr>
        <w:rPr>
          <w:rFonts w:cstheme="minorHAnsi"/>
          <w:lang w:val="en-US"/>
        </w:rPr>
      </w:pPr>
      <w:r w:rsidRPr="002D4245">
        <w:rPr>
          <w:rFonts w:cstheme="minorHAnsi"/>
        </w:rPr>
        <w:t>The energy crisis in Europe can in principle help mak</w:t>
      </w:r>
      <w:r w:rsidR="00900CAA" w:rsidRPr="002D4245">
        <w:rPr>
          <w:rFonts w:cstheme="minorHAnsi"/>
        </w:rPr>
        <w:t>e</w:t>
      </w:r>
      <w:r w:rsidRPr="002D4245">
        <w:rPr>
          <w:rFonts w:cstheme="minorHAnsi"/>
        </w:rPr>
        <w:t xml:space="preserve"> green chemicals more economically appealing while laying the </w:t>
      </w:r>
      <w:r w:rsidR="00AD2884" w:rsidRPr="002D4245">
        <w:rPr>
          <w:rFonts w:cstheme="minorHAnsi"/>
        </w:rPr>
        <w:t>foundation for a renewable transition in the European chemical industry. However, whether green chemicals represent win-win solutions (underst</w:t>
      </w:r>
      <w:r w:rsidR="00AD2884" w:rsidRPr="002D4245">
        <w:rPr>
          <w:rFonts w:cstheme="minorHAnsi"/>
          <w:lang w:val="en-US"/>
        </w:rPr>
        <w:t>and as a Pareto improvement</w:t>
      </w:r>
      <w:r w:rsidR="00AD2884" w:rsidRPr="002D4245">
        <w:rPr>
          <w:rFonts w:cstheme="minorHAnsi"/>
          <w:vertAlign w:val="superscript"/>
          <w:lang w:val="en-US"/>
        </w:rPr>
        <w:t>21</w:t>
      </w:r>
      <w:r w:rsidR="00AD2884" w:rsidRPr="002D4245">
        <w:rPr>
          <w:rFonts w:cstheme="minorHAnsi"/>
          <w:lang w:val="en-US"/>
        </w:rPr>
        <w:t xml:space="preserve">: simultaneous reduction of costs and GHG emissions) in the present state of affairs has not been explored yet. In this work, we calculate </w:t>
      </w:r>
      <w:r w:rsidR="00900CAA" w:rsidRPr="002D4245">
        <w:rPr>
          <w:rFonts w:cstheme="minorHAnsi"/>
          <w:lang w:val="en-US"/>
        </w:rPr>
        <w:t>t</w:t>
      </w:r>
      <w:r w:rsidR="00AD2884" w:rsidRPr="002D4245">
        <w:rPr>
          <w:rFonts w:cstheme="minorHAnsi"/>
          <w:lang w:val="en-US"/>
        </w:rPr>
        <w:t>he production and CO</w:t>
      </w:r>
      <w:r w:rsidR="00AD2884" w:rsidRPr="002D4245">
        <w:rPr>
          <w:rFonts w:cstheme="minorHAnsi"/>
          <w:vertAlign w:val="subscript"/>
          <w:lang w:val="en-US"/>
        </w:rPr>
        <w:t>2</w:t>
      </w:r>
      <w:r w:rsidR="00AD2884" w:rsidRPr="002D4245">
        <w:rPr>
          <w:rFonts w:cstheme="minorHAnsi"/>
          <w:lang w:val="en-US"/>
        </w:rPr>
        <w:t xml:space="preserve"> avoidance costs for fossil and green ammonia and methanol </w:t>
      </w:r>
      <w:r w:rsidR="00900CAA" w:rsidRPr="002D4245">
        <w:rPr>
          <w:rFonts w:cstheme="minorHAnsi"/>
          <w:lang w:val="en-US"/>
        </w:rPr>
        <w:t xml:space="preserve">in Europe considering the impact of natural gas price fluctuation. </w:t>
      </w:r>
    </w:p>
    <w:p w14:paraId="62CFB28C" w14:textId="3FD3A314" w:rsidR="00812859" w:rsidRPr="002D4245" w:rsidRDefault="00812859">
      <w:pPr>
        <w:rPr>
          <w:rFonts w:cstheme="minorHAnsi"/>
          <w:b/>
          <w:bCs/>
          <w:u w:val="single"/>
          <w:lang w:val="en-US"/>
        </w:rPr>
      </w:pPr>
      <w:r w:rsidRPr="002D4245">
        <w:rPr>
          <w:rFonts w:cstheme="minorHAnsi"/>
          <w:b/>
          <w:bCs/>
          <w:u w:val="single"/>
          <w:lang w:val="en-US"/>
        </w:rPr>
        <w:t>Results</w:t>
      </w:r>
    </w:p>
    <w:p w14:paraId="19BF7EFE" w14:textId="4B6BB258" w:rsidR="00B22DAA" w:rsidRDefault="00812859">
      <w:pPr>
        <w:rPr>
          <w:rFonts w:cstheme="minorHAnsi"/>
          <w:b/>
          <w:bCs/>
        </w:rPr>
      </w:pPr>
      <w:r w:rsidRPr="002D4245">
        <w:rPr>
          <w:rFonts w:cstheme="minorHAnsi"/>
          <w:b/>
          <w:bCs/>
        </w:rPr>
        <w:t>Cost comparison between the fossil and green routes of production</w:t>
      </w:r>
    </w:p>
    <w:p w14:paraId="5849255F" w14:textId="4F8A83C8" w:rsidR="000A56C5" w:rsidRPr="002D4245" w:rsidRDefault="000A56C5" w:rsidP="000A56C5">
      <w:pPr>
        <w:rPr>
          <w:rFonts w:cstheme="minorHAnsi"/>
          <w:lang w:val="en-US"/>
        </w:rPr>
      </w:pPr>
      <w:r w:rsidRPr="002D4245">
        <w:rPr>
          <w:rFonts w:cstheme="minorHAnsi"/>
        </w:rPr>
        <w:t xml:space="preserve">Considering the natural gas spot prices in Europe as of </w:t>
      </w:r>
      <w:r w:rsidR="006F47B2">
        <w:rPr>
          <w:rFonts w:cstheme="minorHAnsi"/>
        </w:rPr>
        <w:t>November</w:t>
      </w:r>
      <w:r w:rsidRPr="002D4245">
        <w:rPr>
          <w:rFonts w:cstheme="minorHAnsi"/>
        </w:rPr>
        <w:t xml:space="preserve"> 2022, we estimate the production cost of fossil ammonia at around 1,</w:t>
      </w:r>
      <w:r w:rsidR="006F47B2">
        <w:rPr>
          <w:rFonts w:cstheme="minorHAnsi"/>
        </w:rPr>
        <w:t>344</w:t>
      </w:r>
      <w:r w:rsidRPr="002D4245">
        <w:rPr>
          <w:rFonts w:cstheme="minorHAnsi"/>
        </w:rPr>
        <w:t xml:space="preserve"> USD t</w:t>
      </w:r>
      <w:r w:rsidRPr="002D4245">
        <w:rPr>
          <w:rFonts w:cstheme="minorHAnsi"/>
          <w:vertAlign w:val="superscript"/>
        </w:rPr>
        <w:t>-1</w:t>
      </w:r>
      <w:r w:rsidRPr="002D4245">
        <w:rPr>
          <w:rFonts w:cstheme="minorHAnsi"/>
        </w:rPr>
        <w:t xml:space="preserve">, which is </w:t>
      </w:r>
      <w:r w:rsidR="006F47B2">
        <w:rPr>
          <w:rFonts w:cstheme="minorHAnsi"/>
        </w:rPr>
        <w:t>two</w:t>
      </w:r>
      <w:r w:rsidRPr="002D4245">
        <w:rPr>
          <w:rFonts w:cstheme="minorHAnsi"/>
        </w:rPr>
        <w:t xml:space="preserve"> times higher in comparison to July 2021. When natural gas prices reach around 1,400 USD t</w:t>
      </w:r>
      <w:r w:rsidRPr="002D4245">
        <w:rPr>
          <w:rFonts w:cstheme="minorHAnsi"/>
          <w:vertAlign w:val="superscript"/>
        </w:rPr>
        <w:t>-1</w:t>
      </w:r>
      <w:r w:rsidRPr="002D4245">
        <w:rPr>
          <w:rFonts w:cstheme="minorHAnsi"/>
        </w:rPr>
        <w:t xml:space="preserve"> (October 2021), green ammonia produced with hydrogen from water electrolysis using on-shore wind electricity turn cost-competitive with fossil ammonia (Fig. 1a). Based on monthly average natural gas spot prices, ammonia production via wind electrolysis has been cheaper than or similar to fossil ammonia for </w:t>
      </w:r>
      <w:r w:rsidR="00B56324">
        <w:rPr>
          <w:rFonts w:cstheme="minorHAnsi"/>
        </w:rPr>
        <w:t>nine</w:t>
      </w:r>
      <w:r w:rsidRPr="002D4245">
        <w:rPr>
          <w:rFonts w:cstheme="minorHAnsi"/>
        </w:rPr>
        <w:t xml:space="preserve"> months since October 2021. Whereas green ammonia produced via solar-based electrolytic hydrogen is only feasible around the peak of natural gas prices in August 2022 (Fig. 1b). This can be attributed to lower capacity factors (16.1 to 17.5%) in comparison to wind electricity (</w:t>
      </w:r>
      <w:r w:rsidRPr="002D4245">
        <w:rPr>
          <w:rFonts w:cstheme="minorHAnsi"/>
          <w:lang w:val="en-US"/>
        </w:rPr>
        <w:t>35.6% to 39%) resulting in higher levelized costs of hydrogen</w:t>
      </w:r>
      <w:r w:rsidRPr="002D4245">
        <w:rPr>
          <w:rFonts w:cstheme="minorHAnsi"/>
          <w:vertAlign w:val="superscript"/>
          <w:lang w:val="en-US"/>
        </w:rPr>
        <w:t>22</w:t>
      </w:r>
      <w:r w:rsidRPr="002D4245">
        <w:rPr>
          <w:rFonts w:cstheme="minorHAnsi"/>
          <w:lang w:val="en-US"/>
        </w:rPr>
        <w:t xml:space="preserve">. Ammonia production </w:t>
      </w:r>
      <w:r w:rsidRPr="002D4245">
        <w:rPr>
          <w:rFonts w:cstheme="minorHAnsi"/>
          <w:lang w:val="en-US"/>
        </w:rPr>
        <w:lastRenderedPageBreak/>
        <w:t xml:space="preserve">with blue hydrogen – SMR coupled with carbon capture and storage (CCS) – is always more expensive than the conventional route due to the additional cost of CCS and extra nitrogen feed (Fig. 1c). </w:t>
      </w:r>
    </w:p>
    <w:p w14:paraId="092B8FBF" w14:textId="1D34F759" w:rsidR="000A56C5" w:rsidRPr="002D4245" w:rsidRDefault="000A56C5" w:rsidP="000A56C5">
      <w:pPr>
        <w:rPr>
          <w:rFonts w:cstheme="minorHAnsi"/>
        </w:rPr>
      </w:pPr>
      <w:r w:rsidRPr="002D4245">
        <w:rPr>
          <w:rFonts w:cstheme="minorHAnsi"/>
        </w:rPr>
        <w:t xml:space="preserve">Similar to ammonia, the cost of production for fossil methanol has increased sharply. In comparison to July 2021, the estimated production cost for fossil methanol rose by </w:t>
      </w:r>
      <w:r w:rsidR="00147AF5">
        <w:rPr>
          <w:rFonts w:cstheme="minorHAnsi"/>
        </w:rPr>
        <w:t>146</w:t>
      </w:r>
      <w:r w:rsidRPr="002D4245">
        <w:rPr>
          <w:rFonts w:cstheme="minorHAnsi"/>
        </w:rPr>
        <w:t xml:space="preserve">% in </w:t>
      </w:r>
      <w:r w:rsidR="00147AF5">
        <w:rPr>
          <w:rFonts w:cstheme="minorHAnsi"/>
        </w:rPr>
        <w:t>November</w:t>
      </w:r>
      <w:r w:rsidRPr="002D4245">
        <w:rPr>
          <w:rFonts w:cstheme="minorHAnsi"/>
        </w:rPr>
        <w:t xml:space="preserve"> 2022, reaching </w:t>
      </w:r>
      <w:r w:rsidR="00147AF5">
        <w:rPr>
          <w:rFonts w:cstheme="minorHAnsi"/>
        </w:rPr>
        <w:t>1,181</w:t>
      </w:r>
      <w:r w:rsidRPr="002D4245">
        <w:rPr>
          <w:rFonts w:cstheme="minorHAnsi"/>
        </w:rPr>
        <w:t xml:space="preserve"> USD t</w:t>
      </w:r>
      <w:r w:rsidRPr="002D4245">
        <w:rPr>
          <w:rFonts w:cstheme="minorHAnsi"/>
          <w:vertAlign w:val="superscript"/>
        </w:rPr>
        <w:t>-1</w:t>
      </w:r>
      <w:r w:rsidRPr="002D4245">
        <w:rPr>
          <w:rFonts w:cstheme="minorHAnsi"/>
        </w:rPr>
        <w:t xml:space="preserve">. At natural gas prices of around </w:t>
      </w:r>
      <w:r w:rsidR="006E4D1F">
        <w:rPr>
          <w:rFonts w:cstheme="minorHAnsi"/>
        </w:rPr>
        <w:t>3</w:t>
      </w:r>
      <w:r w:rsidRPr="002D4245">
        <w:rPr>
          <w:rFonts w:cstheme="minorHAnsi"/>
        </w:rPr>
        <w:t>,</w:t>
      </w:r>
      <w:r w:rsidR="006E4D1F">
        <w:rPr>
          <w:rFonts w:cstheme="minorHAnsi"/>
        </w:rPr>
        <w:t>100</w:t>
      </w:r>
      <w:r w:rsidRPr="002D4245">
        <w:rPr>
          <w:rFonts w:cstheme="minorHAnsi"/>
        </w:rPr>
        <w:t xml:space="preserve"> USD t</w:t>
      </w:r>
      <w:r w:rsidRPr="002D4245">
        <w:rPr>
          <w:rFonts w:cstheme="minorHAnsi"/>
          <w:vertAlign w:val="superscript"/>
        </w:rPr>
        <w:t>-1</w:t>
      </w:r>
      <w:r w:rsidRPr="002D4245">
        <w:rPr>
          <w:rFonts w:cstheme="minorHAnsi"/>
        </w:rPr>
        <w:t xml:space="preserve">, green methanol produced with wind-based hydrogen is economically competitive (Fig. 1d). However, the break-even natural gas price largely depends on the levelized cost of hydrogen and could decrease to </w:t>
      </w:r>
      <w:r w:rsidR="00E03418">
        <w:rPr>
          <w:rFonts w:cstheme="minorHAnsi"/>
        </w:rPr>
        <w:t>2</w:t>
      </w:r>
      <w:r w:rsidRPr="002D4245">
        <w:rPr>
          <w:rFonts w:cstheme="minorHAnsi"/>
        </w:rPr>
        <w:t>,</w:t>
      </w:r>
      <w:r w:rsidR="00E03418">
        <w:rPr>
          <w:rFonts w:cstheme="minorHAnsi"/>
        </w:rPr>
        <w:t>3</w:t>
      </w:r>
      <w:r w:rsidRPr="002D4245">
        <w:rPr>
          <w:rFonts w:cstheme="minorHAnsi"/>
        </w:rPr>
        <w:t>00 USD t</w:t>
      </w:r>
      <w:r w:rsidRPr="002D4245">
        <w:rPr>
          <w:rFonts w:cstheme="minorHAnsi"/>
          <w:vertAlign w:val="superscript"/>
        </w:rPr>
        <w:t>-1</w:t>
      </w:r>
      <w:r w:rsidRPr="002D4245">
        <w:rPr>
          <w:rFonts w:cstheme="minorHAnsi"/>
        </w:rPr>
        <w:t xml:space="preserve"> if considering the lower end of the hydrogen cost range. The solar-based </w:t>
      </w:r>
      <w:r w:rsidR="000A6360" w:rsidRPr="002D4245">
        <w:rPr>
          <w:rFonts w:cstheme="minorHAnsi"/>
        </w:rPr>
        <w:t>route,</w:t>
      </w:r>
      <w:r w:rsidRPr="002D4245">
        <w:rPr>
          <w:rFonts w:cstheme="minorHAnsi"/>
        </w:rPr>
        <w:t xml:space="preserve"> </w:t>
      </w:r>
      <w:r w:rsidR="00EA5415">
        <w:rPr>
          <w:rFonts w:cstheme="minorHAnsi"/>
        </w:rPr>
        <w:t xml:space="preserve">however, </w:t>
      </w:r>
      <w:r w:rsidRPr="002D4245">
        <w:rPr>
          <w:rFonts w:cstheme="minorHAnsi"/>
        </w:rPr>
        <w:t xml:space="preserve">follows a </w:t>
      </w:r>
      <w:r w:rsidR="00EA5415">
        <w:rPr>
          <w:rFonts w:cstheme="minorHAnsi"/>
        </w:rPr>
        <w:t>different</w:t>
      </w:r>
      <w:r w:rsidRPr="002D4245">
        <w:rPr>
          <w:rFonts w:cstheme="minorHAnsi"/>
        </w:rPr>
        <w:t xml:space="preserve"> trend to that seen for ammonia and is </w:t>
      </w:r>
      <w:r w:rsidR="00EA5415">
        <w:rPr>
          <w:rFonts w:cstheme="minorHAnsi"/>
        </w:rPr>
        <w:t xml:space="preserve">never </w:t>
      </w:r>
      <w:r w:rsidRPr="002D4245">
        <w:rPr>
          <w:rFonts w:cstheme="minorHAnsi"/>
        </w:rPr>
        <w:t xml:space="preserve">feasible </w:t>
      </w:r>
      <w:r w:rsidR="00EA5415">
        <w:rPr>
          <w:rFonts w:cstheme="minorHAnsi"/>
        </w:rPr>
        <w:t xml:space="preserve">even </w:t>
      </w:r>
      <w:r w:rsidRPr="002D4245">
        <w:rPr>
          <w:rFonts w:cstheme="minorHAnsi"/>
        </w:rPr>
        <w:t>at the peak of natural gas prices (August</w:t>
      </w:r>
      <w:r w:rsidR="00EA5415">
        <w:rPr>
          <w:rFonts w:cstheme="minorHAnsi"/>
        </w:rPr>
        <w:t> </w:t>
      </w:r>
      <w:r w:rsidRPr="002D4245">
        <w:rPr>
          <w:rFonts w:cstheme="minorHAnsi"/>
        </w:rPr>
        <w:t>2022)</w:t>
      </w:r>
      <w:r w:rsidR="00EA5415">
        <w:rPr>
          <w:rFonts w:cstheme="minorHAnsi"/>
        </w:rPr>
        <w:t xml:space="preserve"> </w:t>
      </w:r>
      <w:r w:rsidRPr="002D4245">
        <w:rPr>
          <w:rFonts w:cstheme="minorHAnsi"/>
        </w:rPr>
        <w:t xml:space="preserve">(Fig. 1e). For the case of blue hydrogen from SMR + CCS, the cost of production is on average </w:t>
      </w:r>
      <w:r w:rsidR="000A6360">
        <w:rPr>
          <w:rFonts w:cstheme="minorHAnsi"/>
        </w:rPr>
        <w:t>182</w:t>
      </w:r>
      <w:r w:rsidRPr="002D4245">
        <w:rPr>
          <w:rFonts w:cstheme="minorHAnsi"/>
        </w:rPr>
        <w:t>% higher than conventional methanol due to the additional cost of CCS and captured CO</w:t>
      </w:r>
      <w:r w:rsidRPr="002D4245">
        <w:rPr>
          <w:rFonts w:cstheme="minorHAnsi"/>
          <w:vertAlign w:val="subscript"/>
        </w:rPr>
        <w:t>2</w:t>
      </w:r>
      <w:r w:rsidRPr="002D4245">
        <w:rPr>
          <w:rFonts w:cstheme="minorHAnsi"/>
        </w:rPr>
        <w:t>.</w:t>
      </w:r>
    </w:p>
    <w:p w14:paraId="3E564711" w14:textId="565611F9" w:rsidR="000A56C5" w:rsidRPr="002D4245" w:rsidRDefault="000A56C5" w:rsidP="000A56C5">
      <w:pPr>
        <w:rPr>
          <w:rFonts w:cstheme="minorHAnsi"/>
        </w:rPr>
      </w:pPr>
      <w:r w:rsidRPr="002D4245">
        <w:rPr>
          <w:rFonts w:cstheme="minorHAnsi"/>
        </w:rPr>
        <w:t>To investigate further, Fig. 2 shows the breakdown of production costs for fossil chemicals and wind-based green routes at different time points. We take average values for the years 2019 and 2020 as the natural gas and electricity prices before July 2021 were approximately constant</w:t>
      </w:r>
      <w:r w:rsidR="00444DDB">
        <w:rPr>
          <w:rFonts w:cstheme="minorHAnsi"/>
        </w:rPr>
        <w:t xml:space="preserve">. </w:t>
      </w:r>
      <w:r w:rsidRPr="002D4245">
        <w:rPr>
          <w:rFonts w:cstheme="minorHAnsi"/>
        </w:rPr>
        <w:t>Notably, the contribution of natural gas to the average production costs for fossil ammonia increased from 2</w:t>
      </w:r>
      <w:r w:rsidR="00B14625">
        <w:rPr>
          <w:rFonts w:cstheme="minorHAnsi"/>
        </w:rPr>
        <w:t>1</w:t>
      </w:r>
      <w:r w:rsidRPr="002D4245">
        <w:rPr>
          <w:rFonts w:cstheme="minorHAnsi"/>
        </w:rPr>
        <w:t>% in 2020 to 44% in July 2021 and up to 6</w:t>
      </w:r>
      <w:r w:rsidR="00B14625">
        <w:rPr>
          <w:rFonts w:cstheme="minorHAnsi"/>
        </w:rPr>
        <w:t>3</w:t>
      </w:r>
      <w:r w:rsidRPr="002D4245">
        <w:rPr>
          <w:rFonts w:cstheme="minorHAnsi"/>
        </w:rPr>
        <w:t xml:space="preserve">% in </w:t>
      </w:r>
      <w:r w:rsidR="00B14625">
        <w:rPr>
          <w:rFonts w:cstheme="minorHAnsi"/>
        </w:rPr>
        <w:t>November</w:t>
      </w:r>
      <w:r w:rsidRPr="002D4245">
        <w:rPr>
          <w:rFonts w:cstheme="minorHAnsi"/>
        </w:rPr>
        <w:t xml:space="preserve"> 2022 (Fig. 2a). Similarly, the contribution of electricity increased from 8% in 2020 to 1</w:t>
      </w:r>
      <w:r w:rsidR="00B14625">
        <w:rPr>
          <w:rFonts w:cstheme="minorHAnsi"/>
        </w:rPr>
        <w:t>2</w:t>
      </w:r>
      <w:r w:rsidRPr="002D4245">
        <w:rPr>
          <w:rFonts w:cstheme="minorHAnsi"/>
        </w:rPr>
        <w:t xml:space="preserve">% in </w:t>
      </w:r>
      <w:r w:rsidR="00B14625">
        <w:rPr>
          <w:rFonts w:cstheme="minorHAnsi"/>
        </w:rPr>
        <w:t>November</w:t>
      </w:r>
      <w:r w:rsidRPr="002D4245">
        <w:rPr>
          <w:rFonts w:cstheme="minorHAnsi"/>
        </w:rPr>
        <w:t xml:space="preserve"> 2022. Green hydrogen from wind electrolysis has the highest share (67% to 8</w:t>
      </w:r>
      <w:r w:rsidR="00DB59F3">
        <w:rPr>
          <w:rFonts w:cstheme="minorHAnsi"/>
        </w:rPr>
        <w:t>4</w:t>
      </w:r>
      <w:r w:rsidRPr="002D4245">
        <w:rPr>
          <w:rFonts w:cstheme="minorHAnsi"/>
        </w:rPr>
        <w:t xml:space="preserve">%) of the production cost for green ammonia. Since wind electricity is used only for the electrolyzer, whereas for the compressors we consider grid electricity, the share of grid electricity rose from </w:t>
      </w:r>
      <w:r w:rsidRPr="002D4245">
        <w:rPr>
          <w:rFonts w:cstheme="minorHAnsi"/>
        </w:rPr>
        <w:sym w:font="Symbol" w:char="F07E"/>
      </w:r>
      <w:r w:rsidRPr="002D4245">
        <w:rPr>
          <w:rFonts w:cstheme="minorHAnsi"/>
        </w:rPr>
        <w:t xml:space="preserve">1% in 2020 to </w:t>
      </w:r>
      <w:r w:rsidR="00EF398A">
        <w:rPr>
          <w:rFonts w:cstheme="minorHAnsi"/>
        </w:rPr>
        <w:t>6</w:t>
      </w:r>
      <w:r w:rsidRPr="002D4245">
        <w:rPr>
          <w:rFonts w:cstheme="minorHAnsi"/>
        </w:rPr>
        <w:t xml:space="preserve">% in </w:t>
      </w:r>
      <w:r w:rsidR="00606BD8">
        <w:rPr>
          <w:rFonts w:cstheme="minorHAnsi"/>
        </w:rPr>
        <w:t>November</w:t>
      </w:r>
      <w:r w:rsidRPr="002D4245">
        <w:rPr>
          <w:rFonts w:cstheme="minorHAnsi"/>
        </w:rPr>
        <w:t xml:space="preserve"> 2022. </w:t>
      </w:r>
    </w:p>
    <w:p w14:paraId="7DA5AF75" w14:textId="77777777" w:rsidR="000A56C5" w:rsidRPr="002D4245" w:rsidRDefault="000A56C5">
      <w:pPr>
        <w:rPr>
          <w:rFonts w:cstheme="minorHAnsi"/>
          <w:b/>
          <w:bCs/>
        </w:rPr>
      </w:pPr>
    </w:p>
    <w:p w14:paraId="3A88481D" w14:textId="1DEFC1C8" w:rsidR="00585AB2" w:rsidRPr="002D4245" w:rsidRDefault="00585AB2">
      <w:pPr>
        <w:rPr>
          <w:rFonts w:cstheme="minorHAnsi"/>
        </w:rPr>
      </w:pPr>
      <w:r w:rsidRPr="002D4245">
        <w:rPr>
          <w:rFonts w:cstheme="minorHAnsi"/>
          <w:noProof/>
        </w:rPr>
        <w:lastRenderedPageBreak/>
        <w:drawing>
          <wp:inline distT="0" distB="0" distL="0" distR="0" wp14:anchorId="2DB80D61" wp14:editId="3661A681">
            <wp:extent cx="6857999" cy="623869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999" cy="6238697"/>
                    </a:xfrm>
                    <a:prstGeom prst="rect">
                      <a:avLst/>
                    </a:prstGeom>
                  </pic:spPr>
                </pic:pic>
              </a:graphicData>
            </a:graphic>
          </wp:inline>
        </w:drawing>
      </w:r>
    </w:p>
    <w:p w14:paraId="0017DBC2" w14:textId="77777777" w:rsidR="000A56C5" w:rsidRDefault="00585AB2" w:rsidP="000A56C5">
      <w:pPr>
        <w:rPr>
          <w:rFonts w:cstheme="minorHAnsi"/>
          <w:iCs/>
        </w:rPr>
      </w:pPr>
      <w:bookmarkStart w:id="0" w:name="_Ref121495662"/>
      <w:r w:rsidRPr="002D4245">
        <w:rPr>
          <w:rFonts w:cstheme="minorHAnsi"/>
          <w:b/>
        </w:rPr>
        <w:t xml:space="preserve">Fig. </w:t>
      </w:r>
      <w:r w:rsidRPr="002D4245">
        <w:rPr>
          <w:rFonts w:cstheme="minorHAnsi"/>
          <w:b/>
          <w:i/>
        </w:rPr>
        <w:fldChar w:fldCharType="begin"/>
      </w:r>
      <w:r w:rsidRPr="002D4245">
        <w:rPr>
          <w:rFonts w:cstheme="minorHAnsi"/>
          <w:b/>
        </w:rPr>
        <w:instrText xml:space="preserve"> SEQ Fig. \* ARABIC </w:instrText>
      </w:r>
      <w:r w:rsidRPr="002D4245">
        <w:rPr>
          <w:rFonts w:cstheme="minorHAnsi"/>
          <w:b/>
          <w:i/>
        </w:rPr>
        <w:fldChar w:fldCharType="separate"/>
      </w:r>
      <w:r w:rsidRPr="002D4245">
        <w:rPr>
          <w:rFonts w:cstheme="minorHAnsi"/>
          <w:b/>
          <w:noProof/>
        </w:rPr>
        <w:t>1</w:t>
      </w:r>
      <w:r w:rsidRPr="002D4245">
        <w:rPr>
          <w:rFonts w:cstheme="minorHAnsi"/>
          <w:b/>
          <w:i/>
        </w:rPr>
        <w:fldChar w:fldCharType="end"/>
      </w:r>
      <w:bookmarkEnd w:id="0"/>
      <w:r w:rsidRPr="002D4245">
        <w:rPr>
          <w:rFonts w:cstheme="minorHAnsi"/>
          <w:b/>
        </w:rPr>
        <w:t>. Evolution of the production cost for fossil and green ammonia and methanol under the European spot price for natural gas.</w:t>
      </w:r>
      <w:r w:rsidRPr="002D4245">
        <w:rPr>
          <w:rFonts w:cstheme="minorHAnsi"/>
        </w:rPr>
        <w:t xml:space="preserve"> The error bars display the production cost considering the lower and upper bound for the levelized cost of hydrogen</w:t>
      </w:r>
      <w:r w:rsidRPr="002D4245">
        <w:rPr>
          <w:rFonts w:cstheme="minorHAnsi"/>
          <w:i/>
        </w:rPr>
        <w:fldChar w:fldCharType="begin"/>
      </w:r>
      <w:r w:rsidRPr="002D4245">
        <w:rPr>
          <w:rFonts w:cstheme="minorHAnsi"/>
        </w:rPr>
        <w:instrText xml:space="preserve"> ADDIN ZOTERO_ITEM CSL_CITATION {"citationID":"nokSUDTu","properties":{"formattedCitation":"\\super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2D4245">
        <w:rPr>
          <w:rFonts w:cstheme="minorHAnsi"/>
          <w:i/>
        </w:rPr>
        <w:fldChar w:fldCharType="separate"/>
      </w:r>
      <w:r w:rsidRPr="002D4245">
        <w:rPr>
          <w:rFonts w:cstheme="minorHAnsi"/>
          <w:vertAlign w:val="superscript"/>
        </w:rPr>
        <w:t>2</w:t>
      </w:r>
      <w:r w:rsidR="001628DE" w:rsidRPr="002D4245">
        <w:rPr>
          <w:rFonts w:cstheme="minorHAnsi"/>
          <w:vertAlign w:val="superscript"/>
        </w:rPr>
        <w:t>2</w:t>
      </w:r>
      <w:r w:rsidRPr="002D4245">
        <w:rPr>
          <w:rFonts w:cstheme="minorHAnsi"/>
          <w:i/>
        </w:rPr>
        <w:fldChar w:fldCharType="end"/>
      </w:r>
      <w:r w:rsidRPr="002D4245">
        <w:rPr>
          <w:rFonts w:cstheme="minorHAnsi"/>
          <w:iCs/>
        </w:rPr>
        <w:t>.</w:t>
      </w:r>
    </w:p>
    <w:p w14:paraId="254BD0F9" w14:textId="2B53ED83" w:rsidR="004E544D" w:rsidRPr="000A56C5" w:rsidRDefault="004E544D" w:rsidP="000A56C5">
      <w:pPr>
        <w:rPr>
          <w:rFonts w:cstheme="minorHAnsi"/>
          <w:iCs/>
        </w:rPr>
      </w:pPr>
      <w:r w:rsidRPr="002D4245">
        <w:rPr>
          <w:rFonts w:cstheme="minorHAnsi"/>
          <w:lang w:val="en-US"/>
        </w:rPr>
        <w:t xml:space="preserve">Similarly, for the production of fossil methanol, the share of natural gas increased from </w:t>
      </w:r>
      <w:r w:rsidR="00AF5380">
        <w:rPr>
          <w:rFonts w:cstheme="minorHAnsi"/>
          <w:lang w:val="en-US"/>
        </w:rPr>
        <w:t>48</w:t>
      </w:r>
      <w:r w:rsidRPr="002D4245">
        <w:rPr>
          <w:rFonts w:cstheme="minorHAnsi"/>
          <w:lang w:val="en-US"/>
        </w:rPr>
        <w:t xml:space="preserve">% in 2020 to </w:t>
      </w:r>
      <w:r w:rsidR="00AF5380">
        <w:rPr>
          <w:rFonts w:cstheme="minorHAnsi"/>
          <w:lang w:val="en-US"/>
        </w:rPr>
        <w:t>76</w:t>
      </w:r>
      <w:r w:rsidRPr="002D4245">
        <w:rPr>
          <w:rFonts w:cstheme="minorHAnsi"/>
          <w:lang w:val="en-US"/>
        </w:rPr>
        <w:t xml:space="preserve">% in July 2021, and </w:t>
      </w:r>
      <w:r w:rsidR="00AF5380">
        <w:rPr>
          <w:rFonts w:cstheme="minorHAnsi"/>
          <w:lang w:val="en-US"/>
        </w:rPr>
        <w:t>88</w:t>
      </w:r>
      <w:r w:rsidRPr="002D4245">
        <w:rPr>
          <w:rFonts w:cstheme="minorHAnsi"/>
          <w:lang w:val="en-US"/>
        </w:rPr>
        <w:t xml:space="preserve">% in </w:t>
      </w:r>
      <w:r w:rsidR="00AF5380">
        <w:rPr>
          <w:rFonts w:cstheme="minorHAnsi"/>
          <w:lang w:val="en-US"/>
        </w:rPr>
        <w:t>November</w:t>
      </w:r>
      <w:r w:rsidRPr="002D4245">
        <w:rPr>
          <w:rFonts w:cstheme="minorHAnsi"/>
          <w:lang w:val="en-US"/>
        </w:rPr>
        <w:t xml:space="preserve"> 2022 (Fig. 2b). </w:t>
      </w:r>
      <w:r w:rsidR="00732788">
        <w:rPr>
          <w:rFonts w:cstheme="minorHAnsi"/>
          <w:lang w:val="en-US"/>
        </w:rPr>
        <w:t>The</w:t>
      </w:r>
      <w:r w:rsidRPr="002D4245">
        <w:rPr>
          <w:rFonts w:cstheme="minorHAnsi"/>
          <w:lang w:val="en-US"/>
        </w:rPr>
        <w:t xml:space="preserve"> contribution of electricity </w:t>
      </w:r>
      <w:r w:rsidR="00732788">
        <w:rPr>
          <w:rFonts w:cstheme="minorHAnsi"/>
          <w:lang w:val="en-US"/>
        </w:rPr>
        <w:t>stood at around</w:t>
      </w:r>
      <w:r w:rsidRPr="002D4245">
        <w:rPr>
          <w:rFonts w:cstheme="minorHAnsi"/>
          <w:lang w:val="en-US"/>
        </w:rPr>
        <w:t xml:space="preserve"> </w:t>
      </w:r>
      <w:r w:rsidR="00DC5458" w:rsidRPr="002D4245">
        <w:rPr>
          <w:rFonts w:cstheme="minorHAnsi"/>
        </w:rPr>
        <w:sym w:font="Symbol" w:char="F07E"/>
      </w:r>
      <w:r w:rsidR="00DC5458" w:rsidRPr="002D4245">
        <w:rPr>
          <w:rFonts w:cstheme="minorHAnsi"/>
        </w:rPr>
        <w:t xml:space="preserve">1% </w:t>
      </w:r>
      <w:r w:rsidR="00BD7BDE">
        <w:rPr>
          <w:rFonts w:cstheme="minorHAnsi"/>
        </w:rPr>
        <w:t xml:space="preserve">during the entire period </w:t>
      </w:r>
      <w:r w:rsidR="0006104F">
        <w:rPr>
          <w:rFonts w:cstheme="minorHAnsi"/>
        </w:rPr>
        <w:t>considered in</w:t>
      </w:r>
      <w:r w:rsidR="00BD7BDE">
        <w:rPr>
          <w:rFonts w:cstheme="minorHAnsi"/>
        </w:rPr>
        <w:t xml:space="preserve"> our analysis</w:t>
      </w:r>
      <w:r w:rsidRPr="002D4245">
        <w:rPr>
          <w:rFonts w:cstheme="minorHAnsi"/>
          <w:lang w:val="en-US"/>
        </w:rPr>
        <w:t>. Hydrogen from wind electrolysis</w:t>
      </w:r>
      <w:r w:rsidR="000A1944" w:rsidRPr="002D4245">
        <w:rPr>
          <w:rFonts w:cstheme="minorHAnsi"/>
          <w:lang w:val="en-US"/>
        </w:rPr>
        <w:t xml:space="preserve"> has the highest share of around 6</w:t>
      </w:r>
      <w:r w:rsidR="00AE4FF6">
        <w:rPr>
          <w:rFonts w:cstheme="minorHAnsi"/>
          <w:lang w:val="en-US"/>
        </w:rPr>
        <w:t>5</w:t>
      </w:r>
      <w:r w:rsidR="000A1944" w:rsidRPr="002D4245">
        <w:rPr>
          <w:rFonts w:cstheme="minorHAnsi"/>
          <w:lang w:val="en-US"/>
        </w:rPr>
        <w:t>% in July 2021 which decreased to 5</w:t>
      </w:r>
      <w:r w:rsidR="00E20DA9">
        <w:rPr>
          <w:rFonts w:cstheme="minorHAnsi"/>
          <w:lang w:val="en-US"/>
        </w:rPr>
        <w:t>8</w:t>
      </w:r>
      <w:r w:rsidR="000A1944" w:rsidRPr="002D4245">
        <w:rPr>
          <w:rFonts w:cstheme="minorHAnsi"/>
          <w:lang w:val="en-US"/>
        </w:rPr>
        <w:t xml:space="preserve">% in </w:t>
      </w:r>
      <w:r w:rsidR="00E20DA9">
        <w:rPr>
          <w:rFonts w:cstheme="minorHAnsi"/>
          <w:lang w:val="en-US"/>
        </w:rPr>
        <w:t>November</w:t>
      </w:r>
      <w:r w:rsidR="000A1944" w:rsidRPr="002D4245">
        <w:rPr>
          <w:rFonts w:cstheme="minorHAnsi"/>
          <w:lang w:val="en-US"/>
        </w:rPr>
        <w:t xml:space="preserve"> 2022 for the green methanol production route. The share of CO</w:t>
      </w:r>
      <w:r w:rsidR="000A1944" w:rsidRPr="002D4245">
        <w:rPr>
          <w:rFonts w:cstheme="minorHAnsi"/>
          <w:vertAlign w:val="subscript"/>
          <w:lang w:val="en-US"/>
        </w:rPr>
        <w:t>2</w:t>
      </w:r>
      <w:r w:rsidR="000A1944" w:rsidRPr="002D4245">
        <w:rPr>
          <w:rFonts w:cstheme="minorHAnsi"/>
          <w:lang w:val="en-US"/>
        </w:rPr>
        <w:t xml:space="preserve"> from DAC was about 17% in 2020 and increased to </w:t>
      </w:r>
      <w:r w:rsidR="008108EC">
        <w:rPr>
          <w:rFonts w:cstheme="minorHAnsi"/>
          <w:lang w:val="en-US"/>
        </w:rPr>
        <w:t>29</w:t>
      </w:r>
      <w:r w:rsidR="000A1944" w:rsidRPr="002D4245">
        <w:rPr>
          <w:rFonts w:cstheme="minorHAnsi"/>
          <w:lang w:val="en-US"/>
        </w:rPr>
        <w:t xml:space="preserve">% in </w:t>
      </w:r>
      <w:r w:rsidR="008108EC">
        <w:rPr>
          <w:rFonts w:cstheme="minorHAnsi"/>
          <w:lang w:val="en-US"/>
        </w:rPr>
        <w:t>November</w:t>
      </w:r>
      <w:r w:rsidR="008108EC" w:rsidRPr="002D4245">
        <w:rPr>
          <w:rFonts w:cstheme="minorHAnsi"/>
          <w:lang w:val="en-US"/>
        </w:rPr>
        <w:t xml:space="preserve"> </w:t>
      </w:r>
      <w:r w:rsidR="000A1944" w:rsidRPr="002D4245">
        <w:rPr>
          <w:rFonts w:cstheme="minorHAnsi"/>
          <w:lang w:val="en-US"/>
        </w:rPr>
        <w:t>2022. This increase can be attributed to the increase in natural gas prices which is required for the capture of CO</w:t>
      </w:r>
      <w:r w:rsidR="000A1944" w:rsidRPr="002D4245">
        <w:rPr>
          <w:rFonts w:cstheme="minorHAnsi"/>
          <w:vertAlign w:val="subscript"/>
          <w:lang w:val="en-US"/>
        </w:rPr>
        <w:t>2</w:t>
      </w:r>
      <w:r w:rsidR="000A1944" w:rsidRPr="002D4245">
        <w:rPr>
          <w:rFonts w:cstheme="minorHAnsi"/>
          <w:lang w:val="en-US"/>
        </w:rPr>
        <w:t xml:space="preserve"> via DAC. </w:t>
      </w:r>
    </w:p>
    <w:p w14:paraId="657B2655" w14:textId="098D5D63" w:rsidR="00723E8F" w:rsidRPr="002D4245" w:rsidRDefault="00723E8F" w:rsidP="004E544D">
      <w:pPr>
        <w:autoSpaceDE w:val="0"/>
        <w:autoSpaceDN w:val="0"/>
        <w:adjustRightInd w:val="0"/>
        <w:spacing w:after="0" w:line="240" w:lineRule="auto"/>
        <w:rPr>
          <w:rFonts w:cstheme="minorHAnsi"/>
          <w:b/>
          <w:bCs/>
          <w:u w:val="single"/>
          <w:lang w:val="en-US"/>
        </w:rPr>
      </w:pPr>
      <w:r w:rsidRPr="002D4245">
        <w:rPr>
          <w:rFonts w:cstheme="minorHAnsi"/>
          <w:b/>
          <w:bCs/>
          <w:u w:val="single"/>
          <w:lang w:val="en-US"/>
        </w:rPr>
        <w:t>CO</w:t>
      </w:r>
      <w:r w:rsidRPr="002D4245">
        <w:rPr>
          <w:rFonts w:cstheme="minorHAnsi"/>
          <w:b/>
          <w:bCs/>
          <w:u w:val="single"/>
          <w:vertAlign w:val="subscript"/>
          <w:lang w:val="en-US"/>
        </w:rPr>
        <w:t>2</w:t>
      </w:r>
      <w:r w:rsidRPr="002D4245">
        <w:rPr>
          <w:rFonts w:cstheme="minorHAnsi"/>
          <w:b/>
          <w:bCs/>
          <w:u w:val="single"/>
          <w:lang w:val="en-US"/>
        </w:rPr>
        <w:t xml:space="preserve"> avoidance costs</w:t>
      </w:r>
    </w:p>
    <w:p w14:paraId="68E3956E" w14:textId="7DE88FBF" w:rsidR="00723E8F" w:rsidRPr="002D4245" w:rsidRDefault="00723E8F" w:rsidP="004E544D">
      <w:pPr>
        <w:autoSpaceDE w:val="0"/>
        <w:autoSpaceDN w:val="0"/>
        <w:adjustRightInd w:val="0"/>
        <w:spacing w:after="0" w:line="240" w:lineRule="auto"/>
        <w:rPr>
          <w:rFonts w:cstheme="minorHAnsi"/>
          <w:b/>
          <w:bCs/>
          <w:u w:val="single"/>
          <w:lang w:val="en-US"/>
        </w:rPr>
      </w:pPr>
    </w:p>
    <w:p w14:paraId="5DDF9D14" w14:textId="4B0F7D2D" w:rsidR="00723E8F" w:rsidRPr="002D4245" w:rsidRDefault="00723E8F" w:rsidP="004E544D">
      <w:pPr>
        <w:autoSpaceDE w:val="0"/>
        <w:autoSpaceDN w:val="0"/>
        <w:adjustRightInd w:val="0"/>
        <w:spacing w:after="0" w:line="240" w:lineRule="auto"/>
        <w:rPr>
          <w:rFonts w:cstheme="minorHAnsi"/>
          <w:lang w:val="en-US"/>
        </w:rPr>
      </w:pPr>
      <w:r w:rsidRPr="002D4245">
        <w:rPr>
          <w:rFonts w:cstheme="minorHAnsi"/>
          <w:lang w:val="en-US"/>
        </w:rPr>
        <w:lastRenderedPageBreak/>
        <w:t>The CO</w:t>
      </w:r>
      <w:r w:rsidRPr="002D4245">
        <w:rPr>
          <w:rFonts w:cstheme="minorHAnsi"/>
          <w:vertAlign w:val="subscript"/>
          <w:lang w:val="en-US"/>
        </w:rPr>
        <w:t>2</w:t>
      </w:r>
      <w:r w:rsidRPr="002D4245">
        <w:rPr>
          <w:rFonts w:cstheme="minorHAnsi"/>
          <w:lang w:val="en-US"/>
        </w:rPr>
        <w:t xml:space="preserve"> avoidance cost follows an inverse trend to the natural gas price (Fig. 3). </w:t>
      </w:r>
      <w:r w:rsidR="00865F8E" w:rsidRPr="002D4245">
        <w:rPr>
          <w:rFonts w:cstheme="minorHAnsi"/>
          <w:lang w:val="en-US"/>
        </w:rPr>
        <w:t xml:space="preserve">In 2020 at an average natural gas price of </w:t>
      </w:r>
      <w:r w:rsidR="00B875ED" w:rsidRPr="002D4245">
        <w:rPr>
          <w:rFonts w:cstheme="minorHAnsi"/>
          <w:lang w:val="en-US"/>
        </w:rPr>
        <w:t>145</w:t>
      </w:r>
      <w:r w:rsidR="00865F8E" w:rsidRPr="002D4245">
        <w:rPr>
          <w:rFonts w:cstheme="minorHAnsi"/>
          <w:lang w:val="en-US"/>
        </w:rPr>
        <w:t xml:space="preserve"> USD t</w:t>
      </w:r>
      <w:r w:rsidR="00865F8E" w:rsidRPr="002D4245">
        <w:rPr>
          <w:rFonts w:cstheme="minorHAnsi"/>
          <w:vertAlign w:val="superscript"/>
          <w:lang w:val="en-US"/>
        </w:rPr>
        <w:t>-1</w:t>
      </w:r>
      <w:r w:rsidR="00865F8E" w:rsidRPr="002D4245">
        <w:rPr>
          <w:rFonts w:cstheme="minorHAnsi"/>
          <w:lang w:val="en-US"/>
        </w:rPr>
        <w:t xml:space="preserve">, wind- and solar-based ammonia result in an avoidance cost of </w:t>
      </w:r>
      <w:r w:rsidR="00B875ED" w:rsidRPr="002D4245">
        <w:rPr>
          <w:rFonts w:cstheme="minorHAnsi"/>
          <w:lang w:val="en-US"/>
        </w:rPr>
        <w:t>5</w:t>
      </w:r>
      <w:r w:rsidR="00C64B3E">
        <w:rPr>
          <w:rFonts w:cstheme="minorHAnsi"/>
          <w:lang w:val="en-US"/>
        </w:rPr>
        <w:t>1</w:t>
      </w:r>
      <w:r w:rsidR="00B875ED" w:rsidRPr="002D4245">
        <w:rPr>
          <w:rFonts w:cstheme="minorHAnsi"/>
          <w:lang w:val="en-US"/>
        </w:rPr>
        <w:t>3</w:t>
      </w:r>
      <w:r w:rsidR="00865F8E" w:rsidRPr="002D4245">
        <w:rPr>
          <w:rFonts w:cstheme="minorHAnsi"/>
          <w:lang w:val="en-US"/>
        </w:rPr>
        <w:t xml:space="preserve"> and </w:t>
      </w:r>
      <w:r w:rsidR="00B875ED" w:rsidRPr="002D4245">
        <w:rPr>
          <w:rFonts w:cstheme="minorHAnsi"/>
          <w:lang w:val="en-US"/>
        </w:rPr>
        <w:t>1</w:t>
      </w:r>
      <w:r w:rsidR="00F96286">
        <w:rPr>
          <w:rFonts w:cstheme="minorHAnsi"/>
          <w:lang w:val="en-US"/>
        </w:rPr>
        <w:t>,</w:t>
      </w:r>
      <w:r w:rsidR="00B875ED" w:rsidRPr="002D4245">
        <w:rPr>
          <w:rFonts w:cstheme="minorHAnsi"/>
          <w:lang w:val="en-US"/>
        </w:rPr>
        <w:t>2</w:t>
      </w:r>
      <w:r w:rsidR="00C64B3E">
        <w:rPr>
          <w:rFonts w:cstheme="minorHAnsi"/>
          <w:lang w:val="en-US"/>
        </w:rPr>
        <w:t>59</w:t>
      </w:r>
      <w:r w:rsidR="00865F8E" w:rsidRPr="002D4245">
        <w:rPr>
          <w:rFonts w:cstheme="minorHAnsi"/>
          <w:lang w:val="en-US"/>
        </w:rPr>
        <w:t xml:space="preserve"> USD t</w:t>
      </w:r>
      <w:r w:rsidR="00865F8E" w:rsidRPr="002D4245">
        <w:rPr>
          <w:rFonts w:cstheme="minorHAnsi"/>
          <w:vertAlign w:val="superscript"/>
          <w:lang w:val="en-US"/>
        </w:rPr>
        <w:t xml:space="preserve">-1 </w:t>
      </w:r>
      <w:r w:rsidR="00865F8E" w:rsidRPr="002D4245">
        <w:rPr>
          <w:rFonts w:cstheme="minorHAnsi"/>
          <w:lang w:val="en-US"/>
        </w:rPr>
        <w:t>CO</w:t>
      </w:r>
      <w:r w:rsidR="00865F8E" w:rsidRPr="002D4245">
        <w:rPr>
          <w:rFonts w:cstheme="minorHAnsi"/>
          <w:vertAlign w:val="subscript"/>
          <w:lang w:val="en-US"/>
        </w:rPr>
        <w:t>2</w:t>
      </w:r>
      <w:r w:rsidR="00865F8E" w:rsidRPr="002D4245">
        <w:rPr>
          <w:rFonts w:cstheme="minorHAnsi"/>
          <w:lang w:val="en-US"/>
        </w:rPr>
        <w:t xml:space="preserve">, respectively. </w:t>
      </w:r>
      <w:r w:rsidR="00695AFC" w:rsidRPr="002D4245">
        <w:rPr>
          <w:rFonts w:cstheme="minorHAnsi"/>
          <w:lang w:val="en-US"/>
        </w:rPr>
        <w:t xml:space="preserve">This cost is substantially higher for methanol with </w:t>
      </w:r>
      <w:r w:rsidR="003117B3">
        <w:rPr>
          <w:rFonts w:cstheme="minorHAnsi"/>
          <w:lang w:val="en-US"/>
        </w:rPr>
        <w:t>1</w:t>
      </w:r>
      <w:r w:rsidR="00C30AE5">
        <w:rPr>
          <w:rFonts w:cstheme="minorHAnsi"/>
          <w:lang w:val="en-US"/>
        </w:rPr>
        <w:t>,</w:t>
      </w:r>
      <w:r w:rsidR="003117B3">
        <w:rPr>
          <w:rFonts w:cstheme="minorHAnsi"/>
          <w:lang w:val="en-US"/>
        </w:rPr>
        <w:t>327</w:t>
      </w:r>
      <w:r w:rsidR="00695AFC" w:rsidRPr="002D4245">
        <w:rPr>
          <w:rFonts w:cstheme="minorHAnsi"/>
          <w:lang w:val="en-US"/>
        </w:rPr>
        <w:t xml:space="preserve"> and </w:t>
      </w:r>
      <w:r w:rsidR="003117B3">
        <w:rPr>
          <w:rFonts w:cstheme="minorHAnsi"/>
          <w:lang w:val="en-US"/>
        </w:rPr>
        <w:t>7</w:t>
      </w:r>
      <w:r w:rsidR="00C30AE5">
        <w:rPr>
          <w:rFonts w:cstheme="minorHAnsi"/>
          <w:lang w:val="en-US"/>
        </w:rPr>
        <w:t>,</w:t>
      </w:r>
      <w:r w:rsidR="003117B3">
        <w:rPr>
          <w:rFonts w:cstheme="minorHAnsi"/>
          <w:lang w:val="en-US"/>
        </w:rPr>
        <w:t>104</w:t>
      </w:r>
      <w:r w:rsidR="00695AFC" w:rsidRPr="002D4245">
        <w:rPr>
          <w:rFonts w:cstheme="minorHAnsi"/>
          <w:lang w:val="en-US"/>
        </w:rPr>
        <w:t xml:space="preserve"> USD t</w:t>
      </w:r>
      <w:r w:rsidR="00695AFC" w:rsidRPr="002D4245">
        <w:rPr>
          <w:rFonts w:cstheme="minorHAnsi"/>
          <w:vertAlign w:val="superscript"/>
          <w:lang w:val="en-US"/>
        </w:rPr>
        <w:t xml:space="preserve">-1 </w:t>
      </w:r>
      <w:r w:rsidR="00695AFC" w:rsidRPr="002D4245">
        <w:rPr>
          <w:rFonts w:cstheme="minorHAnsi"/>
          <w:lang w:val="en-US"/>
        </w:rPr>
        <w:t>CO</w:t>
      </w:r>
      <w:r w:rsidR="00695AFC" w:rsidRPr="002D4245">
        <w:rPr>
          <w:rFonts w:cstheme="minorHAnsi"/>
          <w:vertAlign w:val="subscript"/>
          <w:lang w:val="en-US"/>
        </w:rPr>
        <w:t>2</w:t>
      </w:r>
      <w:r w:rsidR="00695AFC" w:rsidRPr="002D4245">
        <w:rPr>
          <w:rFonts w:cstheme="minorHAnsi"/>
          <w:lang w:val="en-US"/>
        </w:rPr>
        <w:t xml:space="preserve">, respectively, primarily due to </w:t>
      </w:r>
      <w:r w:rsidR="00585AB2" w:rsidRPr="002D4245">
        <w:rPr>
          <w:rFonts w:cstheme="minorHAnsi"/>
          <w:lang w:val="en-US"/>
        </w:rPr>
        <w:t>a higher difference between the production costs of fossil and green methanol</w:t>
      </w:r>
      <w:r w:rsidR="00695AFC" w:rsidRPr="002D4245">
        <w:rPr>
          <w:rFonts w:cstheme="minorHAnsi"/>
          <w:lang w:val="en-US"/>
        </w:rPr>
        <w:t>. Notably, the avoidance cost of green ammonia and methanol in 2020 largely surpasses the removal cost of bioenergy with carbon capture and storage (BECCS) and DAC with carbon capture and storage (DACCS), forecasted at 100</w:t>
      </w:r>
      <w:r w:rsidR="00B875ED" w:rsidRPr="002D4245">
        <w:rPr>
          <w:rFonts w:cstheme="minorHAnsi"/>
          <w:lang w:val="en-US"/>
        </w:rPr>
        <w:noBreakHyphen/>
      </w:r>
      <w:r w:rsidR="00695AFC" w:rsidRPr="002D4245">
        <w:rPr>
          <w:rFonts w:cstheme="minorHAnsi"/>
          <w:lang w:val="en-US"/>
        </w:rPr>
        <w:t>200</w:t>
      </w:r>
      <w:r w:rsidR="00B875ED" w:rsidRPr="002D4245">
        <w:rPr>
          <w:rFonts w:cstheme="minorHAnsi"/>
          <w:lang w:val="en-US"/>
        </w:rPr>
        <w:t> </w:t>
      </w:r>
      <w:r w:rsidR="00695AFC" w:rsidRPr="002D4245">
        <w:rPr>
          <w:rFonts w:cstheme="minorHAnsi"/>
          <w:lang w:val="en-US"/>
        </w:rPr>
        <w:t>USD</w:t>
      </w:r>
      <w:r w:rsidR="00B875ED" w:rsidRPr="002D4245">
        <w:rPr>
          <w:rFonts w:cstheme="minorHAnsi"/>
          <w:lang w:val="en-US"/>
        </w:rPr>
        <w:t> </w:t>
      </w:r>
      <w:r w:rsidR="00695AFC" w:rsidRPr="002D4245">
        <w:rPr>
          <w:rFonts w:cstheme="minorHAnsi"/>
          <w:lang w:val="en-US"/>
        </w:rPr>
        <w:t>t</w:t>
      </w:r>
      <w:r w:rsidR="00695AFC" w:rsidRPr="002D4245">
        <w:rPr>
          <w:rFonts w:cstheme="minorHAnsi"/>
          <w:vertAlign w:val="superscript"/>
          <w:lang w:val="en-US"/>
        </w:rPr>
        <w:t xml:space="preserve">-1 </w:t>
      </w:r>
      <w:r w:rsidR="000A4659" w:rsidRPr="002D4245">
        <w:rPr>
          <w:rFonts w:cstheme="minorHAnsi"/>
          <w:lang w:val="en-US"/>
        </w:rPr>
        <w:t>CO</w:t>
      </w:r>
      <w:r w:rsidR="000A4659" w:rsidRPr="002D4245">
        <w:rPr>
          <w:rFonts w:cstheme="minorHAnsi"/>
          <w:vertAlign w:val="subscript"/>
          <w:lang w:val="en-US"/>
        </w:rPr>
        <w:t>2</w:t>
      </w:r>
      <w:r w:rsidR="00695AFC" w:rsidRPr="002D4245">
        <w:rPr>
          <w:rFonts w:cstheme="minorHAnsi"/>
          <w:lang w:val="en-US"/>
        </w:rPr>
        <w:t xml:space="preserve"> and 100-300 USD t</w:t>
      </w:r>
      <w:r w:rsidR="00695AFC" w:rsidRPr="002D4245">
        <w:rPr>
          <w:rFonts w:cstheme="minorHAnsi"/>
          <w:vertAlign w:val="superscript"/>
          <w:lang w:val="en-US"/>
        </w:rPr>
        <w:t xml:space="preserve">-1 </w:t>
      </w:r>
      <w:r w:rsidR="00695AFC" w:rsidRPr="002D4245">
        <w:rPr>
          <w:rFonts w:cstheme="minorHAnsi"/>
          <w:lang w:val="en-US"/>
        </w:rPr>
        <w:t>CO</w:t>
      </w:r>
      <w:r w:rsidR="00695AFC" w:rsidRPr="002D4245">
        <w:rPr>
          <w:rFonts w:cstheme="minorHAnsi"/>
          <w:vertAlign w:val="subscript"/>
          <w:lang w:val="en-US"/>
        </w:rPr>
        <w:t>2</w:t>
      </w:r>
      <w:r w:rsidR="00695AFC" w:rsidRPr="002D4245">
        <w:rPr>
          <w:rFonts w:cstheme="minorHAnsi"/>
          <w:lang w:val="en-US"/>
        </w:rPr>
        <w:t>, respectively</w:t>
      </w:r>
      <w:r w:rsidR="00695AFC" w:rsidRPr="002D4245">
        <w:rPr>
          <w:rFonts w:cstheme="minorHAnsi"/>
          <w:vertAlign w:val="superscript"/>
          <w:lang w:val="en-US"/>
        </w:rPr>
        <w:t>23</w:t>
      </w:r>
      <w:r w:rsidR="00695AFC" w:rsidRPr="002D4245">
        <w:rPr>
          <w:rFonts w:cstheme="minorHAnsi"/>
          <w:lang w:val="en-US"/>
        </w:rPr>
        <w:t xml:space="preserve">. However, as natural gas prices increase, less money is required for every ton of </w:t>
      </w:r>
      <w:r w:rsidR="000A4659" w:rsidRPr="002D4245">
        <w:rPr>
          <w:rFonts w:cstheme="minorHAnsi"/>
          <w:lang w:val="en-US"/>
        </w:rPr>
        <w:t>CO</w:t>
      </w:r>
      <w:r w:rsidR="000A4659" w:rsidRPr="002D4245">
        <w:rPr>
          <w:rFonts w:cstheme="minorHAnsi"/>
          <w:vertAlign w:val="subscript"/>
          <w:lang w:val="en-US"/>
        </w:rPr>
        <w:t>2</w:t>
      </w:r>
      <w:r w:rsidR="00695AFC" w:rsidRPr="002D4245">
        <w:rPr>
          <w:rFonts w:cstheme="minorHAnsi"/>
          <w:lang w:val="en-US"/>
        </w:rPr>
        <w:t xml:space="preserve"> emission avoided by switching from fossil to green chemicals. At the peak of natural gas prices in 2022, the avoidance cost of green ammonia and methanol becomes negative, meaning that the industry could simultaneously reduce costs and </w:t>
      </w:r>
      <w:r w:rsidR="000A4659" w:rsidRPr="002D4245">
        <w:rPr>
          <w:rFonts w:cstheme="minorHAnsi"/>
          <w:lang w:val="en-US"/>
        </w:rPr>
        <w:t>CO</w:t>
      </w:r>
      <w:r w:rsidR="000A4659" w:rsidRPr="002D4245">
        <w:rPr>
          <w:rFonts w:cstheme="minorHAnsi"/>
          <w:vertAlign w:val="subscript"/>
          <w:lang w:val="en-US"/>
        </w:rPr>
        <w:t>2</w:t>
      </w:r>
      <w:r w:rsidR="00695AFC" w:rsidRPr="002D4245">
        <w:rPr>
          <w:rFonts w:cstheme="minorHAnsi"/>
          <w:lang w:val="en-US"/>
        </w:rPr>
        <w:t xml:space="preserve"> emissions. Since July 2021, the industry could save around 12</w:t>
      </w:r>
      <w:r w:rsidR="004B5784">
        <w:rPr>
          <w:rFonts w:cstheme="minorHAnsi"/>
          <w:lang w:val="en-US"/>
        </w:rPr>
        <w:t>3</w:t>
      </w:r>
      <w:r w:rsidR="00695AFC" w:rsidRPr="002D4245">
        <w:rPr>
          <w:rFonts w:cstheme="minorHAnsi"/>
          <w:lang w:val="en-US"/>
        </w:rPr>
        <w:t xml:space="preserve"> to 6</w:t>
      </w:r>
      <w:r w:rsidR="004B5784">
        <w:rPr>
          <w:rFonts w:cstheme="minorHAnsi"/>
          <w:lang w:val="en-US"/>
        </w:rPr>
        <w:t>25</w:t>
      </w:r>
      <w:r w:rsidR="00695AFC" w:rsidRPr="002D4245">
        <w:rPr>
          <w:rFonts w:cstheme="minorHAnsi"/>
          <w:lang w:val="en-US"/>
        </w:rPr>
        <w:t xml:space="preserve"> USD t</w:t>
      </w:r>
      <w:r w:rsidR="00695AFC" w:rsidRPr="002D4245">
        <w:rPr>
          <w:rFonts w:cstheme="minorHAnsi"/>
          <w:vertAlign w:val="superscript"/>
          <w:lang w:val="en-US"/>
        </w:rPr>
        <w:t xml:space="preserve">-1 </w:t>
      </w:r>
      <w:r w:rsidR="000A4659" w:rsidRPr="002D4245">
        <w:rPr>
          <w:rFonts w:cstheme="minorHAnsi"/>
          <w:lang w:val="en-US"/>
        </w:rPr>
        <w:t>CO</w:t>
      </w:r>
      <w:r w:rsidR="000A4659" w:rsidRPr="002D4245">
        <w:rPr>
          <w:rFonts w:cstheme="minorHAnsi"/>
          <w:vertAlign w:val="subscript"/>
          <w:lang w:val="en-US"/>
        </w:rPr>
        <w:t>2</w:t>
      </w:r>
      <w:r w:rsidR="00695AFC" w:rsidRPr="002D4245">
        <w:rPr>
          <w:rFonts w:cstheme="minorHAnsi"/>
          <w:lang w:val="en-US"/>
        </w:rPr>
        <w:t xml:space="preserve"> avoided via the wind</w:t>
      </w:r>
      <w:r w:rsidR="00181730" w:rsidRPr="002D4245">
        <w:rPr>
          <w:rFonts w:cstheme="minorHAnsi"/>
          <w:lang w:val="en-US"/>
        </w:rPr>
        <w:t>-based</w:t>
      </w:r>
      <w:r w:rsidR="00695AFC" w:rsidRPr="002D4245">
        <w:rPr>
          <w:rFonts w:cstheme="minorHAnsi"/>
          <w:lang w:val="en-US"/>
        </w:rPr>
        <w:t xml:space="preserve"> route for ammonia production. Similarly, in August 2022 for methanol via wind, savings stood at around </w:t>
      </w:r>
      <w:r w:rsidR="000277AB">
        <w:rPr>
          <w:rFonts w:cstheme="minorHAnsi"/>
          <w:lang w:val="en-US"/>
        </w:rPr>
        <w:t>4</w:t>
      </w:r>
      <w:r w:rsidR="00F01A17">
        <w:rPr>
          <w:rFonts w:cstheme="minorHAnsi"/>
          <w:lang w:val="en-US"/>
        </w:rPr>
        <w:t>6</w:t>
      </w:r>
      <w:r w:rsidR="00695AFC" w:rsidRPr="002D4245">
        <w:rPr>
          <w:rFonts w:cstheme="minorHAnsi"/>
          <w:lang w:val="en-US"/>
        </w:rPr>
        <w:t> USD t</w:t>
      </w:r>
      <w:r w:rsidR="00695AFC" w:rsidRPr="002D4245">
        <w:rPr>
          <w:rFonts w:cstheme="minorHAnsi"/>
          <w:vertAlign w:val="superscript"/>
          <w:lang w:val="en-US"/>
        </w:rPr>
        <w:noBreakHyphen/>
        <w:t>1</w:t>
      </w:r>
      <w:r w:rsidR="00695AFC" w:rsidRPr="002D4245">
        <w:rPr>
          <w:rFonts w:cstheme="minorHAnsi"/>
          <w:lang w:val="en-US"/>
        </w:rPr>
        <w:t xml:space="preserve"> CO</w:t>
      </w:r>
      <w:r w:rsidR="00695AFC" w:rsidRPr="002D4245">
        <w:rPr>
          <w:rFonts w:cstheme="minorHAnsi"/>
          <w:vertAlign w:val="subscript"/>
          <w:lang w:val="en-US"/>
        </w:rPr>
        <w:t>2</w:t>
      </w:r>
      <w:r w:rsidR="00695AFC" w:rsidRPr="002D4245">
        <w:rPr>
          <w:rFonts w:cstheme="minorHAnsi"/>
          <w:lang w:val="en-US"/>
        </w:rPr>
        <w:t xml:space="preserve"> avoided. </w:t>
      </w:r>
    </w:p>
    <w:p w14:paraId="34F1FBF0" w14:textId="77777777" w:rsidR="00723E8F" w:rsidRPr="002D4245" w:rsidRDefault="00723E8F" w:rsidP="004E544D">
      <w:pPr>
        <w:autoSpaceDE w:val="0"/>
        <w:autoSpaceDN w:val="0"/>
        <w:adjustRightInd w:val="0"/>
        <w:spacing w:after="0" w:line="240" w:lineRule="auto"/>
        <w:rPr>
          <w:rFonts w:cstheme="minorHAnsi"/>
          <w:lang w:val="en-US"/>
        </w:rPr>
      </w:pPr>
    </w:p>
    <w:p w14:paraId="227E7C24" w14:textId="77777777" w:rsidR="00585AB2" w:rsidRPr="002D4245" w:rsidRDefault="00585AB2">
      <w:pPr>
        <w:rPr>
          <w:rFonts w:cstheme="minorHAnsi"/>
          <w:b/>
          <w:bCs/>
          <w:u w:val="single"/>
        </w:rPr>
      </w:pPr>
    </w:p>
    <w:p w14:paraId="2041D228" w14:textId="77777777" w:rsidR="00585AB2" w:rsidRPr="002D4245" w:rsidRDefault="00585AB2">
      <w:pPr>
        <w:rPr>
          <w:rFonts w:cstheme="minorHAnsi"/>
          <w:b/>
          <w:bCs/>
          <w:u w:val="single"/>
        </w:rPr>
      </w:pPr>
    </w:p>
    <w:p w14:paraId="56230F09" w14:textId="77777777" w:rsidR="00585AB2" w:rsidRPr="002D4245" w:rsidRDefault="00585AB2">
      <w:pPr>
        <w:rPr>
          <w:rFonts w:cstheme="minorHAnsi"/>
          <w:b/>
          <w:bCs/>
          <w:u w:val="single"/>
        </w:rPr>
      </w:pPr>
    </w:p>
    <w:p w14:paraId="435084B6" w14:textId="77777777" w:rsidR="00585AB2" w:rsidRPr="002D4245" w:rsidRDefault="00585AB2">
      <w:pPr>
        <w:rPr>
          <w:rFonts w:cstheme="minorHAnsi"/>
          <w:b/>
          <w:bCs/>
          <w:u w:val="single"/>
        </w:rPr>
      </w:pPr>
    </w:p>
    <w:p w14:paraId="4DDFFC75" w14:textId="238A655B" w:rsidR="00585AB2" w:rsidRPr="002D4245" w:rsidRDefault="00585AB2" w:rsidP="00585AB2">
      <w:pPr>
        <w:pStyle w:val="Caption"/>
        <w:jc w:val="both"/>
        <w:rPr>
          <w:rFonts w:cstheme="minorHAnsi"/>
          <w:i w:val="0"/>
          <w:color w:val="auto"/>
          <w:sz w:val="22"/>
          <w:szCs w:val="22"/>
        </w:rPr>
      </w:pPr>
      <w:r w:rsidRPr="002D4245">
        <w:rPr>
          <w:rFonts w:cstheme="minorHAnsi"/>
          <w:b/>
          <w:bCs/>
          <w:noProof/>
          <w:sz w:val="22"/>
          <w:szCs w:val="22"/>
          <w:u w:val="single"/>
        </w:rPr>
        <w:lastRenderedPageBreak/>
        <w:drawing>
          <wp:anchor distT="0" distB="0" distL="114300" distR="114300" simplePos="0" relativeHeight="251658240" behindDoc="0" locked="0" layoutInCell="1" allowOverlap="1" wp14:anchorId="019E9008" wp14:editId="2DB290C4">
            <wp:simplePos x="0" y="0"/>
            <wp:positionH relativeFrom="column">
              <wp:posOffset>5080</wp:posOffset>
            </wp:positionH>
            <wp:positionV relativeFrom="paragraph">
              <wp:posOffset>2540</wp:posOffset>
            </wp:positionV>
            <wp:extent cx="6541135" cy="66300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1135" cy="6630035"/>
                    </a:xfrm>
                    <a:prstGeom prst="rect">
                      <a:avLst/>
                    </a:prstGeom>
                  </pic:spPr>
                </pic:pic>
              </a:graphicData>
            </a:graphic>
            <wp14:sizeRelH relativeFrom="page">
              <wp14:pctWidth>0</wp14:pctWidth>
            </wp14:sizeRelH>
            <wp14:sizeRelV relativeFrom="page">
              <wp14:pctHeight>0</wp14:pctHeight>
            </wp14:sizeRelV>
          </wp:anchor>
        </w:drawing>
      </w:r>
      <w:bookmarkStart w:id="1" w:name="_Ref121738922"/>
      <w:r w:rsidRPr="002D4245">
        <w:rPr>
          <w:rFonts w:cstheme="minorHAnsi"/>
          <w:b/>
          <w:i w:val="0"/>
          <w:color w:val="auto"/>
          <w:sz w:val="22"/>
          <w:szCs w:val="22"/>
        </w:rPr>
        <w:t xml:space="preserve">Fig. </w:t>
      </w:r>
      <w:r w:rsidRPr="002D4245">
        <w:rPr>
          <w:rFonts w:cstheme="minorHAnsi"/>
          <w:b/>
          <w:i w:val="0"/>
          <w:color w:val="auto"/>
          <w:sz w:val="22"/>
          <w:szCs w:val="22"/>
        </w:rPr>
        <w:fldChar w:fldCharType="begin"/>
      </w:r>
      <w:r w:rsidRPr="002D4245">
        <w:rPr>
          <w:rFonts w:cstheme="minorHAnsi"/>
          <w:b/>
          <w:i w:val="0"/>
          <w:color w:val="auto"/>
          <w:sz w:val="22"/>
          <w:szCs w:val="22"/>
        </w:rPr>
        <w:instrText xml:space="preserve"> SEQ Fig. \* ARABIC </w:instrText>
      </w:r>
      <w:r w:rsidRPr="002D4245">
        <w:rPr>
          <w:rFonts w:cstheme="minorHAnsi"/>
          <w:b/>
          <w:i w:val="0"/>
          <w:color w:val="auto"/>
          <w:sz w:val="22"/>
          <w:szCs w:val="22"/>
        </w:rPr>
        <w:fldChar w:fldCharType="separate"/>
      </w:r>
      <w:r w:rsidRPr="002D4245">
        <w:rPr>
          <w:rFonts w:cstheme="minorHAnsi"/>
          <w:b/>
          <w:i w:val="0"/>
          <w:noProof/>
          <w:color w:val="auto"/>
          <w:sz w:val="22"/>
          <w:szCs w:val="22"/>
        </w:rPr>
        <w:t>2</w:t>
      </w:r>
      <w:r w:rsidRPr="002D4245">
        <w:rPr>
          <w:rFonts w:cstheme="minorHAnsi"/>
          <w:b/>
          <w:i w:val="0"/>
          <w:color w:val="auto"/>
          <w:sz w:val="22"/>
          <w:szCs w:val="22"/>
        </w:rPr>
        <w:fldChar w:fldCharType="end"/>
      </w:r>
      <w:bookmarkEnd w:id="1"/>
      <w:r w:rsidRPr="002D4245">
        <w:rPr>
          <w:rFonts w:cstheme="minorHAnsi"/>
          <w:b/>
          <w:i w:val="0"/>
          <w:color w:val="auto"/>
          <w:sz w:val="22"/>
          <w:szCs w:val="22"/>
        </w:rPr>
        <w:t>. Breakdown of production costs for fossil and green ammonia (a) and methanol (b)</w:t>
      </w:r>
      <w:r w:rsidRPr="002D4245">
        <w:rPr>
          <w:rFonts w:cstheme="minorHAnsi"/>
          <w:i w:val="0"/>
          <w:color w:val="auto"/>
          <w:sz w:val="22"/>
          <w:szCs w:val="22"/>
        </w:rPr>
        <w:t>. The green route uses hydrogen from water electrolysis using on-shore wind electricity and CO</w:t>
      </w:r>
      <w:r w:rsidRPr="002D4245">
        <w:rPr>
          <w:rFonts w:cstheme="minorHAnsi"/>
          <w:i w:val="0"/>
          <w:color w:val="auto"/>
          <w:sz w:val="22"/>
          <w:szCs w:val="22"/>
          <w:vertAlign w:val="subscript"/>
        </w:rPr>
        <w:t>2</w:t>
      </w:r>
      <w:r w:rsidRPr="002D4245">
        <w:rPr>
          <w:rFonts w:cstheme="minorHAnsi"/>
          <w:i w:val="0"/>
          <w:color w:val="auto"/>
          <w:sz w:val="22"/>
          <w:szCs w:val="22"/>
        </w:rPr>
        <w:t xml:space="preserve"> from direct air capture (DAC). The error bars display the production cost considering the lower and upper bound for the levelized cost of hydrogen</w:t>
      </w:r>
      <w:r w:rsidRPr="002D4245">
        <w:rPr>
          <w:rFonts w:cstheme="minorHAnsi"/>
          <w:i w:val="0"/>
          <w:color w:val="auto"/>
          <w:sz w:val="22"/>
          <w:szCs w:val="22"/>
        </w:rPr>
        <w:fldChar w:fldCharType="begin"/>
      </w:r>
      <w:r w:rsidRPr="002D4245">
        <w:rPr>
          <w:rFonts w:cstheme="minorHAnsi"/>
          <w:i w:val="0"/>
          <w:color w:val="auto"/>
          <w:sz w:val="22"/>
          <w:szCs w:val="22"/>
        </w:rPr>
        <w:instrText xml:space="preserve"> ADDIN ZOTERO_ITEM CSL_CITATION {"citationID":"DTS6kCXH","properties":{"formattedCitation":"\\super 21\\nosupersub{}","plainCitation":"21","noteIndex":0},"citationItems":[{"id":26628,"uris":["http://zotero.org/users/9157291/items/TXYNLTG5"],"itemData":{"id":26628,"type":"report","event-place":"Abu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2D4245">
        <w:rPr>
          <w:rFonts w:cstheme="minorHAnsi"/>
          <w:i w:val="0"/>
          <w:color w:val="auto"/>
          <w:sz w:val="22"/>
          <w:szCs w:val="22"/>
        </w:rPr>
        <w:fldChar w:fldCharType="separate"/>
      </w:r>
      <w:r w:rsidRPr="002D4245">
        <w:rPr>
          <w:rFonts w:cstheme="minorHAnsi"/>
          <w:i w:val="0"/>
          <w:sz w:val="22"/>
          <w:szCs w:val="22"/>
          <w:vertAlign w:val="superscript"/>
        </w:rPr>
        <w:t>2</w:t>
      </w:r>
      <w:r w:rsidR="001628DE" w:rsidRPr="002D4245">
        <w:rPr>
          <w:rFonts w:cstheme="minorHAnsi"/>
          <w:i w:val="0"/>
          <w:sz w:val="22"/>
          <w:szCs w:val="22"/>
          <w:vertAlign w:val="superscript"/>
        </w:rPr>
        <w:t>2</w:t>
      </w:r>
      <w:r w:rsidRPr="002D4245">
        <w:rPr>
          <w:rFonts w:cstheme="minorHAnsi"/>
          <w:i w:val="0"/>
          <w:color w:val="auto"/>
          <w:sz w:val="22"/>
          <w:szCs w:val="22"/>
        </w:rPr>
        <w:fldChar w:fldCharType="end"/>
      </w:r>
      <w:r w:rsidRPr="002D4245">
        <w:rPr>
          <w:rFonts w:cstheme="minorHAnsi"/>
          <w:i w:val="0"/>
          <w:color w:val="auto"/>
          <w:sz w:val="22"/>
          <w:szCs w:val="22"/>
        </w:rPr>
        <w:t>.</w:t>
      </w:r>
    </w:p>
    <w:p w14:paraId="4CEBCAB5" w14:textId="24E4E1C2" w:rsidR="00585AB2" w:rsidRPr="002D4245" w:rsidRDefault="00585AB2">
      <w:pPr>
        <w:rPr>
          <w:rFonts w:cstheme="minorHAnsi"/>
          <w:b/>
          <w:bCs/>
          <w:u w:val="single"/>
        </w:rPr>
      </w:pPr>
    </w:p>
    <w:p w14:paraId="15DD13AA" w14:textId="77777777" w:rsidR="00585AB2" w:rsidRPr="002D4245" w:rsidRDefault="00585AB2">
      <w:pPr>
        <w:rPr>
          <w:rFonts w:cstheme="minorHAnsi"/>
          <w:b/>
          <w:bCs/>
          <w:u w:val="single"/>
        </w:rPr>
      </w:pPr>
    </w:p>
    <w:p w14:paraId="468EFA2D" w14:textId="77777777" w:rsidR="001628DE" w:rsidRPr="002D4245" w:rsidRDefault="001628DE">
      <w:pPr>
        <w:rPr>
          <w:rFonts w:cstheme="minorHAnsi"/>
          <w:b/>
          <w:bCs/>
          <w:u w:val="single"/>
        </w:rPr>
      </w:pPr>
    </w:p>
    <w:p w14:paraId="54169AE7" w14:textId="77777777" w:rsidR="001628DE" w:rsidRPr="002D4245" w:rsidRDefault="001628DE">
      <w:pPr>
        <w:rPr>
          <w:rFonts w:cstheme="minorHAnsi"/>
          <w:b/>
          <w:bCs/>
          <w:u w:val="single"/>
        </w:rPr>
      </w:pPr>
    </w:p>
    <w:p w14:paraId="21B41276" w14:textId="77777777" w:rsidR="001628DE" w:rsidRPr="002D4245" w:rsidRDefault="001628DE">
      <w:pPr>
        <w:rPr>
          <w:rFonts w:cstheme="minorHAnsi"/>
          <w:b/>
          <w:bCs/>
          <w:u w:val="single"/>
        </w:rPr>
      </w:pPr>
    </w:p>
    <w:p w14:paraId="11FF6280" w14:textId="372843E5" w:rsidR="001628DE" w:rsidRPr="002D4245" w:rsidRDefault="001628DE" w:rsidP="001628DE">
      <w:pPr>
        <w:rPr>
          <w:rFonts w:cstheme="minorHAnsi"/>
          <w:b/>
          <w:bCs/>
          <w:u w:val="single"/>
        </w:rPr>
      </w:pPr>
      <w:r w:rsidRPr="002D4245">
        <w:rPr>
          <w:rFonts w:cstheme="minorHAnsi"/>
          <w:b/>
          <w:bCs/>
          <w:noProof/>
          <w:u w:val="single"/>
        </w:rPr>
        <w:lastRenderedPageBreak/>
        <w:drawing>
          <wp:anchor distT="0" distB="0" distL="114300" distR="114300" simplePos="0" relativeHeight="251659264" behindDoc="0" locked="0" layoutInCell="1" allowOverlap="1" wp14:anchorId="68FCD119" wp14:editId="25A0A2DB">
            <wp:simplePos x="0" y="0"/>
            <wp:positionH relativeFrom="column">
              <wp:posOffset>1905</wp:posOffset>
            </wp:positionH>
            <wp:positionV relativeFrom="paragraph">
              <wp:posOffset>3175</wp:posOffset>
            </wp:positionV>
            <wp:extent cx="6546850" cy="6635115"/>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6850" cy="6635115"/>
                    </a:xfrm>
                    <a:prstGeom prst="rect">
                      <a:avLst/>
                    </a:prstGeom>
                  </pic:spPr>
                </pic:pic>
              </a:graphicData>
            </a:graphic>
            <wp14:sizeRelH relativeFrom="page">
              <wp14:pctWidth>0</wp14:pctWidth>
            </wp14:sizeRelH>
            <wp14:sizeRelV relativeFrom="page">
              <wp14:pctHeight>0</wp14:pctHeight>
            </wp14:sizeRelV>
          </wp:anchor>
        </w:drawing>
      </w:r>
      <w:bookmarkStart w:id="2" w:name="_Ref121739885"/>
      <w:r w:rsidRPr="002D4245">
        <w:rPr>
          <w:rFonts w:cstheme="minorHAnsi"/>
          <w:b/>
        </w:rPr>
        <w:t xml:space="preserve">Fig. </w:t>
      </w:r>
      <w:r w:rsidRPr="002D4245">
        <w:rPr>
          <w:rFonts w:cstheme="minorHAnsi"/>
          <w:b/>
          <w:i/>
        </w:rPr>
        <w:fldChar w:fldCharType="begin"/>
      </w:r>
      <w:r w:rsidRPr="002D4245">
        <w:rPr>
          <w:rFonts w:cstheme="minorHAnsi"/>
          <w:b/>
        </w:rPr>
        <w:instrText xml:space="preserve"> SEQ Fig. \* ARABIC </w:instrText>
      </w:r>
      <w:r w:rsidRPr="002D4245">
        <w:rPr>
          <w:rFonts w:cstheme="minorHAnsi"/>
          <w:b/>
          <w:i/>
        </w:rPr>
        <w:fldChar w:fldCharType="separate"/>
      </w:r>
      <w:r w:rsidRPr="002D4245">
        <w:rPr>
          <w:rFonts w:cstheme="minorHAnsi"/>
          <w:b/>
          <w:noProof/>
        </w:rPr>
        <w:t>3</w:t>
      </w:r>
      <w:r w:rsidRPr="002D4245">
        <w:rPr>
          <w:rFonts w:cstheme="minorHAnsi"/>
          <w:b/>
          <w:i/>
        </w:rPr>
        <w:fldChar w:fldCharType="end"/>
      </w:r>
      <w:bookmarkEnd w:id="2"/>
      <w:r w:rsidRPr="002D4245">
        <w:rPr>
          <w:rFonts w:cstheme="minorHAnsi"/>
          <w:b/>
        </w:rPr>
        <w:t>. CO</w:t>
      </w:r>
      <w:r w:rsidRPr="002D4245">
        <w:rPr>
          <w:rFonts w:cstheme="minorHAnsi"/>
          <w:b/>
          <w:vertAlign w:val="subscript"/>
        </w:rPr>
        <w:t>2</w:t>
      </w:r>
      <w:r w:rsidRPr="002D4245">
        <w:rPr>
          <w:rFonts w:cstheme="minorHAnsi"/>
          <w:b/>
        </w:rPr>
        <w:t xml:space="preserve"> avoidance costs for green ammonia (a) and methanol (b).</w:t>
      </w:r>
      <w:r w:rsidRPr="002D4245">
        <w:rPr>
          <w:rFonts w:cstheme="minorHAnsi"/>
        </w:rPr>
        <w:t xml:space="preserve"> The error bars display the production cost considering the lower and upper bound for the levelized cost of hydrogen</w:t>
      </w:r>
      <w:r w:rsidRPr="002D4245">
        <w:rPr>
          <w:rFonts w:cstheme="minorHAnsi"/>
          <w:vertAlign w:val="superscript"/>
        </w:rPr>
        <w:t>22</w:t>
      </w:r>
      <w:r w:rsidRPr="002D4245">
        <w:rPr>
          <w:rFonts w:cstheme="minorHAnsi"/>
        </w:rPr>
        <w:t>.</w:t>
      </w:r>
    </w:p>
    <w:p w14:paraId="08F30286" w14:textId="7772EE25" w:rsidR="001E7F75" w:rsidRPr="002D4245" w:rsidRDefault="001E7F75" w:rsidP="001E7F75">
      <w:pPr>
        <w:rPr>
          <w:rFonts w:cstheme="minorHAnsi"/>
          <w:b/>
          <w:bCs/>
          <w:u w:val="single"/>
        </w:rPr>
      </w:pPr>
      <w:r w:rsidRPr="002D4245">
        <w:rPr>
          <w:rFonts w:cstheme="minorHAnsi"/>
          <w:b/>
          <w:bCs/>
          <w:u w:val="single"/>
        </w:rPr>
        <w:t>Discussion</w:t>
      </w:r>
    </w:p>
    <w:p w14:paraId="0F26F8CE" w14:textId="4C550FF2" w:rsidR="001E7F75" w:rsidRPr="002D4245" w:rsidRDefault="001C1BAA" w:rsidP="001E7F75">
      <w:pPr>
        <w:rPr>
          <w:rFonts w:cstheme="minorHAnsi"/>
        </w:rPr>
      </w:pPr>
      <w:r w:rsidRPr="002D4245">
        <w:rPr>
          <w:rFonts w:cstheme="minorHAnsi"/>
        </w:rPr>
        <w:t xml:space="preserve">While the current energy crisis faced in Europe is exceptional, natural gas prices are predicted to remain high (1,579 </w:t>
      </w:r>
      <w:r w:rsidRPr="002D4245">
        <w:rPr>
          <w:rFonts w:cstheme="minorHAnsi"/>
        </w:rPr>
        <w:noBreakHyphen/>
        <w:t xml:space="preserve"> 2,216 USD t</w:t>
      </w:r>
      <w:r w:rsidRPr="002D4245">
        <w:rPr>
          <w:rFonts w:cstheme="minorHAnsi"/>
          <w:vertAlign w:val="superscript"/>
        </w:rPr>
        <w:t>-1</w:t>
      </w:r>
      <w:r w:rsidRPr="002D4245">
        <w:rPr>
          <w:rFonts w:cstheme="minorHAnsi"/>
        </w:rPr>
        <w:t>)</w:t>
      </w:r>
      <w:r w:rsidR="005251B7" w:rsidRPr="002D4245">
        <w:rPr>
          <w:rFonts w:cstheme="minorHAnsi"/>
        </w:rPr>
        <w:t xml:space="preserve"> for the next few years</w:t>
      </w:r>
      <w:r w:rsidR="005251B7" w:rsidRPr="002D4245">
        <w:rPr>
          <w:rFonts w:cstheme="minorHAnsi"/>
          <w:vertAlign w:val="superscript"/>
        </w:rPr>
        <w:t>24</w:t>
      </w:r>
      <w:r w:rsidR="005251B7" w:rsidRPr="002D4245">
        <w:rPr>
          <w:rFonts w:cstheme="minorHAnsi"/>
        </w:rPr>
        <w:t>. On the contrary, the costs of renewable energy technologies are expected to decrease</w:t>
      </w:r>
      <w:r w:rsidR="005251B7" w:rsidRPr="002D4245">
        <w:rPr>
          <w:rFonts w:cstheme="minorHAnsi"/>
          <w:vertAlign w:val="superscript"/>
        </w:rPr>
        <w:t>25</w:t>
      </w:r>
      <w:r w:rsidR="005251B7" w:rsidRPr="002D4245">
        <w:rPr>
          <w:rFonts w:cstheme="minorHAnsi"/>
        </w:rPr>
        <w:t xml:space="preserve">. For that reason, ammonia production from wind could be the most promising technology in the foreseeable future. Identical to the case of ammonia, methanol production via wind is expected to be cost-competitive with fossil methanol in the coming future. </w:t>
      </w:r>
    </w:p>
    <w:p w14:paraId="3DF8097E" w14:textId="77777777" w:rsidR="000A56C5" w:rsidRDefault="000A56C5" w:rsidP="001E7F75">
      <w:pPr>
        <w:rPr>
          <w:rFonts w:cstheme="minorHAnsi"/>
          <w:b/>
          <w:bCs/>
          <w:u w:val="single"/>
        </w:rPr>
      </w:pPr>
    </w:p>
    <w:p w14:paraId="76519DB6" w14:textId="2E564093" w:rsidR="00F30BBF" w:rsidRPr="002D4245" w:rsidRDefault="00F30BBF" w:rsidP="001E7F75">
      <w:pPr>
        <w:rPr>
          <w:rFonts w:cstheme="minorHAnsi"/>
          <w:b/>
          <w:bCs/>
        </w:rPr>
      </w:pPr>
      <w:r w:rsidRPr="002D4245">
        <w:rPr>
          <w:rFonts w:cstheme="minorHAnsi"/>
          <w:b/>
          <w:bCs/>
          <w:u w:val="single"/>
        </w:rPr>
        <w:lastRenderedPageBreak/>
        <w:t>Experimental procedures</w:t>
      </w:r>
    </w:p>
    <w:p w14:paraId="40681069" w14:textId="0D1B0BE2" w:rsidR="001E7F75" w:rsidRPr="002D4245" w:rsidRDefault="00F30BBF" w:rsidP="001E7F75">
      <w:pPr>
        <w:rPr>
          <w:rFonts w:cstheme="minorHAnsi"/>
        </w:rPr>
      </w:pPr>
      <w:r w:rsidRPr="002D4245">
        <w:rPr>
          <w:rFonts w:cstheme="minorHAnsi"/>
          <w:b/>
          <w:bCs/>
        </w:rPr>
        <w:t xml:space="preserve">Scenarios definition. </w:t>
      </w:r>
      <w:r w:rsidRPr="002D4245">
        <w:rPr>
          <w:rFonts w:cstheme="minorHAnsi"/>
        </w:rPr>
        <w:t xml:space="preserve">Three alternative routes for the production of ammonia </w:t>
      </w:r>
      <w:r w:rsidR="00B82653" w:rsidRPr="002D4245">
        <w:rPr>
          <w:rFonts w:cstheme="minorHAnsi"/>
        </w:rPr>
        <w:t xml:space="preserve">and methanol </w:t>
      </w:r>
      <w:r w:rsidRPr="002D4245">
        <w:rPr>
          <w:rFonts w:cstheme="minorHAnsi"/>
        </w:rPr>
        <w:t>are considered. The only difference in the three cases is the source of hydrogen. The different sources of hydrogen considered are water electrolysis using on-shore wind electricity, water electrolysis using solar electricity, and steam methane reforming with carbon capture and storage (SMR + CCS). For all the</w:t>
      </w:r>
      <w:r w:rsidR="00B82653" w:rsidRPr="002D4245">
        <w:rPr>
          <w:rFonts w:cstheme="minorHAnsi"/>
        </w:rPr>
        <w:t xml:space="preserve"> ammonia production</w:t>
      </w:r>
      <w:r w:rsidRPr="002D4245">
        <w:rPr>
          <w:rFonts w:cstheme="minorHAnsi"/>
        </w:rPr>
        <w:t xml:space="preserve"> alternatives, along with hydrogen, nitrogen from cryogenic air separation is used as a feedstock. Whereas, in the case of conventional ammonia, nitrogen comes from the air which is used in the autothermal re</w:t>
      </w:r>
      <w:r w:rsidR="00B82653" w:rsidRPr="002D4245">
        <w:rPr>
          <w:rFonts w:cstheme="minorHAnsi"/>
        </w:rPr>
        <w:t>actor</w:t>
      </w:r>
      <w:r w:rsidRPr="002D4245">
        <w:rPr>
          <w:rFonts w:cstheme="minorHAnsi"/>
          <w:vertAlign w:val="superscript"/>
        </w:rPr>
        <w:t>9</w:t>
      </w:r>
      <w:r w:rsidRPr="002D4245">
        <w:rPr>
          <w:rFonts w:cstheme="minorHAnsi"/>
        </w:rPr>
        <w:t>.</w:t>
      </w:r>
      <w:r w:rsidR="00B82653" w:rsidRPr="002D4245">
        <w:rPr>
          <w:rFonts w:cstheme="minorHAnsi"/>
        </w:rPr>
        <w:t xml:space="preserve"> </w:t>
      </w:r>
      <w:r w:rsidR="00A45989">
        <w:rPr>
          <w:rFonts w:cstheme="minorHAnsi"/>
        </w:rPr>
        <w:t xml:space="preserve">For </w:t>
      </w:r>
      <w:r w:rsidR="00B82653" w:rsidRPr="002D4245">
        <w:rPr>
          <w:rFonts w:cstheme="minorHAnsi"/>
        </w:rPr>
        <w:t xml:space="preserve">methanol production, </w:t>
      </w:r>
      <w:r w:rsidR="00A45989">
        <w:rPr>
          <w:rFonts w:cstheme="minorHAnsi"/>
        </w:rPr>
        <w:t>a</w:t>
      </w:r>
      <w:r w:rsidR="00B82653" w:rsidRPr="002D4245">
        <w:rPr>
          <w:rFonts w:cstheme="minorHAnsi"/>
        </w:rPr>
        <w:t>ll three alternative production routes use CO</w:t>
      </w:r>
      <w:r w:rsidR="00B82653" w:rsidRPr="002D4245">
        <w:rPr>
          <w:rFonts w:cstheme="minorHAnsi"/>
          <w:vertAlign w:val="subscript"/>
        </w:rPr>
        <w:t>2</w:t>
      </w:r>
      <w:r w:rsidR="00B82653" w:rsidRPr="002D4245">
        <w:rPr>
          <w:rFonts w:cstheme="minorHAnsi"/>
        </w:rPr>
        <w:t xml:space="preserve"> from direct air capture (DAC) as a feedstock. Therefore, </w:t>
      </w:r>
      <w:r w:rsidR="00C5543B">
        <w:rPr>
          <w:rFonts w:cstheme="minorHAnsi"/>
        </w:rPr>
        <w:t>CO</w:t>
      </w:r>
      <w:r w:rsidR="00C5543B" w:rsidRPr="00C5543B">
        <w:rPr>
          <w:rFonts w:cstheme="minorHAnsi"/>
          <w:vertAlign w:val="subscript"/>
        </w:rPr>
        <w:t>2</w:t>
      </w:r>
      <w:r w:rsidR="00B82653" w:rsidRPr="002D4245">
        <w:rPr>
          <w:rFonts w:cstheme="minorHAnsi"/>
        </w:rPr>
        <w:t xml:space="preserve"> and hydrogen undergo the reverse water gas shift reaction to produce syngas, and syngas is converted to methanol in the following step. </w:t>
      </w:r>
    </w:p>
    <w:p w14:paraId="0911BC65" w14:textId="539D68AB" w:rsidR="001E7F75" w:rsidRDefault="00547380" w:rsidP="001E7F75">
      <w:pPr>
        <w:rPr>
          <w:rFonts w:cstheme="minorHAnsi"/>
        </w:rPr>
      </w:pPr>
      <w:r w:rsidRPr="002D4245">
        <w:rPr>
          <w:rFonts w:cstheme="minorHAnsi"/>
          <w:b/>
          <w:bCs/>
        </w:rPr>
        <w:t xml:space="preserve">Economic assessment. </w:t>
      </w:r>
      <w:r w:rsidRPr="002D4245">
        <w:rPr>
          <w:rFonts w:cstheme="minorHAnsi"/>
        </w:rPr>
        <w:t>The material balances and energy flows for both fossil and green ammonia are extracted from the work done by D’Angelo et al</w:t>
      </w:r>
      <w:r w:rsidR="007A7809" w:rsidRPr="002D4245">
        <w:rPr>
          <w:rFonts w:cstheme="minorHAnsi"/>
        </w:rPr>
        <w:t>.</w:t>
      </w:r>
      <w:r w:rsidRPr="002D4245">
        <w:rPr>
          <w:rFonts w:cstheme="minorHAnsi"/>
          <w:vertAlign w:val="superscript"/>
        </w:rPr>
        <w:t>9</w:t>
      </w:r>
      <w:r w:rsidRPr="002D4245">
        <w:rPr>
          <w:rFonts w:cstheme="minorHAnsi"/>
        </w:rPr>
        <w:t xml:space="preserve">. In the case of fossil ammonia, every ton of ammonia produced consumes 0.53 tons of natural gas and 940 kWh of electricity. </w:t>
      </w:r>
      <w:r w:rsidR="00650936" w:rsidRPr="002D4245">
        <w:rPr>
          <w:rFonts w:cstheme="minorHAnsi"/>
        </w:rPr>
        <w:t>The prices of feedstock and utilities other than natural gas, electricity</w:t>
      </w:r>
      <w:r w:rsidR="00516A6B" w:rsidRPr="002D4245">
        <w:rPr>
          <w:rFonts w:cstheme="minorHAnsi"/>
        </w:rPr>
        <w:t>,</w:t>
      </w:r>
      <w:r w:rsidR="00650936" w:rsidRPr="002D4245">
        <w:rPr>
          <w:rFonts w:cstheme="minorHAnsi"/>
        </w:rPr>
        <w:t xml:space="preserve"> and hydrogen are </w:t>
      </w:r>
      <w:r w:rsidR="00C35CD6" w:rsidRPr="002D4245">
        <w:rPr>
          <w:rFonts w:cstheme="minorHAnsi"/>
        </w:rPr>
        <w:t>extracted from D’Angelo et al</w:t>
      </w:r>
      <w:r w:rsidR="007A7809" w:rsidRPr="002D4245">
        <w:rPr>
          <w:rFonts w:cstheme="minorHAnsi"/>
        </w:rPr>
        <w:t>.</w:t>
      </w:r>
      <w:r w:rsidR="008567F4" w:rsidRPr="002D4245">
        <w:rPr>
          <w:rFonts w:cstheme="minorHAnsi"/>
          <w:vertAlign w:val="superscript"/>
        </w:rPr>
        <w:t>9</w:t>
      </w:r>
      <w:r w:rsidR="00C35CD6" w:rsidRPr="002D4245">
        <w:rPr>
          <w:rFonts w:cstheme="minorHAnsi"/>
        </w:rPr>
        <w:t xml:space="preserve"> and adjusted for inflation</w:t>
      </w:r>
      <w:r w:rsidR="007E3615" w:rsidRPr="002D4245">
        <w:rPr>
          <w:rFonts w:cstheme="minorHAnsi"/>
        </w:rPr>
        <w:t>.</w:t>
      </w:r>
      <w:r w:rsidR="00813D3B" w:rsidRPr="002D4245">
        <w:rPr>
          <w:rFonts w:cstheme="minorHAnsi"/>
        </w:rPr>
        <w:t xml:space="preserve"> </w:t>
      </w:r>
      <w:r w:rsidR="002D4245">
        <w:rPr>
          <w:rFonts w:cstheme="minorHAnsi"/>
        </w:rPr>
        <w:t>T</w:t>
      </w:r>
      <w:r w:rsidR="002D4245" w:rsidRPr="002D4245">
        <w:rPr>
          <w:rFonts w:cstheme="minorHAnsi"/>
        </w:rPr>
        <w:t>he monthly average natural gas TTF spot prices from World Bank</w:t>
      </w:r>
      <w:r w:rsidR="002D4245" w:rsidRPr="002D4245">
        <w:rPr>
          <w:rFonts w:cstheme="minorHAnsi"/>
          <w:vertAlign w:val="superscript"/>
        </w:rPr>
        <w:t>27</w:t>
      </w:r>
      <w:r w:rsidR="002D4245" w:rsidRPr="002D4245">
        <w:rPr>
          <w:rFonts w:cstheme="minorHAnsi"/>
        </w:rPr>
        <w:t xml:space="preserve"> and electricity prices from Ember</w:t>
      </w:r>
      <w:r w:rsidR="002D4245" w:rsidRPr="002D4245">
        <w:rPr>
          <w:rFonts w:cstheme="minorHAnsi"/>
          <w:vertAlign w:val="superscript"/>
        </w:rPr>
        <w:t>16</w:t>
      </w:r>
      <w:r w:rsidR="002D4245" w:rsidRPr="002D4245">
        <w:rPr>
          <w:rFonts w:cstheme="minorHAnsi"/>
        </w:rPr>
        <w:t xml:space="preserve"> </w:t>
      </w:r>
      <w:r w:rsidR="002D4245">
        <w:rPr>
          <w:rFonts w:cstheme="minorHAnsi"/>
        </w:rPr>
        <w:t xml:space="preserve">are used </w:t>
      </w:r>
      <w:r w:rsidR="002D4245" w:rsidRPr="002D4245">
        <w:rPr>
          <w:rFonts w:cstheme="minorHAnsi"/>
        </w:rPr>
        <w:t xml:space="preserve">for all our calculations. </w:t>
      </w:r>
      <w:r w:rsidR="00451FCE">
        <w:rPr>
          <w:rFonts w:cstheme="minorHAnsi"/>
        </w:rPr>
        <w:t>Further,</w:t>
      </w:r>
      <w:r w:rsidR="002D4245" w:rsidRPr="002D4245">
        <w:rPr>
          <w:rFonts w:cstheme="minorHAnsi"/>
        </w:rPr>
        <w:t xml:space="preserve"> the levelized cost for </w:t>
      </w:r>
      <w:r w:rsidR="00451FCE">
        <w:rPr>
          <w:rFonts w:cstheme="minorHAnsi"/>
        </w:rPr>
        <w:t>on</w:t>
      </w:r>
      <w:r w:rsidR="0027473F">
        <w:rPr>
          <w:rFonts w:cstheme="minorHAnsi"/>
        </w:rPr>
        <w:noBreakHyphen/>
      </w:r>
      <w:r w:rsidR="00451FCE">
        <w:rPr>
          <w:rFonts w:cstheme="minorHAnsi"/>
        </w:rPr>
        <w:t>shore wind and solar electricity and their corresponding capacity factors are extracted from IRENA for the years 2019 to 2021</w:t>
      </w:r>
      <w:r w:rsidR="00160A55">
        <w:rPr>
          <w:rFonts w:cstheme="minorHAnsi"/>
        </w:rPr>
        <w:t xml:space="preserve"> (except 2022)</w:t>
      </w:r>
      <w:r w:rsidR="00C72C8B" w:rsidRPr="00C72C8B">
        <w:rPr>
          <w:rFonts w:cstheme="minorHAnsi"/>
          <w:vertAlign w:val="superscript"/>
        </w:rPr>
        <w:t>28,29,30</w:t>
      </w:r>
      <w:r w:rsidR="00451FCE">
        <w:rPr>
          <w:rFonts w:cstheme="minorHAnsi"/>
        </w:rPr>
        <w:t>.</w:t>
      </w:r>
      <w:r w:rsidR="00C72C8B">
        <w:rPr>
          <w:rFonts w:cstheme="minorHAnsi"/>
        </w:rPr>
        <w:t xml:space="preserve"> Using these values</w:t>
      </w:r>
      <w:r w:rsidR="00160A55">
        <w:rPr>
          <w:rFonts w:cstheme="minorHAnsi"/>
        </w:rPr>
        <w:t>,</w:t>
      </w:r>
      <w:r w:rsidR="00C72C8B">
        <w:rPr>
          <w:rFonts w:cstheme="minorHAnsi"/>
        </w:rPr>
        <w:t xml:space="preserve"> the levelized cost of hydrogen </w:t>
      </w:r>
      <w:r w:rsidR="009422EA">
        <w:rPr>
          <w:rFonts w:cstheme="minorHAnsi"/>
        </w:rPr>
        <w:t xml:space="preserve">(LCOH) </w:t>
      </w:r>
      <w:r w:rsidR="00C72C8B">
        <w:rPr>
          <w:rFonts w:cstheme="minorHAnsi"/>
        </w:rPr>
        <w:t xml:space="preserve">is calculated </w:t>
      </w:r>
      <w:r w:rsidR="00FB2FF2">
        <w:rPr>
          <w:rFonts w:cstheme="minorHAnsi"/>
        </w:rPr>
        <w:t>following</w:t>
      </w:r>
      <w:r w:rsidR="00C72C8B">
        <w:rPr>
          <w:rFonts w:cstheme="minorHAnsi"/>
        </w:rPr>
        <w:t xml:space="preserve"> </w:t>
      </w:r>
      <w:r w:rsidR="00FB2FF2">
        <w:rPr>
          <w:rFonts w:cstheme="minorHAnsi"/>
        </w:rPr>
        <w:t xml:space="preserve">the assumptions and </w:t>
      </w:r>
      <w:r w:rsidR="00160A55">
        <w:rPr>
          <w:rFonts w:cstheme="minorHAnsi"/>
        </w:rPr>
        <w:t xml:space="preserve">equations </w:t>
      </w:r>
      <w:r w:rsidR="00FB2FF2">
        <w:rPr>
          <w:rFonts w:cstheme="minorHAnsi"/>
        </w:rPr>
        <w:t>provided</w:t>
      </w:r>
      <w:r w:rsidR="00160A55">
        <w:rPr>
          <w:rFonts w:cstheme="minorHAnsi"/>
        </w:rPr>
        <w:t xml:space="preserve"> in the work carried out </w:t>
      </w:r>
      <w:r w:rsidR="00C72C8B">
        <w:rPr>
          <w:rFonts w:cstheme="minorHAnsi"/>
        </w:rPr>
        <w:t>by D’Angelo et al.</w:t>
      </w:r>
      <w:r w:rsidR="00C72C8B" w:rsidRPr="00160A55">
        <w:rPr>
          <w:rFonts w:cstheme="minorHAnsi"/>
          <w:vertAlign w:val="superscript"/>
        </w:rPr>
        <w:t>9</w:t>
      </w:r>
      <w:r w:rsidR="00C72C8B">
        <w:rPr>
          <w:rFonts w:cstheme="minorHAnsi"/>
        </w:rPr>
        <w:t>.</w:t>
      </w:r>
      <w:r w:rsidR="00160A55">
        <w:rPr>
          <w:rFonts w:cstheme="minorHAnsi"/>
        </w:rPr>
        <w:t xml:space="preserve"> Due to the lack of availability of similar data for the year 2022, the levelized cost of electricity </w:t>
      </w:r>
      <w:r w:rsidR="009422EA">
        <w:rPr>
          <w:rFonts w:cstheme="minorHAnsi"/>
        </w:rPr>
        <w:t xml:space="preserve">(LCOE) </w:t>
      </w:r>
      <w:r w:rsidR="00160A55">
        <w:rPr>
          <w:rFonts w:cstheme="minorHAnsi"/>
        </w:rPr>
        <w:t xml:space="preserve">is adjusted with inflation to calculate the </w:t>
      </w:r>
      <w:r w:rsidR="009422EA">
        <w:rPr>
          <w:rFonts w:cstheme="minorHAnsi"/>
        </w:rPr>
        <w:t>LCOH</w:t>
      </w:r>
      <w:r w:rsidR="00CF181A">
        <w:rPr>
          <w:rFonts w:cstheme="minorHAnsi"/>
        </w:rPr>
        <w:t xml:space="preserve"> for th</w:t>
      </w:r>
      <w:r w:rsidR="00955F1A">
        <w:rPr>
          <w:rFonts w:cstheme="minorHAnsi"/>
        </w:rPr>
        <w:t>e</w:t>
      </w:r>
      <w:r w:rsidR="00CF181A">
        <w:rPr>
          <w:rFonts w:cstheme="minorHAnsi"/>
        </w:rPr>
        <w:t xml:space="preserve"> specific year</w:t>
      </w:r>
      <w:r w:rsidR="00160A55">
        <w:rPr>
          <w:rFonts w:cstheme="minorHAnsi"/>
        </w:rPr>
        <w:t>.</w:t>
      </w:r>
      <w:r w:rsidR="00A4560C">
        <w:rPr>
          <w:rFonts w:cstheme="minorHAnsi"/>
        </w:rPr>
        <w:t xml:space="preserve"> </w:t>
      </w:r>
      <w:r w:rsidR="0031146E">
        <w:rPr>
          <w:rFonts w:cstheme="minorHAnsi"/>
        </w:rPr>
        <w:t xml:space="preserve">Similarly for methanol, the material balance and energy flow for </w:t>
      </w:r>
      <w:r w:rsidR="004511FF">
        <w:rPr>
          <w:rFonts w:cstheme="minorHAnsi"/>
        </w:rPr>
        <w:t xml:space="preserve">both </w:t>
      </w:r>
      <w:r w:rsidR="0031146E">
        <w:rPr>
          <w:rFonts w:cstheme="minorHAnsi"/>
        </w:rPr>
        <w:t xml:space="preserve">fossil methanol and green methanol are extracted from </w:t>
      </w:r>
      <w:r w:rsidR="00B705C0" w:rsidRPr="002D4245">
        <w:rPr>
          <w:rFonts w:cstheme="minorHAnsi"/>
        </w:rPr>
        <w:t>González-Garay</w:t>
      </w:r>
      <w:r w:rsidR="0031146E">
        <w:rPr>
          <w:rFonts w:cstheme="minorHAnsi"/>
        </w:rPr>
        <w:t xml:space="preserve"> et al.</w:t>
      </w:r>
      <w:r w:rsidR="00B705C0">
        <w:rPr>
          <w:rFonts w:cstheme="minorHAnsi"/>
          <w:vertAlign w:val="superscript"/>
        </w:rPr>
        <w:t>10</w:t>
      </w:r>
      <w:r w:rsidR="0031146E">
        <w:rPr>
          <w:rFonts w:cstheme="minorHAnsi"/>
        </w:rPr>
        <w:t xml:space="preserve">. </w:t>
      </w:r>
      <w:r w:rsidR="00CD0990">
        <w:rPr>
          <w:rFonts w:cstheme="minorHAnsi"/>
        </w:rPr>
        <w:t xml:space="preserve">Every ton of fossil methanol </w:t>
      </w:r>
      <w:r w:rsidR="004630C1">
        <w:rPr>
          <w:rFonts w:cstheme="minorHAnsi"/>
        </w:rPr>
        <w:t>produced consumes 0.6</w:t>
      </w:r>
      <w:r w:rsidR="00700507">
        <w:rPr>
          <w:rFonts w:cstheme="minorHAnsi"/>
        </w:rPr>
        <w:t>5</w:t>
      </w:r>
      <w:r w:rsidR="004630C1">
        <w:rPr>
          <w:rFonts w:cstheme="minorHAnsi"/>
        </w:rPr>
        <w:t xml:space="preserve"> tons of natural gas and 7</w:t>
      </w:r>
      <w:r w:rsidR="007F2D01">
        <w:rPr>
          <w:rFonts w:cstheme="minorHAnsi"/>
        </w:rPr>
        <w:t>4</w:t>
      </w:r>
      <w:r w:rsidR="004630C1">
        <w:rPr>
          <w:rFonts w:cstheme="minorHAnsi"/>
        </w:rPr>
        <w:t xml:space="preserve"> kWh of electricity. </w:t>
      </w:r>
      <w:r w:rsidR="0031146E">
        <w:rPr>
          <w:rFonts w:cstheme="minorHAnsi"/>
        </w:rPr>
        <w:t>The prices of natural gas, electricity, and hydrogen are substituted by the aforementioned extracted and or calculated prices</w:t>
      </w:r>
      <w:r w:rsidR="00B72CEB">
        <w:rPr>
          <w:rFonts w:cstheme="minorHAnsi"/>
        </w:rPr>
        <w:t>,</w:t>
      </w:r>
      <w:r w:rsidR="0031146E">
        <w:rPr>
          <w:rFonts w:cstheme="minorHAnsi"/>
        </w:rPr>
        <w:t xml:space="preserve"> and all </w:t>
      </w:r>
      <w:r w:rsidR="00E97A75">
        <w:rPr>
          <w:rFonts w:cstheme="minorHAnsi"/>
        </w:rPr>
        <w:t xml:space="preserve">the </w:t>
      </w:r>
      <w:r w:rsidR="0031146E">
        <w:rPr>
          <w:rFonts w:cstheme="minorHAnsi"/>
        </w:rPr>
        <w:t xml:space="preserve">other </w:t>
      </w:r>
      <w:r w:rsidR="00E97A75">
        <w:rPr>
          <w:rFonts w:cstheme="minorHAnsi"/>
        </w:rPr>
        <w:t>costs</w:t>
      </w:r>
      <w:r w:rsidR="0031146E">
        <w:rPr>
          <w:rFonts w:cstheme="minorHAnsi"/>
        </w:rPr>
        <w:t xml:space="preserve"> are adjusted for inflation.</w:t>
      </w:r>
      <w:r w:rsidR="004630C1">
        <w:rPr>
          <w:rFonts w:cstheme="minorHAnsi"/>
        </w:rPr>
        <w:t xml:space="preserve"> </w:t>
      </w:r>
      <w:r w:rsidR="00FC4BEC">
        <w:rPr>
          <w:rFonts w:cstheme="minorHAnsi"/>
        </w:rPr>
        <w:t>The price of CO</w:t>
      </w:r>
      <w:r w:rsidR="00FC4BEC" w:rsidRPr="00574A4B">
        <w:rPr>
          <w:rFonts w:cstheme="minorHAnsi"/>
          <w:vertAlign w:val="subscript"/>
        </w:rPr>
        <w:t xml:space="preserve">2 </w:t>
      </w:r>
      <w:r w:rsidR="00FC4BEC">
        <w:rPr>
          <w:rFonts w:cstheme="minorHAnsi"/>
        </w:rPr>
        <w:t>from DAC is extracted from Keith et al.</w:t>
      </w:r>
      <w:r w:rsidR="00FC4BEC" w:rsidRPr="00FC4BEC">
        <w:rPr>
          <w:rFonts w:cstheme="minorHAnsi"/>
          <w:vertAlign w:val="superscript"/>
        </w:rPr>
        <w:t>26</w:t>
      </w:r>
      <w:r w:rsidR="00FC4BEC">
        <w:rPr>
          <w:rFonts w:cstheme="minorHAnsi"/>
        </w:rPr>
        <w:t xml:space="preserve"> and recalculated with the new natural gas prices</w:t>
      </w:r>
      <w:r w:rsidR="00E22EA1">
        <w:rPr>
          <w:rFonts w:cstheme="minorHAnsi"/>
        </w:rPr>
        <w:t>.</w:t>
      </w:r>
      <w:r w:rsidR="00A45989">
        <w:t xml:space="preserve"> </w:t>
      </w:r>
      <w:r w:rsidR="00A45989">
        <w:rPr>
          <w:rFonts w:cstheme="minorHAnsi"/>
        </w:rPr>
        <w:t>F</w:t>
      </w:r>
      <w:r w:rsidR="00A45989" w:rsidRPr="002D4245">
        <w:rPr>
          <w:rFonts w:cstheme="minorHAnsi"/>
        </w:rPr>
        <w:t xml:space="preserve">or every ton of </w:t>
      </w:r>
      <w:r w:rsidR="00A45989">
        <w:rPr>
          <w:rFonts w:cstheme="minorHAnsi"/>
        </w:rPr>
        <w:t>CO</w:t>
      </w:r>
      <w:r w:rsidR="00A45989" w:rsidRPr="00A45989">
        <w:rPr>
          <w:rFonts w:cstheme="minorHAnsi"/>
          <w:vertAlign w:val="subscript"/>
        </w:rPr>
        <w:t>2</w:t>
      </w:r>
      <w:r w:rsidR="00A45989">
        <w:rPr>
          <w:rFonts w:cstheme="minorHAnsi"/>
        </w:rPr>
        <w:t xml:space="preserve"> </w:t>
      </w:r>
      <w:r w:rsidR="00A45989" w:rsidRPr="002D4245">
        <w:rPr>
          <w:rFonts w:cstheme="minorHAnsi"/>
        </w:rPr>
        <w:t>captured, 0.11 tons of natural gas is required</w:t>
      </w:r>
      <w:r w:rsidR="00A45989" w:rsidRPr="002D4245">
        <w:rPr>
          <w:rFonts w:cstheme="minorHAnsi"/>
          <w:vertAlign w:val="superscript"/>
        </w:rPr>
        <w:t>26</w:t>
      </w:r>
      <w:r w:rsidR="00A45989" w:rsidRPr="002D4245">
        <w:rPr>
          <w:rFonts w:cstheme="minorHAnsi"/>
        </w:rPr>
        <w:t>.</w:t>
      </w:r>
    </w:p>
    <w:p w14:paraId="659CAA6C" w14:textId="4DB8B0ED" w:rsidR="002D3AE5" w:rsidRDefault="002D3AE5" w:rsidP="002D3AE5">
      <w:pPr>
        <w:jc w:val="both"/>
        <w:rPr>
          <w:rFonts w:cstheme="minorHAnsi"/>
        </w:rPr>
      </w:pPr>
      <w:r w:rsidRPr="005E073F">
        <w:rPr>
          <w:b/>
          <w:lang w:val="en-US"/>
        </w:rPr>
        <w:t>CO</w:t>
      </w:r>
      <w:r w:rsidRPr="005E073F">
        <w:rPr>
          <w:b/>
          <w:vertAlign w:val="subscript"/>
          <w:lang w:val="en-US"/>
        </w:rPr>
        <w:t>2</w:t>
      </w:r>
      <w:r w:rsidRPr="005E073F">
        <w:rPr>
          <w:b/>
          <w:lang w:val="en-US"/>
        </w:rPr>
        <w:t xml:space="preserve"> avoidance costs</w:t>
      </w:r>
      <w:r>
        <w:rPr>
          <w:lang w:val="en-US"/>
        </w:rPr>
        <w:t xml:space="preserve">. </w:t>
      </w:r>
      <w:r>
        <w:rPr>
          <w:rFonts w:cstheme="minorHAnsi"/>
        </w:rPr>
        <w:t xml:space="preserve">The </w:t>
      </w:r>
      <w:r w:rsidRPr="00BB61DC">
        <w:rPr>
          <w:rFonts w:cstheme="minorHAnsi"/>
        </w:rPr>
        <w:t>CO</w:t>
      </w:r>
      <w:r w:rsidRPr="00BB61DC">
        <w:rPr>
          <w:rFonts w:cstheme="minorHAnsi"/>
          <w:vertAlign w:val="subscript"/>
        </w:rPr>
        <w:t>2</w:t>
      </w:r>
      <w:r>
        <w:rPr>
          <w:rFonts w:cstheme="minorHAnsi"/>
          <w:b/>
          <w:bCs/>
          <w:vertAlign w:val="subscript"/>
        </w:rPr>
        <w:t xml:space="preserve"> </w:t>
      </w:r>
      <w:r>
        <w:rPr>
          <w:rFonts w:cstheme="minorHAnsi"/>
        </w:rPr>
        <w:t>avoidance costs in USD t</w:t>
      </w:r>
      <w:r w:rsidRPr="009A3F9F">
        <w:rPr>
          <w:rFonts w:cstheme="minorHAnsi"/>
          <w:vertAlign w:val="superscript"/>
        </w:rPr>
        <w:t>-1</w:t>
      </w:r>
      <w:r w:rsidRPr="00363CB5">
        <w:rPr>
          <w:rFonts w:cstheme="minorHAnsi"/>
          <w:vertAlign w:val="subscript"/>
        </w:rPr>
        <w:t>CO</w:t>
      </w:r>
      <w:r w:rsidRPr="00E07BC8">
        <w:rPr>
          <w:rFonts w:cstheme="minorHAnsi"/>
          <w:sz w:val="16"/>
          <w:szCs w:val="16"/>
          <w:vertAlign w:val="subscript"/>
        </w:rPr>
        <w:t>2eq</w:t>
      </w:r>
      <w:r w:rsidRPr="00363CB5">
        <w:rPr>
          <w:rFonts w:cstheme="minorHAnsi"/>
        </w:rPr>
        <w:t xml:space="preserve"> </w:t>
      </w:r>
      <w:r>
        <w:rPr>
          <w:rFonts w:cstheme="minorHAnsi"/>
        </w:rPr>
        <w:t>are calculated as follows:</w:t>
      </w:r>
    </w:p>
    <w:p w14:paraId="4642CBE6" w14:textId="143E28FF" w:rsidR="002D3AE5" w:rsidRPr="00C45253" w:rsidRDefault="00000000" w:rsidP="002D3AE5">
      <w:pPr>
        <w:jc w:val="both"/>
        <w:rPr>
          <w:rFonts w:eastAsiaTheme="minorEastAsia" w:cstheme="minorHAnsi"/>
          <w:i/>
        </w:rPr>
      </w:pPr>
      <m:oMathPara>
        <m:oMath>
          <m:sSub>
            <m:sSubPr>
              <m:ctrlPr>
                <w:rPr>
                  <w:rFonts w:ascii="Cambria Math" w:hAnsi="Cambria Math" w:cstheme="minorHAnsi"/>
                </w:rPr>
              </m:ctrlPr>
            </m:sSubPr>
            <m:e>
              <m:r>
                <m:rPr>
                  <m:nor/>
                </m:rPr>
                <w:rPr>
                  <w:rFonts w:cstheme="minorHAnsi"/>
                </w:rPr>
                <m:t>CO</m:t>
              </m:r>
            </m:e>
            <m:sub>
              <m:r>
                <m:rPr>
                  <m:nor/>
                </m:rPr>
                <w:rPr>
                  <w:rFonts w:cstheme="minorHAnsi"/>
                </w:rPr>
                <m:t>2</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USD</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cstheme="minorHAnsi"/>
                    </w:rPr>
                    <m:t>-1</m:t>
                  </m:r>
                </m:sup>
              </m:sSubSup>
            </m:den>
          </m:f>
          <m:r>
            <m:rPr>
              <m:nor/>
            </m:rPr>
            <w:rPr>
              <w:rFonts w:cstheme="minorHAnsi"/>
            </w:rPr>
            <m:t>] =</m:t>
          </m:r>
          <m:r>
            <m:rPr>
              <m:sty m:val="p"/>
            </m:rPr>
            <w:rPr>
              <w:rFonts w:ascii="Cambria Math" w:hAnsi="Cambria Math"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oMath>
      </m:oMathPara>
    </w:p>
    <w:p w14:paraId="0B950828" w14:textId="391CB973" w:rsidR="002D3AE5" w:rsidRPr="009245D7" w:rsidRDefault="002D3AE5" w:rsidP="002D3AE5">
      <w:pPr>
        <w:rPr>
          <w:lang w:val="en-US"/>
        </w:rPr>
      </w:pPr>
      <w:r w:rsidRPr="00D16B4C">
        <w:rPr>
          <w:rFonts w:eastAsiaTheme="minorEastAsia" w:cstheme="minorHAnsi"/>
          <w:iCs/>
        </w:rPr>
        <w:t>where P.C</w:t>
      </w:r>
      <w:r w:rsidRPr="00D16B4C">
        <w:rPr>
          <w:rFonts w:eastAsiaTheme="minorEastAsia" w:cstheme="minorHAnsi"/>
          <w:iCs/>
          <w:vertAlign w:val="subscript"/>
        </w:rPr>
        <w:t>BAU/</w:t>
      </w:r>
      <w:r>
        <w:rPr>
          <w:rFonts w:eastAsiaTheme="minorEastAsia" w:cstheme="minorHAnsi"/>
          <w:iCs/>
          <w:vertAlign w:val="subscript"/>
        </w:rPr>
        <w:t>ALT</w:t>
      </w:r>
      <w:r w:rsidRPr="00D16B4C">
        <w:rPr>
          <w:rFonts w:eastAsiaTheme="minorEastAsia" w:cstheme="minorHAnsi"/>
          <w:iCs/>
          <w:vertAlign w:val="subscript"/>
        </w:rPr>
        <w:t xml:space="preserve"> </w:t>
      </w:r>
      <w:r>
        <w:rPr>
          <w:rFonts w:eastAsiaTheme="minorEastAsia" w:cstheme="minorHAnsi"/>
          <w:iCs/>
        </w:rPr>
        <w:t>represents the production cost in USD t</w:t>
      </w:r>
      <w:r w:rsidRPr="00D16B4C">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fossil (BAU) and alternative (ALT) routes. Similarly, GWP</w:t>
      </w:r>
      <w:r w:rsidRPr="00E07BC8">
        <w:rPr>
          <w:rFonts w:eastAsiaTheme="minorEastAsia" w:cstheme="minorHAnsi"/>
          <w:iCs/>
          <w:vertAlign w:val="subscript"/>
        </w:rPr>
        <w:t>BAU/</w:t>
      </w:r>
      <w:r>
        <w:rPr>
          <w:rFonts w:eastAsiaTheme="minorEastAsia" w:cstheme="minorHAnsi"/>
          <w:iCs/>
          <w:vertAlign w:val="subscript"/>
        </w:rPr>
        <w:t xml:space="preserve">ALT </w:t>
      </w:r>
      <w:r>
        <w:rPr>
          <w:rFonts w:eastAsiaTheme="minorEastAsia" w:cstheme="minorHAnsi"/>
          <w:iCs/>
        </w:rPr>
        <w:t>represents the global warming potential in t</w:t>
      </w:r>
      <w:r w:rsidRPr="00E07BC8">
        <w:rPr>
          <w:rFonts w:eastAsiaTheme="minorEastAsia" w:cstheme="minorHAnsi"/>
          <w:iCs/>
          <w:vertAlign w:val="subscript"/>
        </w:rPr>
        <w:t>CO</w:t>
      </w:r>
      <w:r w:rsidRPr="00E07BC8">
        <w:rPr>
          <w:rFonts w:eastAsiaTheme="minorEastAsia" w:cstheme="minorHAnsi"/>
          <w:iCs/>
          <w:sz w:val="16"/>
          <w:szCs w:val="16"/>
          <w:vertAlign w:val="subscript"/>
        </w:rPr>
        <w:t>2eq</w:t>
      </w:r>
      <w:r>
        <w:rPr>
          <w:rFonts w:eastAsiaTheme="minorEastAsia" w:cstheme="minorHAnsi"/>
          <w:iCs/>
        </w:rPr>
        <w:t xml:space="preserve"> t</w:t>
      </w:r>
      <w:r w:rsidRPr="00E07BC8">
        <w:rPr>
          <w:rFonts w:eastAsiaTheme="minorEastAsia" w:cstheme="minorHAnsi"/>
          <w:iCs/>
          <w:vertAlign w:val="superscript"/>
        </w:rPr>
        <w:t>-1</w:t>
      </w:r>
      <w:r w:rsidRPr="00E07BC8">
        <w:rPr>
          <w:rFonts w:eastAsiaTheme="minorEastAsia" w:cstheme="minorHAnsi"/>
          <w:iCs/>
        </w:rPr>
        <w:t xml:space="preserve"> </w:t>
      </w:r>
      <w:r>
        <w:rPr>
          <w:rFonts w:eastAsiaTheme="minorEastAsia" w:cstheme="minorHAnsi"/>
          <w:iCs/>
        </w:rPr>
        <w:t xml:space="preserve">for the </w:t>
      </w:r>
      <w:r w:rsidR="001D0AF8">
        <w:rPr>
          <w:rFonts w:eastAsiaTheme="minorEastAsia" w:cstheme="minorHAnsi"/>
          <w:iCs/>
        </w:rPr>
        <w:t>fossil</w:t>
      </w:r>
      <w:r>
        <w:rPr>
          <w:rFonts w:eastAsiaTheme="minorEastAsia" w:cstheme="minorHAnsi"/>
          <w:iCs/>
        </w:rPr>
        <w:t xml:space="preserve"> (BAU) and alternative (ALT) routes of production.</w:t>
      </w:r>
      <w:r w:rsidR="003E33DC">
        <w:rPr>
          <w:rFonts w:eastAsiaTheme="minorEastAsia" w:cstheme="minorHAnsi"/>
          <w:iCs/>
        </w:rPr>
        <w:t xml:space="preserve"> </w:t>
      </w:r>
    </w:p>
    <w:p w14:paraId="5712FA84" w14:textId="60E6B941" w:rsidR="001E7F75" w:rsidRPr="002D4245" w:rsidRDefault="001E7F75" w:rsidP="001E7F75">
      <w:pPr>
        <w:rPr>
          <w:rFonts w:cstheme="minorHAnsi"/>
          <w:b/>
          <w:bCs/>
          <w:u w:val="single"/>
        </w:rPr>
      </w:pPr>
      <w:r w:rsidRPr="002D4245">
        <w:rPr>
          <w:rFonts w:cstheme="minorHAnsi"/>
          <w:b/>
          <w:bCs/>
          <w:u w:val="single"/>
        </w:rPr>
        <w:t>References</w:t>
      </w:r>
    </w:p>
    <w:p w14:paraId="0E218DCC" w14:textId="6E9F9AC1" w:rsidR="001E7F75" w:rsidRPr="002D4245" w:rsidRDefault="001E7F75" w:rsidP="0050051A">
      <w:pPr>
        <w:pStyle w:val="Bibliography"/>
        <w:numPr>
          <w:ilvl w:val="0"/>
          <w:numId w:val="1"/>
        </w:numPr>
        <w:rPr>
          <w:rFonts w:cstheme="minorHAnsi"/>
        </w:rPr>
      </w:pPr>
      <w:r w:rsidRPr="002D4245">
        <w:rPr>
          <w:rFonts w:cstheme="minorHAnsi"/>
        </w:rPr>
        <w:fldChar w:fldCharType="begin"/>
      </w:r>
      <w:r w:rsidRPr="002D4245">
        <w:rPr>
          <w:rFonts w:cstheme="minorHAnsi"/>
        </w:rPr>
        <w:instrText xml:space="preserve"> ADDIN ZOTERO_BIBL {"uncited":[],"omitted":[],"custom":[]} CSL_BIBLIOGRAPHY </w:instrText>
      </w:r>
      <w:r w:rsidRPr="002D4245">
        <w:rPr>
          <w:rFonts w:cstheme="minorHAnsi"/>
        </w:rPr>
        <w:fldChar w:fldCharType="separate"/>
      </w:r>
      <w:r w:rsidRPr="002D4245">
        <w:rPr>
          <w:rFonts w:cstheme="minorHAnsi"/>
        </w:rPr>
        <w:t>IEA (2018). The Future of Petrochemicals: Towards more sustainable plastics and fertilisers (International Energy Agency).</w:t>
      </w:r>
    </w:p>
    <w:p w14:paraId="3849778B" w14:textId="7C00CD01" w:rsidR="001E7F75" w:rsidRPr="002D4245" w:rsidRDefault="001E7F75" w:rsidP="0050051A">
      <w:pPr>
        <w:pStyle w:val="Bibliography"/>
        <w:numPr>
          <w:ilvl w:val="0"/>
          <w:numId w:val="1"/>
        </w:numPr>
        <w:rPr>
          <w:rFonts w:cstheme="minorHAnsi"/>
        </w:rPr>
      </w:pPr>
      <w:r w:rsidRPr="002D4245">
        <w:rPr>
          <w:rFonts w:cstheme="minorHAnsi"/>
          <w:lang w:val="de-CH"/>
        </w:rPr>
        <w:t xml:space="preserve">Bauer, F., Tilsted, J.P., Pfister, S., Oberschelp, C., and Kulionis, V. (2023). </w:t>
      </w:r>
      <w:r w:rsidRPr="002D4245">
        <w:rPr>
          <w:rFonts w:cstheme="minorHAnsi"/>
        </w:rPr>
        <w:t xml:space="preserve">Mapping GHG emissions and prospects for renewable energy in the chemical industry. Current Opinion in Chemical Engineering </w:t>
      </w:r>
      <w:r w:rsidRPr="002D4245">
        <w:rPr>
          <w:rFonts w:cstheme="minorHAnsi"/>
          <w:i/>
          <w:iCs/>
        </w:rPr>
        <w:t>39</w:t>
      </w:r>
      <w:r w:rsidRPr="002D4245">
        <w:rPr>
          <w:rFonts w:cstheme="minorHAnsi"/>
        </w:rPr>
        <w:t>, 100881. 10.1016/j.coche.2022.100881.</w:t>
      </w:r>
    </w:p>
    <w:p w14:paraId="757BDE51" w14:textId="45C598F9" w:rsidR="001E7F75" w:rsidRPr="002D4245" w:rsidRDefault="001E7F75" w:rsidP="0050051A">
      <w:pPr>
        <w:pStyle w:val="Bibliography"/>
        <w:numPr>
          <w:ilvl w:val="0"/>
          <w:numId w:val="1"/>
        </w:numPr>
        <w:rPr>
          <w:rFonts w:cstheme="minorHAnsi"/>
        </w:rPr>
      </w:pPr>
      <w:r w:rsidRPr="002D4245">
        <w:rPr>
          <w:rFonts w:cstheme="minorHAnsi"/>
          <w:lang w:val="de-CH"/>
        </w:rPr>
        <w:t xml:space="preserve">Bauer, F., Kulionis, V., Oberschelp, C., Pfister, S., Tilsted, J.P., Finkill, G.D., and Fjäll, S. (2022). </w:t>
      </w:r>
      <w:r w:rsidRPr="002D4245">
        <w:rPr>
          <w:rFonts w:cstheme="minorHAnsi"/>
        </w:rPr>
        <w:t>Petrochemicals and Climate Change: Tracing Globally Growing Emissions and Key Blind Spots in a Fossil-Based Industry (Lund University).</w:t>
      </w:r>
    </w:p>
    <w:p w14:paraId="2C0CCCED" w14:textId="488A5ACE" w:rsidR="001E7F75" w:rsidRPr="002D4245" w:rsidRDefault="001E7F75" w:rsidP="0050051A">
      <w:pPr>
        <w:pStyle w:val="Bibliography"/>
        <w:numPr>
          <w:ilvl w:val="0"/>
          <w:numId w:val="1"/>
        </w:numPr>
        <w:rPr>
          <w:rFonts w:cstheme="minorHAnsi"/>
        </w:rPr>
      </w:pPr>
      <w:r w:rsidRPr="002D4245">
        <w:rPr>
          <w:rFonts w:cstheme="minorHAnsi"/>
        </w:rPr>
        <w:t xml:space="preserve">Erisman, J.W., Sutton, M.A., Galloway, J., Klimont, Z., and Winiwarter, W. (2008). How a century of ammonia synthesis changed the world. Nature Geosci </w:t>
      </w:r>
      <w:r w:rsidRPr="002D4245">
        <w:rPr>
          <w:rFonts w:cstheme="minorHAnsi"/>
          <w:i/>
          <w:iCs/>
        </w:rPr>
        <w:t>1</w:t>
      </w:r>
      <w:r w:rsidRPr="002D4245">
        <w:rPr>
          <w:rFonts w:cstheme="minorHAnsi"/>
        </w:rPr>
        <w:t>, 636–639. 10.1038/ngeo325.</w:t>
      </w:r>
    </w:p>
    <w:p w14:paraId="021E718C" w14:textId="67A50C9C" w:rsidR="001E7F75" w:rsidRPr="002D4245" w:rsidRDefault="0050051A" w:rsidP="0050051A">
      <w:pPr>
        <w:pStyle w:val="Bibliography"/>
        <w:numPr>
          <w:ilvl w:val="0"/>
          <w:numId w:val="1"/>
        </w:numPr>
        <w:rPr>
          <w:rFonts w:cstheme="minorHAnsi"/>
          <w:lang w:val="de-CH"/>
        </w:rPr>
      </w:pPr>
      <w:r w:rsidRPr="002D4245">
        <w:rPr>
          <w:rFonts w:cstheme="minorHAnsi"/>
        </w:rPr>
        <w:lastRenderedPageBreak/>
        <w:t>O</w:t>
      </w:r>
      <w:r w:rsidR="001E7F75" w:rsidRPr="002D4245">
        <w:rPr>
          <w:rFonts w:cstheme="minorHAnsi"/>
        </w:rPr>
        <w:t xml:space="preserve">lah, G.A. (2005). Beyond Oil and Gas: The Methanol Economy. </w:t>
      </w:r>
      <w:r w:rsidR="001E7F75" w:rsidRPr="002D4245">
        <w:rPr>
          <w:rFonts w:cstheme="minorHAnsi"/>
          <w:lang w:val="de-CH"/>
        </w:rPr>
        <w:t xml:space="preserve">Angewandte Chemie International Edition </w:t>
      </w:r>
      <w:r w:rsidR="001E7F75" w:rsidRPr="002D4245">
        <w:rPr>
          <w:rFonts w:cstheme="minorHAnsi"/>
          <w:i/>
          <w:iCs/>
          <w:lang w:val="de-CH"/>
        </w:rPr>
        <w:t>44</w:t>
      </w:r>
      <w:r w:rsidR="001E7F75" w:rsidRPr="002D4245">
        <w:rPr>
          <w:rFonts w:cstheme="minorHAnsi"/>
          <w:lang w:val="de-CH"/>
        </w:rPr>
        <w:t>, 2636–2639. 10.1002/anie.200462121.</w:t>
      </w:r>
    </w:p>
    <w:p w14:paraId="64F6CC58" w14:textId="41E1A280" w:rsidR="001E7F75" w:rsidRPr="002D4245" w:rsidRDefault="001E7F75" w:rsidP="0050051A">
      <w:pPr>
        <w:pStyle w:val="Bibliography"/>
        <w:numPr>
          <w:ilvl w:val="0"/>
          <w:numId w:val="1"/>
        </w:numPr>
        <w:rPr>
          <w:rFonts w:cstheme="minorHAnsi"/>
        </w:rPr>
      </w:pPr>
      <w:r w:rsidRPr="002D4245">
        <w:rPr>
          <w:rFonts w:cstheme="minorHAnsi"/>
        </w:rPr>
        <w:t xml:space="preserve">Levi, P.G., and Cullen, J.M. (2018). Mapping Global Flows of Chemicals: From Fossil Fuel Feedstocks to Chemical Products. Environ. Sci. Technol. </w:t>
      </w:r>
      <w:r w:rsidRPr="002D4245">
        <w:rPr>
          <w:rFonts w:cstheme="minorHAnsi"/>
          <w:i/>
          <w:iCs/>
        </w:rPr>
        <w:t>52</w:t>
      </w:r>
      <w:r w:rsidRPr="002D4245">
        <w:rPr>
          <w:rFonts w:cstheme="minorHAnsi"/>
        </w:rPr>
        <w:t>, 1725–1734. 10.1021/acs.est.7b04573.</w:t>
      </w:r>
    </w:p>
    <w:p w14:paraId="6B0A268F" w14:textId="0823DC93" w:rsidR="001E7F75" w:rsidRPr="002D4245" w:rsidRDefault="001E7F75" w:rsidP="0050051A">
      <w:pPr>
        <w:pStyle w:val="Bibliography"/>
        <w:numPr>
          <w:ilvl w:val="0"/>
          <w:numId w:val="1"/>
        </w:numPr>
        <w:rPr>
          <w:rFonts w:cstheme="minorHAnsi"/>
        </w:rPr>
      </w:pPr>
      <w:r w:rsidRPr="002D4245">
        <w:rPr>
          <w:rFonts w:cstheme="minorHAnsi"/>
        </w:rPr>
        <w:t xml:space="preserve">Lange, J.-P. (2021). Towards circular carbo-chemicals – the metamorphosis of petrochemicals. Energy Environ. Sci. </w:t>
      </w:r>
      <w:r w:rsidRPr="002D4245">
        <w:rPr>
          <w:rFonts w:cstheme="minorHAnsi"/>
          <w:i/>
          <w:iCs/>
        </w:rPr>
        <w:t>14</w:t>
      </w:r>
      <w:r w:rsidRPr="002D4245">
        <w:rPr>
          <w:rFonts w:cstheme="minorHAnsi"/>
        </w:rPr>
        <w:t>, 4358–4376. 10.1039/D1EE00532D.</w:t>
      </w:r>
    </w:p>
    <w:p w14:paraId="7F761D94" w14:textId="62D19F3C" w:rsidR="001E7F75" w:rsidRPr="002D4245" w:rsidRDefault="001E7F75" w:rsidP="0050051A">
      <w:pPr>
        <w:pStyle w:val="Bibliography"/>
        <w:numPr>
          <w:ilvl w:val="0"/>
          <w:numId w:val="1"/>
        </w:numPr>
        <w:rPr>
          <w:rFonts w:cstheme="minorHAnsi"/>
        </w:rPr>
      </w:pPr>
      <w:r w:rsidRPr="002D4245">
        <w:rPr>
          <w:rFonts w:cstheme="minorHAnsi"/>
        </w:rPr>
        <w:t xml:space="preserve">Schiffer, Z.J., and Manthiram, K. (2017). Electrification and Decarbonization of the Chemical Industry. Joule </w:t>
      </w:r>
      <w:r w:rsidRPr="002D4245">
        <w:rPr>
          <w:rFonts w:cstheme="minorHAnsi"/>
          <w:i/>
          <w:iCs/>
        </w:rPr>
        <w:t>1</w:t>
      </w:r>
      <w:r w:rsidRPr="002D4245">
        <w:rPr>
          <w:rFonts w:cstheme="minorHAnsi"/>
        </w:rPr>
        <w:t>, 10–14. 10.1016/j.joule.2017.07.008.</w:t>
      </w:r>
    </w:p>
    <w:p w14:paraId="7159AAAD" w14:textId="1ED6A49B" w:rsidR="001E7F75" w:rsidRPr="002D4245" w:rsidRDefault="001E7F75" w:rsidP="0050051A">
      <w:pPr>
        <w:pStyle w:val="Bibliography"/>
        <w:numPr>
          <w:ilvl w:val="0"/>
          <w:numId w:val="1"/>
        </w:numPr>
        <w:rPr>
          <w:rFonts w:cstheme="minorHAnsi"/>
        </w:rPr>
      </w:pPr>
      <w:r w:rsidRPr="002D4245">
        <w:rPr>
          <w:rFonts w:cstheme="minorHAnsi"/>
        </w:rPr>
        <w:t xml:space="preserve">D’Angelo, S.C., Cobo, S., Tulus, V., Nabera, A., Martín, A.J., Pérez-Ramírez, J., and Guillén-Gosálbez, G. (2021). Planetary Boundaries Analysis of Low-Carbon Ammonia Production Routes. ACS Sustainable Chem. Eng. </w:t>
      </w:r>
      <w:r w:rsidRPr="002D4245">
        <w:rPr>
          <w:rFonts w:cstheme="minorHAnsi"/>
          <w:i/>
          <w:iCs/>
        </w:rPr>
        <w:t>9</w:t>
      </w:r>
      <w:r w:rsidRPr="002D4245">
        <w:rPr>
          <w:rFonts w:cstheme="minorHAnsi"/>
        </w:rPr>
        <w:t>, 9740–9749. 10.1021/acssuschemeng.1c01915.</w:t>
      </w:r>
    </w:p>
    <w:p w14:paraId="17F5AF0E" w14:textId="2B757FB0" w:rsidR="001E7F75" w:rsidRPr="002D4245" w:rsidRDefault="001E7F75" w:rsidP="0050051A">
      <w:pPr>
        <w:pStyle w:val="Bibliography"/>
        <w:numPr>
          <w:ilvl w:val="0"/>
          <w:numId w:val="1"/>
        </w:numPr>
        <w:rPr>
          <w:rFonts w:cstheme="minorHAnsi"/>
        </w:rPr>
      </w:pPr>
      <w:r w:rsidRPr="002D4245">
        <w:rPr>
          <w:rFonts w:cstheme="minorHAnsi"/>
        </w:rPr>
        <w:t>González-Garay, A., Frei, M.S., Al-Qahtani, A., Mondelli, C., Guillén-Gosálbez, G., and Pérez-Ramírez, J. (2019). Plant-to-planet analysis of CO</w:t>
      </w:r>
      <w:r w:rsidRPr="002D4245">
        <w:rPr>
          <w:rFonts w:cstheme="minorHAnsi"/>
          <w:vertAlign w:val="subscript"/>
        </w:rPr>
        <w:t>2</w:t>
      </w:r>
      <w:r w:rsidRPr="002D4245">
        <w:rPr>
          <w:rFonts w:cstheme="minorHAnsi"/>
        </w:rPr>
        <w:t xml:space="preserve"> -based methanol processes. Energy Environ. Sci. </w:t>
      </w:r>
      <w:r w:rsidRPr="002D4245">
        <w:rPr>
          <w:rFonts w:cstheme="minorHAnsi"/>
          <w:i/>
          <w:iCs/>
        </w:rPr>
        <w:t>12</w:t>
      </w:r>
      <w:r w:rsidRPr="002D4245">
        <w:rPr>
          <w:rFonts w:cstheme="minorHAnsi"/>
        </w:rPr>
        <w:t>, 3425–3436. 10.1039/C9EE01673B.</w:t>
      </w:r>
    </w:p>
    <w:p w14:paraId="47495778" w14:textId="55B05150" w:rsidR="001E7F75" w:rsidRPr="002D4245" w:rsidRDefault="001E7F75" w:rsidP="0050051A">
      <w:pPr>
        <w:pStyle w:val="Bibliography"/>
        <w:numPr>
          <w:ilvl w:val="0"/>
          <w:numId w:val="1"/>
        </w:numPr>
        <w:rPr>
          <w:rFonts w:cstheme="minorHAnsi"/>
        </w:rPr>
      </w:pPr>
      <w:r w:rsidRPr="002D4245">
        <w:rPr>
          <w:rFonts w:cstheme="minorHAnsi"/>
        </w:rPr>
        <w:t>IEA (2013). Technology Roadmap Energy and GHG Reductions in the Chemical Industry via Catalytic Processes (International Energy Agency).</w:t>
      </w:r>
    </w:p>
    <w:p w14:paraId="63AD76F3" w14:textId="682C43C0" w:rsidR="001E7F75" w:rsidRPr="002D4245" w:rsidRDefault="001E7F75" w:rsidP="0050051A">
      <w:pPr>
        <w:pStyle w:val="Bibliography"/>
        <w:numPr>
          <w:ilvl w:val="0"/>
          <w:numId w:val="1"/>
        </w:numPr>
        <w:rPr>
          <w:rFonts w:cstheme="minorHAnsi"/>
        </w:rPr>
      </w:pPr>
      <w:r w:rsidRPr="002D4245">
        <w:rPr>
          <w:rFonts w:cstheme="minorHAnsi"/>
        </w:rPr>
        <w:t xml:space="preserve">Galán-Martín, Á., Tulus, V., Díaz, I., Pozo, C., Pérez-Ramírez, J., and Guillén-Gosálbez, G. (2021). Sustainability footprints of a renewable carbon transition for the petrochemical sector within planetary boundaries. One Earth </w:t>
      </w:r>
      <w:r w:rsidRPr="002D4245">
        <w:rPr>
          <w:rFonts w:cstheme="minorHAnsi"/>
          <w:i/>
          <w:iCs/>
        </w:rPr>
        <w:t>4</w:t>
      </w:r>
      <w:r w:rsidRPr="002D4245">
        <w:rPr>
          <w:rFonts w:cstheme="minorHAnsi"/>
        </w:rPr>
        <w:t>, 565–583. 10.1016/j.oneear.2021.04.001.</w:t>
      </w:r>
    </w:p>
    <w:p w14:paraId="10B938BF" w14:textId="053006DA" w:rsidR="001E7F75" w:rsidRPr="002D4245" w:rsidRDefault="001E7F75" w:rsidP="0050051A">
      <w:pPr>
        <w:pStyle w:val="Bibliography"/>
        <w:numPr>
          <w:ilvl w:val="0"/>
          <w:numId w:val="1"/>
        </w:numPr>
        <w:rPr>
          <w:rFonts w:cstheme="minorHAnsi"/>
        </w:rPr>
      </w:pPr>
      <w:r w:rsidRPr="002D4245">
        <w:rPr>
          <w:rFonts w:cstheme="minorHAnsi"/>
        </w:rPr>
        <w:t>Ioannou, I., Galán-Martín, Á., Pérez-Ramírez, J., and Guillén-Gosálbez, G. (2022). Trade-offs between Sustainable Development Goals in carbon capture and utilisation. Energy Environ. Sci. 10.1039/D2EE01153K.</w:t>
      </w:r>
    </w:p>
    <w:p w14:paraId="2CC2C384" w14:textId="1E839477" w:rsidR="001E7F75" w:rsidRPr="002D4245" w:rsidRDefault="001E7F75" w:rsidP="0050051A">
      <w:pPr>
        <w:pStyle w:val="Bibliography"/>
        <w:numPr>
          <w:ilvl w:val="0"/>
          <w:numId w:val="1"/>
        </w:numPr>
        <w:rPr>
          <w:rFonts w:cstheme="minorHAnsi"/>
        </w:rPr>
      </w:pPr>
      <w:r w:rsidRPr="002D4245">
        <w:rPr>
          <w:rFonts w:cstheme="minorHAnsi"/>
          <w:lang w:val="de-CH"/>
        </w:rPr>
        <w:t xml:space="preserve">Kätelhön, A., Meys, R., Deutz, S., Suh, S., and Bardow, A. (2019). </w:t>
      </w:r>
      <w:r w:rsidRPr="002D4245">
        <w:rPr>
          <w:rFonts w:cstheme="minorHAnsi"/>
        </w:rPr>
        <w:t xml:space="preserve">Climate change mitigation potential of carbon capture and utilization in the chemical industry. Proceedings of the National Academy of Sciences </w:t>
      </w:r>
      <w:r w:rsidRPr="002D4245">
        <w:rPr>
          <w:rFonts w:cstheme="minorHAnsi"/>
          <w:i/>
          <w:iCs/>
        </w:rPr>
        <w:t>116</w:t>
      </w:r>
      <w:r w:rsidRPr="002D4245">
        <w:rPr>
          <w:rFonts w:cstheme="minorHAnsi"/>
        </w:rPr>
        <w:t>, 11187–11194. 10.1073/pnas.1821029116.</w:t>
      </w:r>
    </w:p>
    <w:p w14:paraId="46D36769" w14:textId="38E366B5" w:rsidR="001E7F75" w:rsidRPr="002D4245" w:rsidRDefault="001E7F75" w:rsidP="0050051A">
      <w:pPr>
        <w:pStyle w:val="Bibliography"/>
        <w:numPr>
          <w:ilvl w:val="0"/>
          <w:numId w:val="1"/>
        </w:numPr>
        <w:rPr>
          <w:rFonts w:cstheme="minorHAnsi"/>
        </w:rPr>
      </w:pPr>
      <w:r w:rsidRPr="002D4245">
        <w:rPr>
          <w:rFonts w:cstheme="minorHAnsi"/>
        </w:rPr>
        <w:t xml:space="preserve">Hepburn, C., Adlen, E., Beddington, J., Carter, E.A., Fuss, S., Mac Dowell, N., Minx, J.C., Smith, P., and Williams, C.K. (2019). The technological and economic prospects for CO2 utilization and removal. Nature </w:t>
      </w:r>
      <w:r w:rsidRPr="002D4245">
        <w:rPr>
          <w:rFonts w:cstheme="minorHAnsi"/>
          <w:i/>
          <w:iCs/>
        </w:rPr>
        <w:t>575</w:t>
      </w:r>
      <w:r w:rsidRPr="002D4245">
        <w:rPr>
          <w:rFonts w:cstheme="minorHAnsi"/>
        </w:rPr>
        <w:t>, 87–97. 10.1038/s41586-019-1681-6.</w:t>
      </w:r>
    </w:p>
    <w:p w14:paraId="3732F36C" w14:textId="06E8008E" w:rsidR="001E7F75" w:rsidRPr="002D4245" w:rsidRDefault="001E7F75" w:rsidP="0050051A">
      <w:pPr>
        <w:pStyle w:val="ListParagraph"/>
        <w:numPr>
          <w:ilvl w:val="0"/>
          <w:numId w:val="1"/>
        </w:numPr>
        <w:rPr>
          <w:rFonts w:cstheme="minorHAnsi"/>
        </w:rPr>
      </w:pPr>
      <w:r w:rsidRPr="002D4245">
        <w:rPr>
          <w:rFonts w:cstheme="minorHAnsi"/>
        </w:rPr>
        <w:t>Ember (2022). Monthly electricity data. Available from https://ember-climate.org/data-catalogue/monthly-electricity-data/.</w:t>
      </w:r>
    </w:p>
    <w:p w14:paraId="38B14CA1" w14:textId="0D69F00D" w:rsidR="001E7F75" w:rsidRPr="002D4245" w:rsidRDefault="001E7F75" w:rsidP="0050051A">
      <w:pPr>
        <w:pStyle w:val="Bibliography"/>
        <w:numPr>
          <w:ilvl w:val="0"/>
          <w:numId w:val="1"/>
        </w:numPr>
        <w:rPr>
          <w:rFonts w:cstheme="minorHAnsi"/>
        </w:rPr>
      </w:pPr>
      <w:r w:rsidRPr="002D4245">
        <w:rPr>
          <w:rFonts w:cstheme="minorHAnsi"/>
        </w:rPr>
        <w:t>The World Bank (2022). Commodity Markets Outlook: The Impact of the War in Ukraine on Commodity Markets (The World Bank Group).</w:t>
      </w:r>
    </w:p>
    <w:p w14:paraId="04D58087" w14:textId="342AD97F" w:rsidR="001E7F75" w:rsidRPr="002D4245" w:rsidRDefault="001E7F75" w:rsidP="0050051A">
      <w:pPr>
        <w:pStyle w:val="Bibliography"/>
        <w:numPr>
          <w:ilvl w:val="0"/>
          <w:numId w:val="1"/>
        </w:numPr>
        <w:rPr>
          <w:rFonts w:cstheme="minorHAnsi"/>
        </w:rPr>
      </w:pPr>
      <w:r w:rsidRPr="002D4245">
        <w:rPr>
          <w:rFonts w:cstheme="minorHAnsi"/>
        </w:rPr>
        <w:t>Ausfelder, F., Herrman, E.O., and López González, L.F. (2022). Technology options for CO2-emission reduction of hydrogen feedstock in ammonia production (DECHEMA Gesellschaft für Chemische Technik und Biotechnologie e.V).</w:t>
      </w:r>
    </w:p>
    <w:p w14:paraId="0DB06BD3" w14:textId="6AE6AE82" w:rsidR="001E7F75" w:rsidRPr="002D4245" w:rsidRDefault="001E7F75" w:rsidP="0050051A">
      <w:pPr>
        <w:pStyle w:val="Bibliography"/>
        <w:numPr>
          <w:ilvl w:val="0"/>
          <w:numId w:val="1"/>
        </w:numPr>
        <w:rPr>
          <w:rFonts w:cstheme="minorHAnsi"/>
        </w:rPr>
      </w:pPr>
      <w:r w:rsidRPr="002D4245">
        <w:rPr>
          <w:rFonts w:cstheme="minorHAnsi"/>
        </w:rPr>
        <w:t>de Sousa, A., Gebre, S., and Treloar, S. (2022). Europe’s Widening Fertilizer Crisis Threatens Food Supplies. Bloomberg.com.</w:t>
      </w:r>
    </w:p>
    <w:p w14:paraId="44253AA5" w14:textId="2EC1951B" w:rsidR="001E7F75" w:rsidRPr="002D4245" w:rsidRDefault="001E7F75" w:rsidP="0050051A">
      <w:pPr>
        <w:pStyle w:val="Bibliography"/>
        <w:numPr>
          <w:ilvl w:val="0"/>
          <w:numId w:val="1"/>
        </w:numPr>
        <w:rPr>
          <w:rFonts w:cstheme="minorHAnsi"/>
          <w:lang w:val="fr-CH"/>
        </w:rPr>
      </w:pPr>
      <w:r w:rsidRPr="002D4245">
        <w:rPr>
          <w:rFonts w:cstheme="minorHAnsi"/>
        </w:rPr>
        <w:t xml:space="preserve">Lopez, J. (2022). EPCA ’22: European shut ammonia production unlikely to return - analyst. </w:t>
      </w:r>
      <w:r w:rsidRPr="002D4245">
        <w:rPr>
          <w:rFonts w:cstheme="minorHAnsi"/>
          <w:lang w:val="fr-CH"/>
        </w:rPr>
        <w:t>ICIS Explore. https://www.icis.com/explore/resources/news/2022/10/04/10811649/epca-22-european-shut-ammonia-production-unlikely-to-return-analyst.</w:t>
      </w:r>
    </w:p>
    <w:p w14:paraId="6347A03C" w14:textId="53820B98" w:rsidR="001E7F75" w:rsidRPr="002D4245" w:rsidRDefault="001E7F75" w:rsidP="0050051A">
      <w:pPr>
        <w:pStyle w:val="Bibliography"/>
        <w:numPr>
          <w:ilvl w:val="0"/>
          <w:numId w:val="1"/>
        </w:numPr>
        <w:rPr>
          <w:rFonts w:cstheme="minorHAnsi"/>
        </w:rPr>
      </w:pPr>
      <w:r w:rsidRPr="002D4245">
        <w:rPr>
          <w:rFonts w:cstheme="minorHAnsi"/>
        </w:rPr>
        <w:t xml:space="preserve">Hegwood, M., Langendorf, R.E., and Burgess, M.G. (2022). Why win–wins are rare in complex environmental management. Nat Sustain </w:t>
      </w:r>
      <w:r w:rsidRPr="002D4245">
        <w:rPr>
          <w:rFonts w:cstheme="minorHAnsi"/>
          <w:i/>
          <w:iCs/>
        </w:rPr>
        <w:t>5</w:t>
      </w:r>
      <w:r w:rsidRPr="002D4245">
        <w:rPr>
          <w:rFonts w:cstheme="minorHAnsi"/>
        </w:rPr>
        <w:t>, 674–680. 10.1038/s41893-022-00866-z.</w:t>
      </w:r>
    </w:p>
    <w:p w14:paraId="4DDB04E6" w14:textId="3F039771" w:rsidR="001E7F75" w:rsidRPr="002D4245" w:rsidRDefault="001E7F75" w:rsidP="0050051A">
      <w:pPr>
        <w:pStyle w:val="Bibliography"/>
        <w:numPr>
          <w:ilvl w:val="0"/>
          <w:numId w:val="1"/>
        </w:numPr>
        <w:rPr>
          <w:rFonts w:cstheme="minorHAnsi"/>
        </w:rPr>
      </w:pPr>
      <w:r w:rsidRPr="002D4245">
        <w:rPr>
          <w:rFonts w:cstheme="minorHAnsi"/>
        </w:rPr>
        <w:lastRenderedPageBreak/>
        <w:t>IRENA (2021). Making the breakthrough: Green hydrogen policies and technology costs (International Renewable Energy Agency).</w:t>
      </w:r>
    </w:p>
    <w:p w14:paraId="6657C2FE" w14:textId="07D59FFF" w:rsidR="001E7F75" w:rsidRPr="002D4245" w:rsidRDefault="001E7F75" w:rsidP="0050051A">
      <w:pPr>
        <w:pStyle w:val="Bibliography"/>
        <w:numPr>
          <w:ilvl w:val="0"/>
          <w:numId w:val="1"/>
        </w:numPr>
        <w:rPr>
          <w:rFonts w:cstheme="minorHAnsi"/>
        </w:rPr>
      </w:pPr>
      <w:r w:rsidRPr="002D4245">
        <w:rPr>
          <w:rFonts w:cstheme="minorHAnsi"/>
        </w:rPr>
        <w:t xml:space="preserve">Fuss, S., Lamb, W.F., Callaghan, M.W., Hilaire, J., Creutzig, F., Amann, T., Beringer, T., Garcia, W. de O., Hartmann, J., Khanna, T., et al. (2018). Negative emissions—Part 2: Costs, potentials and side effects. Environ. Res. Lett. </w:t>
      </w:r>
      <w:r w:rsidRPr="002D4245">
        <w:rPr>
          <w:rFonts w:cstheme="minorHAnsi"/>
          <w:i/>
          <w:iCs/>
        </w:rPr>
        <w:t>13</w:t>
      </w:r>
      <w:r w:rsidRPr="002D4245">
        <w:rPr>
          <w:rFonts w:cstheme="minorHAnsi"/>
        </w:rPr>
        <w:t>, 063002. 10.1088/1748-9326/aabf9f.</w:t>
      </w:r>
    </w:p>
    <w:p w14:paraId="4AB63417" w14:textId="2967BA3A" w:rsidR="005251B7" w:rsidRPr="002D4245" w:rsidRDefault="005251B7" w:rsidP="0050051A">
      <w:pPr>
        <w:pStyle w:val="ListParagraph"/>
        <w:numPr>
          <w:ilvl w:val="0"/>
          <w:numId w:val="1"/>
        </w:numPr>
        <w:rPr>
          <w:rFonts w:cstheme="minorHAnsi"/>
        </w:rPr>
      </w:pPr>
      <w:r w:rsidRPr="002D4245">
        <w:rPr>
          <w:rFonts w:cstheme="minorHAnsi"/>
        </w:rPr>
        <w:t>CME group (2022). Dutch TTF Natural Gas Calendar Month Futures - Quotes. Available from https://www.cmegroup.com/markets/energy/natural-gas/dutch-ttf-natural-gas-calendar-month.quotes.html.</w:t>
      </w:r>
    </w:p>
    <w:p w14:paraId="4FE08980" w14:textId="0B600C94" w:rsidR="001E7F75" w:rsidRPr="002D4245" w:rsidRDefault="001E7F75" w:rsidP="0050051A">
      <w:pPr>
        <w:pStyle w:val="Bibliography"/>
        <w:numPr>
          <w:ilvl w:val="0"/>
          <w:numId w:val="1"/>
        </w:numPr>
        <w:rPr>
          <w:rFonts w:cstheme="minorHAnsi"/>
        </w:rPr>
      </w:pPr>
      <w:r w:rsidRPr="002D4245">
        <w:rPr>
          <w:rFonts w:cstheme="minorHAnsi"/>
        </w:rPr>
        <w:t xml:space="preserve">Way, R., Ives, M.C., Mealy, P., and Farmer, J.D. (2022). Empirically grounded technology forecasts and the energy transition. Joule </w:t>
      </w:r>
      <w:r w:rsidRPr="002D4245">
        <w:rPr>
          <w:rFonts w:cstheme="minorHAnsi"/>
          <w:i/>
          <w:iCs/>
        </w:rPr>
        <w:t>6</w:t>
      </w:r>
      <w:r w:rsidRPr="002D4245">
        <w:rPr>
          <w:rFonts w:cstheme="minorHAnsi"/>
        </w:rPr>
        <w:t>, 2057–2082. 10.1016/j.joule.2022.08.009.</w:t>
      </w:r>
    </w:p>
    <w:p w14:paraId="7D987E1F" w14:textId="4FD28982" w:rsidR="001B41D7" w:rsidRPr="002D4245" w:rsidRDefault="001B41D7" w:rsidP="0050051A">
      <w:pPr>
        <w:pStyle w:val="NormalWeb"/>
        <w:numPr>
          <w:ilvl w:val="0"/>
          <w:numId w:val="1"/>
        </w:numPr>
        <w:spacing w:before="0" w:beforeAutospacing="0" w:after="160" w:afterAutospacing="0" w:line="259" w:lineRule="auto"/>
        <w:rPr>
          <w:rFonts w:asciiTheme="minorHAnsi" w:hAnsiTheme="minorHAnsi" w:cstheme="minorHAnsi"/>
          <w:sz w:val="22"/>
          <w:szCs w:val="22"/>
        </w:rPr>
      </w:pPr>
      <w:r w:rsidRPr="002D4245">
        <w:rPr>
          <w:rFonts w:asciiTheme="minorHAnsi" w:hAnsiTheme="minorHAnsi" w:cstheme="minorHAnsi"/>
          <w:sz w:val="22"/>
          <w:szCs w:val="22"/>
        </w:rPr>
        <w:t xml:space="preserve">Keith, D. W., Holmes, G., St. Angelo, D., &amp; Heidel, K. (2018). A Process for Capturing CO2 from the Atmosphere. </w:t>
      </w:r>
      <w:r w:rsidRPr="002D4245">
        <w:rPr>
          <w:rFonts w:asciiTheme="minorHAnsi" w:hAnsiTheme="minorHAnsi" w:cstheme="minorHAnsi"/>
          <w:i/>
          <w:iCs/>
          <w:sz w:val="22"/>
          <w:szCs w:val="22"/>
        </w:rPr>
        <w:t>Joule</w:t>
      </w:r>
      <w:r w:rsidRPr="002D4245">
        <w:rPr>
          <w:rFonts w:asciiTheme="minorHAnsi" w:hAnsiTheme="minorHAnsi" w:cstheme="minorHAnsi"/>
          <w:sz w:val="22"/>
          <w:szCs w:val="22"/>
        </w:rPr>
        <w:t xml:space="preserve">, </w:t>
      </w:r>
      <w:r w:rsidRPr="002D4245">
        <w:rPr>
          <w:rFonts w:asciiTheme="minorHAnsi" w:hAnsiTheme="minorHAnsi" w:cstheme="minorHAnsi"/>
          <w:i/>
          <w:iCs/>
          <w:sz w:val="22"/>
          <w:szCs w:val="22"/>
        </w:rPr>
        <w:t>2</w:t>
      </w:r>
      <w:r w:rsidRPr="002D4245">
        <w:rPr>
          <w:rFonts w:asciiTheme="minorHAnsi" w:hAnsiTheme="minorHAnsi" w:cstheme="minorHAnsi"/>
          <w:sz w:val="22"/>
          <w:szCs w:val="22"/>
        </w:rPr>
        <w:t>(8), 1573–1594. 10.1016/j.joule.2018.05.006</w:t>
      </w:r>
      <w:r w:rsidR="002D4245">
        <w:rPr>
          <w:rFonts w:asciiTheme="minorHAnsi" w:hAnsiTheme="minorHAnsi" w:cstheme="minorHAnsi"/>
          <w:sz w:val="22"/>
          <w:szCs w:val="22"/>
        </w:rPr>
        <w:t>.</w:t>
      </w:r>
    </w:p>
    <w:p w14:paraId="37501BBB" w14:textId="47639474" w:rsidR="002D4245" w:rsidRPr="00FC4BEC" w:rsidRDefault="009115DA" w:rsidP="00FC4BEC">
      <w:pPr>
        <w:pStyle w:val="NormalWeb"/>
        <w:numPr>
          <w:ilvl w:val="0"/>
          <w:numId w:val="1"/>
        </w:numPr>
        <w:spacing w:before="0" w:beforeAutospacing="0" w:after="160" w:afterAutospacing="0" w:line="259" w:lineRule="auto"/>
        <w:rPr>
          <w:rFonts w:asciiTheme="minorHAnsi" w:hAnsiTheme="minorHAnsi" w:cstheme="minorHAnsi"/>
          <w:sz w:val="22"/>
          <w:szCs w:val="22"/>
        </w:rPr>
      </w:pPr>
      <w:r w:rsidRPr="00FC4BEC">
        <w:rPr>
          <w:rFonts w:asciiTheme="minorHAnsi" w:hAnsiTheme="minorHAnsi" w:cstheme="minorHAnsi"/>
          <w:sz w:val="22"/>
          <w:szCs w:val="22"/>
        </w:rPr>
        <w:t xml:space="preserve">The </w:t>
      </w:r>
      <w:r w:rsidR="002D4245" w:rsidRPr="00FC4BEC">
        <w:rPr>
          <w:rFonts w:asciiTheme="minorHAnsi" w:hAnsiTheme="minorHAnsi" w:cstheme="minorHAnsi"/>
          <w:sz w:val="22"/>
          <w:szCs w:val="22"/>
        </w:rPr>
        <w:t>World Bank (2022). Monthly prices, December 2022</w:t>
      </w:r>
      <w:r w:rsidR="001A1682" w:rsidRPr="00FC4BEC">
        <w:rPr>
          <w:rFonts w:asciiTheme="minorHAnsi" w:hAnsiTheme="minorHAnsi" w:cstheme="minorHAnsi"/>
          <w:sz w:val="22"/>
          <w:szCs w:val="22"/>
        </w:rPr>
        <w:t xml:space="preserve"> (The World Bank Group)</w:t>
      </w:r>
    </w:p>
    <w:p w14:paraId="6F0CBCFE" w14:textId="2425F80F" w:rsidR="00451FCE" w:rsidRPr="00FC4BEC" w:rsidRDefault="00451FCE" w:rsidP="00462ACC">
      <w:pPr>
        <w:pStyle w:val="NormalWeb"/>
        <w:numPr>
          <w:ilvl w:val="0"/>
          <w:numId w:val="1"/>
        </w:numPr>
        <w:spacing w:before="0" w:beforeAutospacing="0" w:after="160" w:afterAutospacing="0" w:line="259" w:lineRule="auto"/>
        <w:rPr>
          <w:rFonts w:asciiTheme="minorHAnsi" w:hAnsiTheme="minorHAnsi" w:cstheme="minorHAnsi"/>
          <w:sz w:val="22"/>
          <w:szCs w:val="22"/>
        </w:rPr>
      </w:pPr>
      <w:r w:rsidRPr="00FC4BEC">
        <w:rPr>
          <w:rFonts w:asciiTheme="minorHAnsi" w:hAnsiTheme="minorHAnsi" w:cstheme="minorHAnsi"/>
          <w:sz w:val="22"/>
          <w:szCs w:val="22"/>
        </w:rPr>
        <w:t>IRENA (2019). Ren</w:t>
      </w:r>
      <w:r w:rsidR="00BC1C45" w:rsidRPr="00FC4BEC">
        <w:rPr>
          <w:rFonts w:asciiTheme="minorHAnsi" w:hAnsiTheme="minorHAnsi" w:cstheme="minorHAnsi"/>
          <w:sz w:val="22"/>
          <w:szCs w:val="22"/>
        </w:rPr>
        <w:t>e</w:t>
      </w:r>
      <w:r w:rsidRPr="00FC4BEC">
        <w:rPr>
          <w:rFonts w:asciiTheme="minorHAnsi" w:hAnsiTheme="minorHAnsi" w:cstheme="minorHAnsi"/>
          <w:sz w:val="22"/>
          <w:szCs w:val="22"/>
        </w:rPr>
        <w:t>wable Power Generation Costs in 2019</w:t>
      </w:r>
      <w:r w:rsidR="00891320" w:rsidRPr="00FC4BEC">
        <w:rPr>
          <w:rFonts w:asciiTheme="minorHAnsi" w:hAnsiTheme="minorHAnsi" w:cstheme="minorHAnsi"/>
          <w:sz w:val="22"/>
          <w:szCs w:val="22"/>
        </w:rPr>
        <w:t xml:space="preserve"> (International Renewable Energy Agency)</w:t>
      </w:r>
      <w:r w:rsidRPr="00FC4BEC">
        <w:rPr>
          <w:rFonts w:asciiTheme="minorHAnsi" w:hAnsiTheme="minorHAnsi" w:cstheme="minorHAnsi"/>
          <w:sz w:val="22"/>
          <w:szCs w:val="22"/>
        </w:rPr>
        <w:t>.</w:t>
      </w:r>
    </w:p>
    <w:p w14:paraId="56BA47EA" w14:textId="29A11817" w:rsidR="00451FCE" w:rsidRPr="00FC4BEC" w:rsidRDefault="00451FCE" w:rsidP="00462ACC">
      <w:pPr>
        <w:pStyle w:val="NormalWeb"/>
        <w:numPr>
          <w:ilvl w:val="0"/>
          <w:numId w:val="1"/>
        </w:numPr>
        <w:spacing w:before="0" w:beforeAutospacing="0" w:after="160" w:afterAutospacing="0" w:line="259" w:lineRule="auto"/>
        <w:rPr>
          <w:rFonts w:asciiTheme="minorHAnsi" w:hAnsiTheme="minorHAnsi" w:cstheme="minorHAnsi"/>
          <w:sz w:val="22"/>
          <w:szCs w:val="22"/>
        </w:rPr>
      </w:pPr>
      <w:r w:rsidRPr="00FC4BEC">
        <w:rPr>
          <w:rFonts w:asciiTheme="minorHAnsi" w:hAnsiTheme="minorHAnsi" w:cstheme="minorHAnsi"/>
          <w:sz w:val="22"/>
          <w:szCs w:val="22"/>
        </w:rPr>
        <w:t>IRENA (2020). Ren</w:t>
      </w:r>
      <w:r w:rsidR="00BC1C45" w:rsidRPr="00FC4BEC">
        <w:rPr>
          <w:rFonts w:asciiTheme="minorHAnsi" w:hAnsiTheme="minorHAnsi" w:cstheme="minorHAnsi"/>
          <w:sz w:val="22"/>
          <w:szCs w:val="22"/>
        </w:rPr>
        <w:t>e</w:t>
      </w:r>
      <w:r w:rsidRPr="00FC4BEC">
        <w:rPr>
          <w:rFonts w:asciiTheme="minorHAnsi" w:hAnsiTheme="minorHAnsi" w:cstheme="minorHAnsi"/>
          <w:sz w:val="22"/>
          <w:szCs w:val="22"/>
        </w:rPr>
        <w:t>wable Power Generation Costs in 2020</w:t>
      </w:r>
      <w:r w:rsidR="00891320" w:rsidRPr="00FC4BEC">
        <w:rPr>
          <w:rFonts w:asciiTheme="minorHAnsi" w:hAnsiTheme="minorHAnsi" w:cstheme="minorHAnsi"/>
          <w:sz w:val="22"/>
          <w:szCs w:val="22"/>
        </w:rPr>
        <w:t xml:space="preserve"> (International Renewable Energy Agency)</w:t>
      </w:r>
      <w:r w:rsidRPr="00FC4BEC">
        <w:rPr>
          <w:rFonts w:asciiTheme="minorHAnsi" w:hAnsiTheme="minorHAnsi" w:cstheme="minorHAnsi"/>
          <w:sz w:val="22"/>
          <w:szCs w:val="22"/>
        </w:rPr>
        <w:t>.</w:t>
      </w:r>
    </w:p>
    <w:p w14:paraId="2E41AECB" w14:textId="52B47DA7" w:rsidR="00E53320" w:rsidRPr="00FC4BEC" w:rsidRDefault="00E53320" w:rsidP="00462ACC">
      <w:pPr>
        <w:pStyle w:val="NormalWeb"/>
        <w:numPr>
          <w:ilvl w:val="0"/>
          <w:numId w:val="1"/>
        </w:numPr>
        <w:spacing w:before="0" w:beforeAutospacing="0" w:after="160" w:afterAutospacing="0" w:line="259" w:lineRule="auto"/>
        <w:rPr>
          <w:rFonts w:asciiTheme="minorHAnsi" w:hAnsiTheme="minorHAnsi" w:cstheme="minorHAnsi"/>
          <w:sz w:val="22"/>
          <w:szCs w:val="22"/>
        </w:rPr>
      </w:pPr>
      <w:r w:rsidRPr="00FC4BEC">
        <w:rPr>
          <w:rFonts w:asciiTheme="minorHAnsi" w:hAnsiTheme="minorHAnsi" w:cstheme="minorHAnsi"/>
          <w:sz w:val="22"/>
          <w:szCs w:val="22"/>
        </w:rPr>
        <w:t>IRENA (2021). Ren</w:t>
      </w:r>
      <w:r w:rsidR="00BC1C45" w:rsidRPr="00FC4BEC">
        <w:rPr>
          <w:rFonts w:asciiTheme="minorHAnsi" w:hAnsiTheme="minorHAnsi" w:cstheme="minorHAnsi"/>
          <w:sz w:val="22"/>
          <w:szCs w:val="22"/>
        </w:rPr>
        <w:t>e</w:t>
      </w:r>
      <w:r w:rsidRPr="00FC4BEC">
        <w:rPr>
          <w:rFonts w:asciiTheme="minorHAnsi" w:hAnsiTheme="minorHAnsi" w:cstheme="minorHAnsi"/>
          <w:sz w:val="22"/>
          <w:szCs w:val="22"/>
        </w:rPr>
        <w:t>wable Power Generation Costs in 2021</w:t>
      </w:r>
      <w:r w:rsidR="00891320" w:rsidRPr="00FC4BEC">
        <w:rPr>
          <w:rFonts w:asciiTheme="minorHAnsi" w:hAnsiTheme="minorHAnsi" w:cstheme="minorHAnsi"/>
          <w:sz w:val="22"/>
          <w:szCs w:val="22"/>
        </w:rPr>
        <w:t xml:space="preserve"> (International Renewable Energy Agency).</w:t>
      </w:r>
    </w:p>
    <w:p w14:paraId="71455904" w14:textId="77777777" w:rsidR="00FC4BEC" w:rsidRDefault="00FC4BEC" w:rsidP="00373198">
      <w:pPr>
        <w:pStyle w:val="NormalWeb"/>
        <w:spacing w:before="0" w:beforeAutospacing="0" w:after="160" w:afterAutospacing="0" w:line="259" w:lineRule="auto"/>
        <w:ind w:left="360"/>
        <w:rPr>
          <w:rFonts w:asciiTheme="minorHAnsi" w:hAnsiTheme="minorHAnsi" w:cstheme="minorHAnsi"/>
        </w:rPr>
      </w:pPr>
    </w:p>
    <w:p w14:paraId="6DE2BB8B" w14:textId="77777777" w:rsidR="00E53320" w:rsidRDefault="00E53320" w:rsidP="00E53320">
      <w:pPr>
        <w:pStyle w:val="NormalWeb"/>
        <w:spacing w:before="0" w:beforeAutospacing="0" w:after="160" w:afterAutospacing="0" w:line="259" w:lineRule="auto"/>
        <w:ind w:left="360"/>
        <w:rPr>
          <w:rFonts w:asciiTheme="minorHAnsi" w:hAnsiTheme="minorHAnsi" w:cstheme="minorHAnsi"/>
        </w:rPr>
      </w:pPr>
    </w:p>
    <w:p w14:paraId="6975DC17" w14:textId="6AFE0CD2" w:rsidR="003C2A85" w:rsidRPr="002D4245" w:rsidRDefault="003C2A85" w:rsidP="0050051A">
      <w:pPr>
        <w:rPr>
          <w:rFonts w:cstheme="minorHAnsi"/>
        </w:rPr>
      </w:pPr>
    </w:p>
    <w:p w14:paraId="7407DDAC" w14:textId="77777777" w:rsidR="001E7F75" w:rsidRPr="002D4245" w:rsidRDefault="001E7F75" w:rsidP="0050051A">
      <w:pPr>
        <w:rPr>
          <w:rFonts w:cstheme="minorHAnsi"/>
        </w:rPr>
      </w:pPr>
      <w:r w:rsidRPr="002D4245">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5B507" w14:textId="77777777" w:rsidR="00C10684" w:rsidRDefault="00C10684" w:rsidP="002A631C">
      <w:pPr>
        <w:spacing w:after="0" w:line="240" w:lineRule="auto"/>
      </w:pPr>
      <w:r>
        <w:separator/>
      </w:r>
    </w:p>
  </w:endnote>
  <w:endnote w:type="continuationSeparator" w:id="0">
    <w:p w14:paraId="2DDC00A7" w14:textId="77777777" w:rsidR="00C10684" w:rsidRDefault="00C10684"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417495"/>
      <w:docPartObj>
        <w:docPartGallery w:val="Page Numbers (Bottom of Page)"/>
        <w:docPartUnique/>
      </w:docPartObj>
    </w:sdtPr>
    <w:sdtEndPr>
      <w:rPr>
        <w:noProof/>
      </w:rPr>
    </w:sdtEndPr>
    <w:sdtContent>
      <w:p w14:paraId="201C9ECE" w14:textId="2D298A8B" w:rsidR="002A631C" w:rsidRDefault="002A63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2A631C" w:rsidRDefault="002A6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57B6C" w14:textId="77777777" w:rsidR="00C10684" w:rsidRDefault="00C10684" w:rsidP="002A631C">
      <w:pPr>
        <w:spacing w:after="0" w:line="240" w:lineRule="auto"/>
      </w:pPr>
      <w:r>
        <w:separator/>
      </w:r>
    </w:p>
  </w:footnote>
  <w:footnote w:type="continuationSeparator" w:id="0">
    <w:p w14:paraId="6CA9E719" w14:textId="77777777" w:rsidR="00C10684" w:rsidRDefault="00C10684"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763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B3"/>
    <w:rsid w:val="000277AB"/>
    <w:rsid w:val="000500CC"/>
    <w:rsid w:val="0006104F"/>
    <w:rsid w:val="000A1944"/>
    <w:rsid w:val="000A4659"/>
    <w:rsid w:val="000A56C5"/>
    <w:rsid w:val="000A6360"/>
    <w:rsid w:val="000B0F25"/>
    <w:rsid w:val="000C5D77"/>
    <w:rsid w:val="00105AD5"/>
    <w:rsid w:val="00106D9B"/>
    <w:rsid w:val="0012147B"/>
    <w:rsid w:val="00147AF5"/>
    <w:rsid w:val="00160A55"/>
    <w:rsid w:val="001628DE"/>
    <w:rsid w:val="00181730"/>
    <w:rsid w:val="001A1682"/>
    <w:rsid w:val="001B0E60"/>
    <w:rsid w:val="001B41D7"/>
    <w:rsid w:val="001C1BAA"/>
    <w:rsid w:val="001D0AF8"/>
    <w:rsid w:val="001E7F75"/>
    <w:rsid w:val="002264D1"/>
    <w:rsid w:val="002515EC"/>
    <w:rsid w:val="0027473F"/>
    <w:rsid w:val="00284AD1"/>
    <w:rsid w:val="002A1551"/>
    <w:rsid w:val="002A631C"/>
    <w:rsid w:val="002D3AE5"/>
    <w:rsid w:val="002D4245"/>
    <w:rsid w:val="002E0BC0"/>
    <w:rsid w:val="002F2DCE"/>
    <w:rsid w:val="003049C8"/>
    <w:rsid w:val="0031146E"/>
    <w:rsid w:val="003117B3"/>
    <w:rsid w:val="0037284E"/>
    <w:rsid w:val="00373198"/>
    <w:rsid w:val="003861A5"/>
    <w:rsid w:val="00387B9A"/>
    <w:rsid w:val="00387F50"/>
    <w:rsid w:val="003A38F4"/>
    <w:rsid w:val="003C2A85"/>
    <w:rsid w:val="003E33DC"/>
    <w:rsid w:val="004053B2"/>
    <w:rsid w:val="00406C04"/>
    <w:rsid w:val="00415BD1"/>
    <w:rsid w:val="00430512"/>
    <w:rsid w:val="00440727"/>
    <w:rsid w:val="00444DDB"/>
    <w:rsid w:val="004511FF"/>
    <w:rsid w:val="00451FCE"/>
    <w:rsid w:val="00455D7A"/>
    <w:rsid w:val="00462ACC"/>
    <w:rsid w:val="004630C1"/>
    <w:rsid w:val="004908FD"/>
    <w:rsid w:val="00490ACB"/>
    <w:rsid w:val="004B5784"/>
    <w:rsid w:val="004B6A56"/>
    <w:rsid w:val="004D77EC"/>
    <w:rsid w:val="004E544D"/>
    <w:rsid w:val="0050051A"/>
    <w:rsid w:val="00500C10"/>
    <w:rsid w:val="00516A6B"/>
    <w:rsid w:val="005251B7"/>
    <w:rsid w:val="00547380"/>
    <w:rsid w:val="00574A4B"/>
    <w:rsid w:val="00585AB2"/>
    <w:rsid w:val="005B4E24"/>
    <w:rsid w:val="00606BD8"/>
    <w:rsid w:val="00650936"/>
    <w:rsid w:val="00671FD0"/>
    <w:rsid w:val="00695AFC"/>
    <w:rsid w:val="006B5536"/>
    <w:rsid w:val="006D6ABD"/>
    <w:rsid w:val="006D79ED"/>
    <w:rsid w:val="006E1C64"/>
    <w:rsid w:val="006E454C"/>
    <w:rsid w:val="006E4D1F"/>
    <w:rsid w:val="006F47B2"/>
    <w:rsid w:val="00700507"/>
    <w:rsid w:val="00723E8F"/>
    <w:rsid w:val="00732788"/>
    <w:rsid w:val="0078310C"/>
    <w:rsid w:val="007A7809"/>
    <w:rsid w:val="007E3615"/>
    <w:rsid w:val="007E6C3F"/>
    <w:rsid w:val="007F2D01"/>
    <w:rsid w:val="00802F9E"/>
    <w:rsid w:val="008108EC"/>
    <w:rsid w:val="00812859"/>
    <w:rsid w:val="00813D3B"/>
    <w:rsid w:val="00826D74"/>
    <w:rsid w:val="008567F4"/>
    <w:rsid w:val="00865F8E"/>
    <w:rsid w:val="00866626"/>
    <w:rsid w:val="0088645B"/>
    <w:rsid w:val="00887CB2"/>
    <w:rsid w:val="00891320"/>
    <w:rsid w:val="008C289C"/>
    <w:rsid w:val="008F4805"/>
    <w:rsid w:val="00900CAA"/>
    <w:rsid w:val="00902C00"/>
    <w:rsid w:val="009041C9"/>
    <w:rsid w:val="009115DA"/>
    <w:rsid w:val="00915C18"/>
    <w:rsid w:val="00920BBC"/>
    <w:rsid w:val="009422EA"/>
    <w:rsid w:val="00945C5B"/>
    <w:rsid w:val="00955F1A"/>
    <w:rsid w:val="00972DDF"/>
    <w:rsid w:val="009960D1"/>
    <w:rsid w:val="009E69EF"/>
    <w:rsid w:val="00A2279B"/>
    <w:rsid w:val="00A4560C"/>
    <w:rsid w:val="00A45989"/>
    <w:rsid w:val="00A667C7"/>
    <w:rsid w:val="00A85C1C"/>
    <w:rsid w:val="00AD2884"/>
    <w:rsid w:val="00AE21F8"/>
    <w:rsid w:val="00AE4FF6"/>
    <w:rsid w:val="00AF5380"/>
    <w:rsid w:val="00AF59B3"/>
    <w:rsid w:val="00B06DA9"/>
    <w:rsid w:val="00B14625"/>
    <w:rsid w:val="00B226B1"/>
    <w:rsid w:val="00B22DAA"/>
    <w:rsid w:val="00B4014E"/>
    <w:rsid w:val="00B56324"/>
    <w:rsid w:val="00B705C0"/>
    <w:rsid w:val="00B72CEB"/>
    <w:rsid w:val="00B82653"/>
    <w:rsid w:val="00B875ED"/>
    <w:rsid w:val="00BC1C45"/>
    <w:rsid w:val="00BD7BDE"/>
    <w:rsid w:val="00C10684"/>
    <w:rsid w:val="00C2161A"/>
    <w:rsid w:val="00C30AE5"/>
    <w:rsid w:val="00C35CD6"/>
    <w:rsid w:val="00C5543B"/>
    <w:rsid w:val="00C64B3E"/>
    <w:rsid w:val="00C72C8B"/>
    <w:rsid w:val="00C9163E"/>
    <w:rsid w:val="00CD0990"/>
    <w:rsid w:val="00CF181A"/>
    <w:rsid w:val="00D461F9"/>
    <w:rsid w:val="00D53CD5"/>
    <w:rsid w:val="00D655A8"/>
    <w:rsid w:val="00D71B14"/>
    <w:rsid w:val="00D826E0"/>
    <w:rsid w:val="00D83BA7"/>
    <w:rsid w:val="00DB59F3"/>
    <w:rsid w:val="00DC0120"/>
    <w:rsid w:val="00DC5458"/>
    <w:rsid w:val="00DF3334"/>
    <w:rsid w:val="00E010A6"/>
    <w:rsid w:val="00E03418"/>
    <w:rsid w:val="00E20DA9"/>
    <w:rsid w:val="00E22EA1"/>
    <w:rsid w:val="00E474E5"/>
    <w:rsid w:val="00E53320"/>
    <w:rsid w:val="00E560FB"/>
    <w:rsid w:val="00E97A75"/>
    <w:rsid w:val="00EA5415"/>
    <w:rsid w:val="00EF398A"/>
    <w:rsid w:val="00F01A17"/>
    <w:rsid w:val="00F06F0A"/>
    <w:rsid w:val="00F30BBF"/>
    <w:rsid w:val="00F340A4"/>
    <w:rsid w:val="00F46343"/>
    <w:rsid w:val="00F74956"/>
    <w:rsid w:val="00F96286"/>
    <w:rsid w:val="00FB2FF2"/>
    <w:rsid w:val="00FB6DC3"/>
    <w:rsid w:val="00FC1F2C"/>
    <w:rsid w:val="00FC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semiHidden/>
    <w:unhideWhenUsed/>
    <w:rsid w:val="000500CC"/>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019E0B21-E202-42C5-9E7E-AC354C289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3319</Words>
  <Characters>18923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152</cp:revision>
  <dcterms:created xsi:type="dcterms:W3CDTF">2022-12-16T15:08:00Z</dcterms:created>
  <dcterms:modified xsi:type="dcterms:W3CDTF">2023-01-12T18:15:00Z</dcterms:modified>
</cp:coreProperties>
</file>