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commentRangeStart w:id="0"/>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commentRangeEnd w:id="0"/>
      <w:r w:rsidR="00132F0B">
        <w:rPr>
          <w:rStyle w:val="CommentReference"/>
          <w:rFonts w:asciiTheme="minorHAnsi" w:eastAsiaTheme="minorHAnsi" w:hAnsiTheme="minorHAnsi" w:cstheme="minorBidi"/>
          <w:b w:val="0"/>
          <w:lang w:val="en-GB"/>
        </w:rPr>
        <w:commentReference w:id="0"/>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77777777" w:rsidR="00AF59B3" w:rsidRPr="002D4245" w:rsidRDefault="00AF59B3" w:rsidP="00AF59B3">
      <w:pPr>
        <w:rPr>
          <w:rFonts w:cstheme="minorHAnsi"/>
          <w:vertAlign w:val="superscript"/>
        </w:rPr>
      </w:pPr>
      <w:r w:rsidRPr="002D4245">
        <w:rPr>
          <w:rFonts w:cstheme="minorHAnsi"/>
        </w:rPr>
        <w:t>Abhinandan Nabera, Ioan-Robert Istrate, Javier Pérez-Ramírez and Gonzalo Guillén-Gosálbez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t>Weg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11" w:history="1">
        <w:r w:rsidRPr="002D4245">
          <w:rPr>
            <w:rStyle w:val="Hyperlink"/>
            <w:rFonts w:cstheme="minorHAnsi"/>
            <w:sz w:val="20"/>
            <w:szCs w:val="20"/>
          </w:rPr>
          <w:t>gonzalo.guillen.gosalbez@chem.ethz.ch</w:t>
        </w:r>
      </w:hyperlink>
    </w:p>
    <w:p w14:paraId="1E8836B5" w14:textId="77777777" w:rsidR="00AF59B3" w:rsidRPr="002D4245" w:rsidRDefault="00AF59B3" w:rsidP="00AF59B3">
      <w:pPr>
        <w:pStyle w:val="Heading2"/>
        <w:rPr>
          <w:rFonts w:cstheme="minorHAnsi"/>
        </w:rPr>
      </w:pPr>
      <w:r w:rsidRPr="002D4245">
        <w:rPr>
          <w:rFonts w:cstheme="minorHAnsi"/>
        </w:rPr>
        <w:t>Context and scale</w:t>
      </w:r>
    </w:p>
    <w:p w14:paraId="7F190109" w14:textId="3D98E144" w:rsidR="00F5118D" w:rsidRPr="00146AE2" w:rsidRDefault="00F5118D" w:rsidP="0030241D">
      <w:r w:rsidRPr="00146AE2">
        <w:t xml:space="preserve">Ammonia and methanol are </w:t>
      </w:r>
      <w:r w:rsidR="003F50D6" w:rsidRPr="00146AE2">
        <w:t xml:space="preserve">important platform chemicals </w:t>
      </w:r>
      <w:r w:rsidR="00A7276F" w:rsidRPr="00146AE2">
        <w:t>used as raw materials for the production of valuable products</w:t>
      </w:r>
      <w:r w:rsidRPr="00146AE2">
        <w:t xml:space="preserve">. Both these chemicals majorly use natural gas as feedstock </w:t>
      </w:r>
      <w:r w:rsidR="0077145A" w:rsidRPr="00146AE2">
        <w:t>and fuel</w:t>
      </w:r>
      <w:r w:rsidRPr="00146AE2">
        <w:t>, resulting in higher CO</w:t>
      </w:r>
      <w:r w:rsidRPr="00146AE2">
        <w:rPr>
          <w:vertAlign w:val="subscript"/>
        </w:rPr>
        <w:t>2</w:t>
      </w:r>
      <w:r w:rsidRPr="00146AE2">
        <w:t xml:space="preserve"> emissions</w:t>
      </w:r>
      <w:r w:rsidR="00567DD9" w:rsidRPr="00146AE2">
        <w:t xml:space="preserve"> and vulnerability </w:t>
      </w:r>
      <w:r w:rsidR="004F019D" w:rsidRPr="00146AE2">
        <w:t>to</w:t>
      </w:r>
      <w:r w:rsidR="00567DD9" w:rsidRPr="00146AE2">
        <w:t xml:space="preserve"> supply disruption</w:t>
      </w:r>
      <w:r w:rsidRPr="00146AE2">
        <w:t>.</w:t>
      </w:r>
      <w:r w:rsidR="00633CDF">
        <w:t xml:space="preserve"> </w:t>
      </w:r>
      <w:r w:rsidR="00A77531">
        <w:t>Extensive r</w:t>
      </w:r>
      <w:r w:rsidRPr="00146AE2">
        <w:t xml:space="preserve">esearch has been carried out to </w:t>
      </w:r>
      <w:r w:rsidR="0086279D">
        <w:t xml:space="preserve">identify alternative production routes based on </w:t>
      </w:r>
      <w:r w:rsidR="00B36CA6">
        <w:t xml:space="preserve">domestic </w:t>
      </w:r>
      <w:r w:rsidR="0086279D">
        <w:t>renewable feedstocks</w:t>
      </w:r>
      <w:r w:rsidR="00C53782">
        <w:t xml:space="preserve">, but </w:t>
      </w:r>
      <w:r w:rsidRPr="00146AE2">
        <w:t xml:space="preserve">the </w:t>
      </w:r>
      <w:r w:rsidR="009F3AF7">
        <w:t>relatively higher costs remain a major barrier</w:t>
      </w:r>
      <w:r w:rsidRPr="00146AE2">
        <w:t>. Nonetheless, the</w:t>
      </w:r>
      <w:r w:rsidR="008B6A24">
        <w:t xml:space="preserve"> </w:t>
      </w:r>
      <w:r w:rsidR="008B6A24" w:rsidRPr="008B6A24">
        <w:t xml:space="preserve">unprecedented crisis of soaring </w:t>
      </w:r>
      <w:r w:rsidR="008B6A24">
        <w:t>energy</w:t>
      </w:r>
      <w:r w:rsidR="008B6A24" w:rsidRPr="008B6A24">
        <w:t xml:space="preserve"> prices in Europe</w:t>
      </w:r>
      <w:r w:rsidR="00393913" w:rsidRPr="00393913">
        <w:t xml:space="preserve"> </w:t>
      </w:r>
      <w:r w:rsidR="00393913">
        <w:t xml:space="preserve">could </w:t>
      </w:r>
      <w:r w:rsidR="00547AE3">
        <w:t>radically change the landscape</w:t>
      </w:r>
      <w:r w:rsidR="00E62088">
        <w:t xml:space="preserve">. </w:t>
      </w:r>
      <w:r w:rsidRPr="00146AE2">
        <w:t xml:space="preserve">In this work, </w:t>
      </w:r>
      <w:r w:rsidR="005506D0">
        <w:t xml:space="preserve">we </w:t>
      </w:r>
      <w:r w:rsidR="004757F3">
        <w:t>estimate</w:t>
      </w:r>
      <w:r w:rsidR="005506D0">
        <w:t xml:space="preserve"> the </w:t>
      </w:r>
      <w:r w:rsidR="005506D0" w:rsidRPr="00E62088">
        <w:t xml:space="preserve">production costs for fossil and green ammonia and methanol in Europe </w:t>
      </w:r>
      <w:r w:rsidR="000E03AE">
        <w:t xml:space="preserve">while </w:t>
      </w:r>
      <w:r w:rsidR="005506D0" w:rsidRPr="00E62088">
        <w:t>considering the fluctuation in natural gas and electricity prices due to the global energy crisis</w:t>
      </w:r>
      <w:r w:rsidR="000E03AE">
        <w:t xml:space="preserve">. </w:t>
      </w:r>
      <w:r w:rsidRPr="00146AE2">
        <w:t>In addition to emitting less CO</w:t>
      </w:r>
      <w:r w:rsidRPr="00146AE2">
        <w:rPr>
          <w:vertAlign w:val="subscript"/>
        </w:rPr>
        <w:t>2</w:t>
      </w:r>
      <w:r w:rsidRPr="00146AE2">
        <w:t xml:space="preserve">, the </w:t>
      </w:r>
      <w:r w:rsidR="000E03AE">
        <w:t>green</w:t>
      </w:r>
      <w:r w:rsidRPr="00146AE2">
        <w:t xml:space="preserve"> production routes were cost-competitive and, in some cases, even cheaper than their fossil counterparts.</w:t>
      </w:r>
    </w:p>
    <w:p w14:paraId="399D9D55" w14:textId="76DC5E42" w:rsidR="00AF59B3" w:rsidRPr="002D4245" w:rsidRDefault="00AF59B3" w:rsidP="00AF59B3">
      <w:pPr>
        <w:pStyle w:val="Heading2"/>
        <w:rPr>
          <w:rFonts w:cstheme="minorHAnsi"/>
        </w:rPr>
      </w:pPr>
      <w:r w:rsidRPr="002D4245">
        <w:rPr>
          <w:rFonts w:cstheme="minorHAnsi"/>
        </w:rPr>
        <w:t>Summary</w:t>
      </w:r>
    </w:p>
    <w:p w14:paraId="58D9D7DE" w14:textId="2D4061F3" w:rsidR="00DF015B" w:rsidRDefault="00DF015B" w:rsidP="0030241D">
      <w:pPr>
        <w:rPr>
          <w:b/>
        </w:rPr>
      </w:pPr>
      <w:r w:rsidRPr="00DF015B">
        <w:t xml:space="preserve">Green hydrogen produced </w:t>
      </w:r>
      <w:r w:rsidRPr="002D2045">
        <w:rPr>
          <w:i/>
        </w:rPr>
        <w:t>via</w:t>
      </w:r>
      <w:r w:rsidRPr="00DF015B">
        <w:t xml:space="preserve"> water electrolysis using renewable electricity sources is a possible alternative to lower greenhouse gas emissions related to ammonia and methanol production. However, the economics of green hydrogen acts as a bottleneck making this route </w:t>
      </w:r>
      <w:r w:rsidR="00133F22">
        <w:t>impracticable</w:t>
      </w:r>
      <w:r w:rsidRPr="00DF015B">
        <w:t xml:space="preserve">. Here, we show that these alternative production routes have become economically feasible in the current scenario where natural gas prices are skyrocketing due to the geopolitical outline. Green ammonia produced from hydrogen </w:t>
      </w:r>
      <w:r w:rsidRPr="00097071">
        <w:rPr>
          <w:i/>
        </w:rPr>
        <w:t>via</w:t>
      </w:r>
      <w:r w:rsidRPr="00DF015B">
        <w:t xml:space="preserve"> water electrolysis using on-shore wind electricity was found to be economically competitive or similar (&lt;5%) to the fossil route for six months since December 2021. The lowest feasible monthly average production cost for wind-based ammonia was around 1,290 USD t</w:t>
      </w:r>
      <w:r w:rsidR="00E15658" w:rsidRPr="00E15658">
        <w:rPr>
          <w:rFonts w:cstheme="minorHAnsi"/>
          <w:vertAlign w:val="superscript"/>
        </w:rPr>
        <w:t>−</w:t>
      </w:r>
      <w:r w:rsidRPr="00DF015B">
        <w:rPr>
          <w:vertAlign w:val="superscript"/>
        </w:rPr>
        <w:t>1</w:t>
      </w:r>
      <w:r w:rsidRPr="00DF015B">
        <w:t xml:space="preserve"> in December 2021 in comparison to 1,396 USD t</w:t>
      </w:r>
      <w:r w:rsidR="00E15658" w:rsidRPr="00E15658">
        <w:rPr>
          <w:rFonts w:cstheme="minorHAnsi"/>
          <w:vertAlign w:val="superscript"/>
        </w:rPr>
        <w:t>−</w:t>
      </w:r>
      <w:r w:rsidRPr="00DF015B">
        <w:rPr>
          <w:vertAlign w:val="superscript"/>
        </w:rPr>
        <w:t>1</w:t>
      </w:r>
      <w:r w:rsidRPr="00DF015B">
        <w:t xml:space="preserve"> for the fossil route. Similarly, wind-based methanol was found to be economically feasible compared to fossil methanol for one month during the peak of natural gas prices in Europe. This study makes us realize the importance and need of the hour to invest in alternative routes for the production of chemicals, starting with ammonia and methanol.</w:t>
      </w:r>
    </w:p>
    <w:p w14:paraId="10640E9D" w14:textId="56716FC6" w:rsidR="00812859" w:rsidRPr="002D4245" w:rsidRDefault="00AF59B3" w:rsidP="00812859">
      <w:pPr>
        <w:pStyle w:val="Heading2"/>
        <w:rPr>
          <w:rFonts w:cstheme="minorHAnsi"/>
        </w:rPr>
      </w:pPr>
      <w:r w:rsidRPr="002D4245">
        <w:rPr>
          <w:rFonts w:cstheme="minorHAnsi"/>
        </w:rPr>
        <w:t>Introduction</w:t>
      </w:r>
    </w:p>
    <w:p w14:paraId="47CB28B1" w14:textId="7254C241" w:rsidR="00F340A4" w:rsidRPr="002D4245" w:rsidRDefault="00AF59B3">
      <w:pPr>
        <w:rPr>
          <w:rFonts w:cstheme="minorHAnsi"/>
        </w:rPr>
      </w:pPr>
      <w:r w:rsidRPr="002D4245">
        <w:rPr>
          <w:rFonts w:cstheme="minorHAnsi"/>
        </w:rPr>
        <w:t>The chemical industry is the industrial sector with the highest energy demand as it uses fossil fuels as feedstock and fuel.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2,3</w:t>
      </w:r>
      <w:r w:rsidR="00B97A03">
        <w:rPr>
          <w:rFonts w:cstheme="minorHAnsi"/>
        </w:rPr>
        <w:fldChar w:fldCharType="end"/>
      </w:r>
      <w:r w:rsidRPr="002D4245">
        <w:rPr>
          <w:rFonts w:cstheme="minorHAnsi"/>
        </w:rPr>
        <w:t xml:space="preserve">. Out of all the chemicals, ammonia,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valuable products. </w:t>
      </w:r>
      <w:r w:rsidR="004862D6" w:rsidRPr="004862D6">
        <w:rPr>
          <w:rFonts w:cstheme="minorHAnsi"/>
        </w:rPr>
        <w:t>Notably, ammonia is critical to producing mineral nitrogen fertilizers and ensuring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D045AA" w:rsidRPr="00D045AA">
        <w:rPr>
          <w:rFonts w:ascii="Calibri" w:hAnsi="Calibri" w:cs="Times New Roman"/>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r w:rsidR="000947D3">
        <w:rPr>
          <w:rFonts w:cstheme="minorHAnsi"/>
        </w:rPr>
        <w:t>At the same time,</w:t>
      </w:r>
      <w:r w:rsidR="002A631C" w:rsidRPr="002D4245">
        <w:rPr>
          <w:rFonts w:cstheme="minorHAnsi"/>
        </w:rPr>
        <w:t xml:space="preserve"> methanol is </w:t>
      </w:r>
      <w:r w:rsidR="00973470">
        <w:rPr>
          <w:rFonts w:cstheme="minorHAnsi"/>
        </w:rPr>
        <w:t>used mainly</w:t>
      </w:r>
      <w:r w:rsidR="002A631C" w:rsidRPr="002D4245">
        <w:rPr>
          <w:rFonts w:cstheme="minorHAnsi"/>
        </w:rPr>
        <w:t xml:space="preserve"> for </w:t>
      </w:r>
      <w:r w:rsidR="007B7A85">
        <w:rPr>
          <w:rFonts w:cstheme="minorHAnsi"/>
        </w:rPr>
        <w:t>producing</w:t>
      </w:r>
      <w:r w:rsidR="002A631C" w:rsidRPr="002D4245">
        <w:rPr>
          <w:rFonts w:cstheme="minorHAnsi"/>
        </w:rPr>
        <w:t xml:space="preserve"> valuable products (</w:t>
      </w:r>
      <w:r w:rsidR="002A631C" w:rsidRPr="00C7310E">
        <w:rPr>
          <w:rFonts w:cstheme="minorHAnsi"/>
          <w:i/>
          <w:iCs/>
        </w:rPr>
        <w:t>e.g.</w:t>
      </w:r>
      <w:r w:rsidR="002A631C" w:rsidRPr="002D4245">
        <w:rPr>
          <w:rFonts w:cstheme="minorHAnsi"/>
        </w:rPr>
        <w:t>, formic acid, acetic acid, dimethyl ether, and methylamine) and can 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852820" w:rsidRPr="00852820">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4F2A3A" w:rsidRPr="00AE3356">
        <w:rPr>
          <w:rFonts w:ascii="Calibri" w:hAnsi="Calibri" w:cs="Times New Roman"/>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2A631C" w:rsidRPr="002D4245">
        <w:rPr>
          <w:rFonts w:cstheme="minorHAnsi"/>
        </w:rPr>
        <w:t xml:space="preserve">Similarly, </w:t>
      </w:r>
      <w:r w:rsidR="0059699A">
        <w:rPr>
          <w:rFonts w:cstheme="minorHAnsi"/>
        </w:rPr>
        <w:t xml:space="preserve">65% of global </w:t>
      </w:r>
      <w:r w:rsidR="002A631C" w:rsidRPr="002D4245">
        <w:rPr>
          <w:rFonts w:cstheme="minorHAnsi"/>
        </w:rPr>
        <w:t xml:space="preserve">methanol relies on natural gas </w:t>
      </w:r>
      <w:r w:rsidR="00134A08">
        <w:rPr>
          <w:rFonts w:cstheme="minorHAnsi"/>
        </w:rPr>
        <w:t>to produce</w:t>
      </w:r>
      <w:r w:rsidR="002A631C" w:rsidRPr="002D4245">
        <w:rPr>
          <w:rFonts w:cstheme="minorHAnsi"/>
        </w:rPr>
        <w:t xml:space="preserve"> syngas</w:t>
      </w:r>
      <w:r w:rsidR="006D3C9F">
        <w:rPr>
          <w:rFonts w:cstheme="minorHAnsi"/>
        </w:rPr>
        <w:t>,</w:t>
      </w:r>
      <w:r w:rsidR="002A631C" w:rsidRPr="002D4245">
        <w:rPr>
          <w:rFonts w:cstheme="minorHAnsi"/>
        </w:rPr>
        <w:t xml:space="preserve"> which is then converted to methanol </w:t>
      </w:r>
      <w:r w:rsidR="002A631C" w:rsidRPr="002E6830">
        <w:rPr>
          <w:rFonts w:cstheme="minorHAnsi"/>
          <w:i/>
        </w:rPr>
        <w:t>via</w:t>
      </w:r>
      <w:r w:rsidR="002A631C" w:rsidRPr="002D4245">
        <w:rPr>
          <w:rFonts w:cstheme="minorHAnsi"/>
        </w:rPr>
        <w:t xml:space="preserve"> the water-gas shift reaction</w:t>
      </w:r>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59699A" w:rsidRPr="00BB3A64">
        <w:rPr>
          <w:rFonts w:ascii="Calibri" w:hAnsi="Calibri" w:cs="Times New Roman"/>
          <w:szCs w:val="24"/>
          <w:vertAlign w:val="superscript"/>
        </w:rPr>
        <w:t>8</w:t>
      </w:r>
      <w:r w:rsidR="0059699A">
        <w:rPr>
          <w:rFonts w:cstheme="minorHAnsi"/>
        </w:rPr>
        <w:fldChar w:fldCharType="end"/>
      </w:r>
      <w:r w:rsidR="002A631C" w:rsidRPr="002D4245">
        <w:rPr>
          <w:rFonts w:cstheme="minorHAnsi"/>
        </w:rPr>
        <w:t>.</w:t>
      </w:r>
      <w:r w:rsidR="00746421">
        <w:rPr>
          <w:rFonts w:cstheme="minorHAnsi"/>
        </w:rPr>
        <w:t xml:space="preserve"> </w:t>
      </w:r>
      <w:r w:rsidR="00BB3A64">
        <w:rPr>
          <w:rFonts w:cstheme="minorHAnsi"/>
        </w:rPr>
        <w:t xml:space="preserve">The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322EBB" w:rsidRPr="00BB3A64">
        <w:rPr>
          <w:rFonts w:ascii="Calibri" w:hAnsi="Calibri" w:cs="Times New Roman"/>
          <w:szCs w:val="24"/>
          <w:vertAlign w:val="superscript"/>
        </w:rPr>
        <w:t>8</w:t>
      </w:r>
      <w:r w:rsidR="00322EBB">
        <w:rPr>
          <w:rFonts w:cstheme="minorHAnsi"/>
        </w:rPr>
        <w:fldChar w:fldCharType="end"/>
      </w:r>
    </w:p>
    <w:p w14:paraId="0DB11E66" w14:textId="0986D05D" w:rsidR="000500CC" w:rsidRPr="002D4245"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are </w:t>
      </w:r>
      <w:r w:rsidR="006D3C9F">
        <w:rPr>
          <w:rFonts w:cstheme="minorHAnsi"/>
        </w:rPr>
        <w:t>primarily</w:t>
      </w:r>
      <w:r>
        <w:rPr>
          <w:rFonts w:cstheme="minorHAnsi"/>
        </w:rPr>
        <w:t xml:space="preserve"> incompatible with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783407" w:rsidRPr="00783407">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what is known as</w:t>
      </w:r>
      <w:r w:rsidR="00EC5563">
        <w:rPr>
          <w:rFonts w:cstheme="minorHAnsi"/>
        </w:rPr>
        <w:t xml:space="preserve"> </w:t>
      </w:r>
      <w:r w:rsidR="000500CC" w:rsidRPr="002D4245">
        <w:rPr>
          <w:rFonts w:cstheme="minorHAnsi"/>
        </w:rPr>
        <w:t xml:space="preserve">hard-to-abate </w:t>
      </w:r>
      <w:r w:rsidR="00ED4364">
        <w:rPr>
          <w:rFonts w:cstheme="minorHAnsi"/>
        </w:rPr>
        <w:t>commodit</w:t>
      </w:r>
      <w:r w:rsidR="00EC5563">
        <w:rPr>
          <w:rFonts w:cstheme="minorHAnsi"/>
        </w:rPr>
        <w:t>y</w:t>
      </w:r>
      <w:r w:rsidR="000500CC" w:rsidRPr="002D4245">
        <w:rPr>
          <w:rFonts w:cstheme="minorHAnsi"/>
        </w:rPr>
        <w:t xml:space="preserve"> primarily due to their strong dependence on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feedstocks </w:t>
      </w:r>
      <w:r w:rsidR="00C96F08">
        <w:rPr>
          <w:rFonts w:cstheme="minorHAnsi"/>
        </w:rPr>
        <w:t>becomes</w:t>
      </w:r>
      <w:r w:rsidR="000500CC" w:rsidRPr="002D4245">
        <w:rPr>
          <w:rFonts w:cstheme="minorHAnsi"/>
        </w:rPr>
        <w:t xml:space="preserve"> </w:t>
      </w:r>
      <w:r w:rsidR="000500CC" w:rsidRPr="002D4245">
        <w:rPr>
          <w:rFonts w:cstheme="minorHAnsi"/>
        </w:rPr>
        <w:lastRenderedPageBreak/>
        <w:t>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783407" w:rsidRPr="00783407">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is possible by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852820" w:rsidRPr="00852820">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r w:rsidR="00F40218">
        <w:rPr>
          <w:rFonts w:cstheme="minorHAnsi"/>
        </w:rPr>
        <w:t>de</w:t>
      </w:r>
      <w:r w:rsidR="0071196D">
        <w:rPr>
          <w:rFonts w:cstheme="minorHAnsi"/>
        </w:rPr>
        <w:t>-</w:t>
      </w:r>
      <w:r w:rsidR="00F40218">
        <w:rPr>
          <w:rFonts w:cstheme="minorHAnsi"/>
        </w:rPr>
        <w:t>fossilize</w:t>
      </w:r>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w:t>
      </w:r>
      <w:commentRangeStart w:id="1"/>
      <w:r w:rsidR="000500CC" w:rsidRPr="002D4245">
        <w:rPr>
          <w:rFonts w:cstheme="minorHAnsi"/>
        </w:rPr>
        <w:t>CO</w:t>
      </w:r>
      <w:r w:rsidR="000500CC" w:rsidRPr="002D4245">
        <w:rPr>
          <w:rFonts w:cstheme="minorHAnsi"/>
          <w:vertAlign w:val="subscript"/>
        </w:rPr>
        <w:t>2</w:t>
      </w:r>
      <w:commentRangeEnd w:id="1"/>
      <w:r w:rsidR="00C543F4">
        <w:rPr>
          <w:rStyle w:val="CommentReference"/>
        </w:rPr>
        <w:commentReference w:id="1"/>
      </w:r>
      <w:r w:rsidR="000500CC" w:rsidRPr="002D4245">
        <w:rPr>
          <w:rFonts w:cstheme="minorHAnsi"/>
        </w:rPr>
        <w:t xml:space="preserve"> hydrogenation</w:t>
      </w:r>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852820" w:rsidRPr="00852820">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w:t>
      </w:r>
      <w:r w:rsidR="00DB7CA0">
        <w:rPr>
          <w:rFonts w:cstheme="minorHAnsi"/>
        </w:rPr>
        <w:t>the</w:t>
      </w:r>
      <w:r w:rsidR="000500CC" w:rsidRPr="002D4245">
        <w:rPr>
          <w:rFonts w:cstheme="minorHAnsi"/>
        </w:rPr>
        <w:t xml:space="preserve"> </w:t>
      </w:r>
      <w:r w:rsidR="00D53098">
        <w:rPr>
          <w:rFonts w:cstheme="minorHAnsi"/>
        </w:rPr>
        <w:t xml:space="preserve">green </w:t>
      </w:r>
      <w:r w:rsidR="0086024A">
        <w:rPr>
          <w:rFonts w:cstheme="minorHAnsi"/>
        </w:rPr>
        <w:t>chemical industry</w:t>
      </w:r>
      <w:r w:rsidR="000500CC" w:rsidRPr="002D4245">
        <w:rPr>
          <w:rFonts w:cstheme="minorHAnsi"/>
        </w:rPr>
        <w:t xml:space="preserve">, but the high costs remain a </w:t>
      </w:r>
      <w:r w:rsidR="0086279D">
        <w:rPr>
          <w:rFonts w:cstheme="minorHAnsi"/>
        </w:rPr>
        <w:t>major</w:t>
      </w:r>
      <w:r w:rsidR="000500CC" w:rsidRPr="002D4245">
        <w:rPr>
          <w:rFonts w:cstheme="minorHAnsi"/>
        </w:rPr>
        <w:t xml:space="preserve">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01575A" w:rsidRPr="0001575A">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783407" w:rsidRPr="00783407">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4C845A43" w14:textId="278E7E5C"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w:t>
      </w:r>
      <w:r w:rsidR="00983A99" w:rsidRPr="00983A99">
        <w:rPr>
          <w:rFonts w:cstheme="minorHAnsi"/>
        </w:rPr>
        <w:t>mainly been hampered</w:t>
      </w:r>
      <w:r w:rsidR="00983A99">
        <w:rPr>
          <w:rFonts w:cstheme="minorHAnsi"/>
        </w:rPr>
        <w:t xml:space="preserve"> </w:t>
      </w:r>
      <w:r w:rsidRPr="002D4245">
        <w:rPr>
          <w:rFonts w:cstheme="minorHAnsi"/>
        </w:rPr>
        <w:t>by the high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783407" w:rsidRPr="00783407">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seen a sharp increase in prices over the last two years, primarily due to the COVID-19 pandemic,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 where </w:t>
      </w:r>
      <w:r w:rsidRPr="002D4245">
        <w:rPr>
          <w:rFonts w:cstheme="minorHAnsi"/>
        </w:rPr>
        <w:t xml:space="preserve">monthly average natural gas spot prices </w:t>
      </w:r>
      <w:r w:rsidR="005D3B1A">
        <w:rPr>
          <w:rFonts w:cstheme="minorHAnsi"/>
        </w:rPr>
        <w:t>(</w:t>
      </w:r>
      <w:r w:rsidR="005D3B1A" w:rsidRPr="00C7310E">
        <w:rPr>
          <w:rFonts w:cstheme="minorHAnsi"/>
          <w:i/>
          <w:iCs/>
        </w:rPr>
        <w:t>i.e.</w:t>
      </w:r>
      <w:r w:rsidR="005D3B1A">
        <w:rPr>
          <w:rFonts w:cstheme="minorHAnsi"/>
        </w:rPr>
        <w:t>, prices for new contracts at</w:t>
      </w:r>
      <w:r w:rsidR="005D3B1A" w:rsidRPr="005D3B1A">
        <w:rPr>
          <w:rFonts w:cstheme="minorHAnsi"/>
        </w:rPr>
        <w:t xml:space="preserve"> the Title Transfer Facility (TTF) </w:t>
      </w:r>
      <w:r w:rsidR="005D3B1A">
        <w:rPr>
          <w:rFonts w:cstheme="minorHAnsi"/>
        </w:rPr>
        <w:t>t</w:t>
      </w:r>
      <w:r w:rsidR="005D3B1A" w:rsidRPr="005D3B1A">
        <w:rPr>
          <w:rFonts w:cstheme="minorHAnsi"/>
        </w:rPr>
        <w:t xml:space="preserve">rading </w:t>
      </w:r>
      <w:r w:rsidR="005D3B1A">
        <w:rPr>
          <w:rFonts w:cstheme="minorHAnsi"/>
        </w:rPr>
        <w:t>p</w:t>
      </w:r>
      <w:r w:rsidR="005D3B1A" w:rsidRPr="005D3B1A">
        <w:rPr>
          <w:rFonts w:cstheme="minorHAnsi"/>
        </w:rPr>
        <w:t>oint</w:t>
      </w:r>
      <w:r w:rsidR="005D3B1A">
        <w:rPr>
          <w:rFonts w:cstheme="minorHAnsi"/>
        </w:rPr>
        <w:t xml:space="preserve">) </w:t>
      </w:r>
      <w:r w:rsidRPr="002D4245">
        <w:rPr>
          <w:rFonts w:cstheme="minorHAnsi"/>
        </w:rPr>
        <w:t xml:space="preserve">have increased from 560 </w:t>
      </w:r>
      <w:commentRangeStart w:id="2"/>
      <w:r w:rsidRPr="002D4245">
        <w:rPr>
          <w:rFonts w:cstheme="minorHAnsi"/>
        </w:rPr>
        <w:t>USD t</w:t>
      </w:r>
      <w:r w:rsidR="00CB5E2B" w:rsidRPr="00F62A8C">
        <w:rPr>
          <w:vertAlign w:val="superscript"/>
          <w:lang w:val="en-US"/>
        </w:rPr>
        <w:t>−</w:t>
      </w:r>
      <w:r w:rsidRPr="002D4245">
        <w:rPr>
          <w:rFonts w:cstheme="minorHAnsi"/>
          <w:vertAlign w:val="superscript"/>
        </w:rPr>
        <w:t>1</w:t>
      </w:r>
      <w:r w:rsidRPr="002D4245">
        <w:rPr>
          <w:rFonts w:cstheme="minorHAnsi"/>
        </w:rPr>
        <w:t xml:space="preserve"> </w:t>
      </w:r>
      <w:commentRangeEnd w:id="2"/>
      <w:r w:rsidR="0032541A">
        <w:rPr>
          <w:rStyle w:val="CommentReference"/>
        </w:rPr>
        <w:commentReference w:id="2"/>
      </w:r>
      <w:r w:rsidRPr="002D4245">
        <w:rPr>
          <w:rFonts w:cstheme="minorHAnsi"/>
        </w:rPr>
        <w:t>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01575A">
        <w:rPr>
          <w:rFonts w:cstheme="minorHAnsi"/>
        </w:rPr>
        <w:instrText xml:space="preserve"> ADDIN ZOTERO_ITEM CSL_CITATION {"citationID":"OU7CFv9C","properties":{"formattedCitation":"\\super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01575A" w:rsidRPr="0001575A">
        <w:rPr>
          <w:rFonts w:ascii="Calibri" w:hAnsi="Calibri" w:cs="Calibri"/>
          <w:szCs w:val="24"/>
          <w:vertAlign w:val="superscript"/>
        </w:rPr>
        <w:t>20</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01575A">
        <w:rPr>
          <w:rFonts w:cstheme="minorHAnsi"/>
        </w:rPr>
        <w:instrText xml:space="preserve"> ADDIN ZOTERO_ITEM CSL_CITATION {"citationID":"zYSz1A3k","properties":{"formattedCitation":"\\super 21\\nosupersub{}","plainCitation":"21","noteIndex":0},"citationItems":[{"id":29871,"uris":["http://zotero.org/users/9157291/items/3FV7ZVAG"],"itemData":{"id":29871,"type":"report","publisher":"European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01575A" w:rsidRPr="0001575A">
        <w:rPr>
          <w:rFonts w:ascii="Calibri" w:hAnsi="Calibri" w:cs="Calibri"/>
          <w:szCs w:val="24"/>
          <w:vertAlign w:val="superscript"/>
        </w:rPr>
        <w:t>21</w:t>
      </w:r>
      <w:r w:rsidR="00603CE6">
        <w:rPr>
          <w:rFonts w:cstheme="minorHAnsi"/>
        </w:rPr>
        <w:fldChar w:fldCharType="end"/>
      </w:r>
      <w:r w:rsidRPr="002D4245">
        <w:rPr>
          <w:rFonts w:cstheme="minorHAnsi"/>
        </w:rPr>
        <w:t xml:space="preserve">. </w:t>
      </w:r>
      <w:r w:rsidR="00B15466">
        <w:rPr>
          <w:rFonts w:cstheme="minorHAnsi"/>
        </w:rPr>
        <w:t>R</w:t>
      </w:r>
      <w:r w:rsidRPr="002D4245">
        <w:rPr>
          <w:rFonts w:cstheme="minorHAnsi"/>
        </w:rPr>
        <w:t xml:space="preserve">ecent news suggests that more than half of Europe’s ammonia production capacity (estimated at around 19 Mt </w:t>
      </w:r>
      <w:r w:rsidR="00DD793F">
        <w:rPr>
          <w:rFonts w:cstheme="minorHAnsi"/>
        </w:rPr>
        <w:t>yr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852820" w:rsidRPr="00852820">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01575A">
        <w:rPr>
          <w:rFonts w:cstheme="minorHAnsi"/>
        </w:rPr>
        <w:instrText xml:space="preserve"> ADDIN ZOTERO_ITEM CSL_CITATION {"citationID":"OFI4q7zf","properties":{"formattedCitation":"\\super 22,23\\nosupersub{}","plainCitation":"22,23","noteIndex":0},"citationItems":[{"id":26351,"uris":["http://zotero.org/users/9157291/items/ZNIINMHR"],"itemData":{"id":26351,"type":"article-newspaper","abstract":"Europe’s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01575A" w:rsidRPr="0001575A">
        <w:rPr>
          <w:rFonts w:ascii="Calibri" w:hAnsi="Calibri" w:cs="Calibri"/>
          <w:szCs w:val="24"/>
          <w:vertAlign w:val="superscript"/>
        </w:rPr>
        <w:t>22,23</w:t>
      </w:r>
      <w:r w:rsidR="00716DB0">
        <w:rPr>
          <w:rFonts w:cstheme="minorHAnsi"/>
        </w:rPr>
        <w:fldChar w:fldCharType="end"/>
      </w:r>
      <w:r w:rsidRPr="002D4245">
        <w:rPr>
          <w:rFonts w:cstheme="minorHAnsi"/>
        </w:rPr>
        <w:t>.</w:t>
      </w:r>
    </w:p>
    <w:p w14:paraId="0404B809" w14:textId="4851485E" w:rsidR="006B12AB" w:rsidRPr="00002D89" w:rsidRDefault="00915C18" w:rsidP="00F60ED9">
      <w:pPr>
        <w:rPr>
          <w:rFonts w:cstheme="minorHAnsi"/>
          <w:lang w:val="en-US"/>
        </w:rPr>
      </w:pPr>
      <w:r w:rsidRPr="002D4245">
        <w:rPr>
          <w:rFonts w:cstheme="minorHAnsi"/>
        </w:rPr>
        <w:t xml:space="preserve">The energy crisis 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247B8C" w:rsidRPr="00247B8C">
        <w:rPr>
          <w:rFonts w:cstheme="minorHAnsi"/>
        </w:rPr>
        <w:t>However, while the potential climate benefits have been proven, whether green chemicals can reduce costs in the present state of affairs has yet to be explored</w:t>
      </w:r>
      <w:r w:rsidR="00AD2884" w:rsidRPr="002D4245">
        <w:rPr>
          <w:rFonts w:cstheme="minorHAnsi"/>
          <w:lang w:val="en-US"/>
        </w:rPr>
        <w:t xml:space="preserve">. </w:t>
      </w:r>
      <w:r w:rsidR="00610A43">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r w:rsidR="00247B8C">
        <w:rPr>
          <w:rFonts w:cstheme="minorHAnsi"/>
          <w:lang w:val="en-US"/>
        </w:rPr>
        <w:t>,</w:t>
      </w:r>
      <w:r w:rsidR="00900CAA" w:rsidRPr="002D4245">
        <w:rPr>
          <w:rFonts w:cstheme="minorHAnsi"/>
          <w:lang w:val="en-US"/>
        </w:rPr>
        <w:t xml:space="preserve"> considering </w:t>
      </w:r>
      <w:r w:rsidR="008F2654">
        <w:rPr>
          <w:rFonts w:cstheme="minorHAnsi"/>
          <w:lang w:val="en-US"/>
        </w:rPr>
        <w:t>the 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3F2E1B" w:rsidRPr="003F2E1B">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is extracted</w:t>
      </w:r>
      <w:r w:rsidR="00002D89">
        <w:rPr>
          <w:rFonts w:cstheme="minorHAnsi"/>
        </w:rPr>
        <w:t xml:space="preserve"> from the atmosphere </w:t>
      </w:r>
      <w:r w:rsidR="002E6830">
        <w:rPr>
          <w:rFonts w:cstheme="minorHAnsi"/>
        </w:rPr>
        <w:t>by</w:t>
      </w:r>
      <w:r w:rsidR="00002D89">
        <w:rPr>
          <w:rFonts w:cstheme="minorHAnsi"/>
        </w:rPr>
        <w:t xml:space="preserve"> direct air capture (DAC)</w:t>
      </w:r>
      <w:r w:rsidR="00663D80">
        <w:rPr>
          <w:rFonts w:cstheme="minorHAnsi"/>
        </w:rPr>
        <w:t xml:space="preserve"> as this option </w:t>
      </w:r>
      <w:r w:rsidR="00654F64">
        <w:rPr>
          <w:rFonts w:cstheme="minorHAnsi"/>
        </w:rPr>
        <w:t>shows</w:t>
      </w:r>
      <w:r w:rsidR="00663D80">
        <w:rPr>
          <w:rFonts w:cstheme="minorHAnsi"/>
        </w:rPr>
        <w:t xml:space="preserve"> </w:t>
      </w:r>
      <w:r w:rsidR="00070710">
        <w:rPr>
          <w:rFonts w:cstheme="minorHAnsi"/>
        </w:rPr>
        <w:t xml:space="preserve">a 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01575A" w:rsidRPr="0001575A">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71196D">
        <w:rPr>
          <w:rFonts w:cstheme="minorHAnsi"/>
        </w:rPr>
        <w:t>e</w:t>
      </w:r>
      <w:r w:rsidR="00D07573">
        <w:rPr>
          <w:rFonts w:cstheme="minorHAnsi"/>
        </w:rPr>
        <w:t>xperimental procedures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78AC4C70" w:rsidR="00F60ED9" w:rsidRDefault="003643FF" w:rsidP="00F60ED9">
      <w:pPr>
        <w:pStyle w:val="Heading3"/>
      </w:pPr>
      <w:r>
        <w:t>Production c</w:t>
      </w:r>
      <w:r w:rsidR="00812859" w:rsidRPr="002D4245">
        <w:t>ost</w:t>
      </w:r>
      <w:r w:rsidR="004436B9">
        <w:t>s</w:t>
      </w:r>
      <w:r w:rsidR="00F60ED9" w:rsidRPr="00F60ED9">
        <w:t xml:space="preserve"> </w:t>
      </w:r>
      <w:r w:rsidR="00EE0C51">
        <w:t>for</w:t>
      </w:r>
      <w:r w:rsidR="00F60ED9">
        <w:t xml:space="preserve"> fossil ammonia and methanol</w:t>
      </w:r>
    </w:p>
    <w:p w14:paraId="3B083552" w14:textId="11C876CD" w:rsidR="008D2ED3" w:rsidRDefault="000A56C5" w:rsidP="000A56C5">
      <w:pPr>
        <w:rPr>
          <w:rFonts w:cstheme="minorHAnsi"/>
        </w:rPr>
      </w:pPr>
      <w:commentRangeStart w:id="3"/>
      <w:r w:rsidRPr="002D4245">
        <w:rPr>
          <w:rFonts w:cstheme="minorHAnsi"/>
        </w:rPr>
        <w:t>Considering the natural gas spot prices in Europe</w:t>
      </w:r>
      <w:r w:rsidR="00461772">
        <w:rPr>
          <w:rFonts w:cstheme="minorHAnsi"/>
        </w:rPr>
        <w:t xml:space="preserve">, we estimate </w:t>
      </w:r>
      <w:r w:rsidR="00E45D2F">
        <w:rPr>
          <w:rFonts w:cstheme="minorHAnsi"/>
        </w:rPr>
        <w:t xml:space="preserve">that the production cost for fossil ammonia </w:t>
      </w:r>
      <w:commentRangeEnd w:id="3"/>
      <w:r w:rsidR="00DE31AC">
        <w:rPr>
          <w:rStyle w:val="CommentReference"/>
        </w:rPr>
        <w:commentReference w:id="3"/>
      </w:r>
      <w:r w:rsidR="00E45D2F">
        <w:rPr>
          <w:rFonts w:cstheme="minorHAnsi"/>
        </w:rPr>
        <w:t xml:space="preserve">has increased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production for 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spot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p>
    <w:p w14:paraId="1DB79FC3" w14:textId="0E9AF786" w:rsidR="002D452C" w:rsidRDefault="007D5F2A" w:rsidP="00275F59">
      <w:pPr>
        <w:keepNext/>
        <w:spacing w:after="0"/>
        <w:jc w:val="center"/>
      </w:pPr>
      <w:r>
        <w:rPr>
          <w:noProof/>
        </w:rPr>
        <w:lastRenderedPageBreak/>
        <w:drawing>
          <wp:inline distT="0" distB="0" distL="0" distR="0" wp14:anchorId="6A167751" wp14:editId="6D386DEC">
            <wp:extent cx="6547104" cy="307238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16391C7D" w:rsidR="002D452C" w:rsidRPr="000A5E68" w:rsidRDefault="002D452C" w:rsidP="002D452C">
      <w:pPr>
        <w:pStyle w:val="Caption"/>
        <w:jc w:val="both"/>
        <w:rPr>
          <w:rFonts w:cstheme="minorHAnsi"/>
          <w:i w:val="0"/>
          <w:color w:val="auto"/>
          <w:sz w:val="20"/>
        </w:rPr>
      </w:pPr>
      <w:bookmarkStart w:id="4"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4"/>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w:t>
      </w:r>
      <w:r w:rsidR="00EC7EF2">
        <w:rPr>
          <w:b/>
          <w:i w:val="0"/>
          <w:color w:val="auto"/>
          <w:sz w:val="20"/>
        </w:rPr>
        <w:t>s</w:t>
      </w:r>
      <w:r w:rsidRPr="002D452C">
        <w:rPr>
          <w:b/>
          <w:i w:val="0"/>
          <w:color w:val="auto"/>
          <w:sz w:val="20"/>
        </w:rPr>
        <w:t xml:space="preserve">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r w:rsidR="00FB307B" w:rsidRPr="00FB307B">
        <w:rPr>
          <w:i w:val="0"/>
          <w:color w:val="auto"/>
          <w:sz w:val="20"/>
        </w:rPr>
        <w:t xml:space="preserve">The estimated production costs consider the fluctuation in natural gas </w:t>
      </w:r>
      <w:r w:rsidR="004D0C8F">
        <w:rPr>
          <w:i w:val="0"/>
          <w:color w:val="auto"/>
          <w:sz w:val="20"/>
        </w:rPr>
        <w:t>as well as</w:t>
      </w:r>
      <w:r w:rsidR="00FB307B" w:rsidRPr="00FB307B">
        <w:rPr>
          <w:i w:val="0"/>
          <w:color w:val="auto"/>
          <w:sz w:val="20"/>
        </w:rPr>
        <w:t xml:space="preserve"> electricity prices due to the global energy crisis</w:t>
      </w:r>
      <w:r w:rsidR="004D0C8F">
        <w:rPr>
          <w:i w:val="0"/>
          <w:color w:val="auto"/>
          <w:sz w:val="20"/>
        </w:rPr>
        <w:t xml:space="preserve"> (the evolution of electricity prices in Europe is </w:t>
      </w:r>
      <w:r w:rsidR="00933087">
        <w:rPr>
          <w:i w:val="0"/>
          <w:color w:val="auto"/>
          <w:sz w:val="20"/>
        </w:rPr>
        <w:t>displayed</w:t>
      </w:r>
      <w:r w:rsidR="004D0C8F">
        <w:rPr>
          <w:i w:val="0"/>
          <w:color w:val="auto"/>
          <w:sz w:val="20"/>
        </w:rPr>
        <w:t xml:space="preserve"> in </w:t>
      </w:r>
      <w:r w:rsidR="00933087" w:rsidRPr="004E6B57">
        <w:rPr>
          <w:i w:val="0"/>
          <w:color w:val="auto"/>
          <w:sz w:val="20"/>
          <w:highlight w:val="yellow"/>
        </w:rPr>
        <w:t xml:space="preserve">Supplementary </w:t>
      </w:r>
      <w:r w:rsidR="004D0C8F" w:rsidRPr="004E6B57">
        <w:rPr>
          <w:i w:val="0"/>
          <w:color w:val="auto"/>
          <w:sz w:val="20"/>
          <w:highlight w:val="yellow"/>
        </w:rPr>
        <w:t xml:space="preserve">Fig. </w:t>
      </w:r>
      <w:r w:rsidR="00AA3993" w:rsidRPr="004E6B57">
        <w:rPr>
          <w:i w:val="0"/>
          <w:color w:val="auto"/>
          <w:sz w:val="20"/>
          <w:highlight w:val="yellow"/>
        </w:rPr>
        <w:t>S1</w:t>
      </w:r>
      <w:r w:rsidR="004D0C8F">
        <w:rPr>
          <w:i w:val="0"/>
          <w:color w:val="auto"/>
          <w:sz w:val="20"/>
        </w:rPr>
        <w:t>)</w:t>
      </w:r>
      <w:r w:rsidR="00FB307B" w:rsidRPr="00FB307B">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69EBD990" w:rsidR="00657E7D" w:rsidRPr="00D52CE0" w:rsidRDefault="000C3ED1" w:rsidP="00D52CE0">
      <w:pPr>
        <w:pStyle w:val="Heading3"/>
      </w:pPr>
      <w:r>
        <w:t>Economic competitiveness of</w:t>
      </w:r>
      <w:r w:rsidR="00D52CE0">
        <w:t xml:space="preserve"> green ammonia and methanol</w:t>
      </w:r>
      <w:r w:rsidR="007062FA">
        <w:t xml:space="preserve"> production routes</w:t>
      </w:r>
    </w:p>
    <w:p w14:paraId="5849255F" w14:textId="7C7F8660"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Pr>
          <w:rFonts w:cstheme="minorHAnsi"/>
        </w:rPr>
        <w:t>.</w:t>
      </w:r>
      <w:r w:rsidR="007904D1">
        <w:rPr>
          <w:rFonts w:cstheme="minorHAnsi"/>
        </w:rPr>
        <w:t xml:space="preserve"> </w:t>
      </w:r>
      <w:r w:rsidR="00B44723">
        <w:rPr>
          <w:rFonts w:cstheme="minorHAnsi"/>
        </w:rPr>
        <w:t>G</w:t>
      </w:r>
      <w:r w:rsidR="00E730C8" w:rsidRPr="002D4245">
        <w:rPr>
          <w:rFonts w:cstheme="minorHAnsi"/>
        </w:rPr>
        <w:t>reen ammonia produced with hydrogen from water electrolysis using 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0A56C5" w:rsidRPr="002D4245">
        <w:rPr>
          <w:rFonts w:cstheme="minorHAnsi"/>
        </w:rPr>
        <w:t xml:space="preserve">ammonia production </w:t>
      </w:r>
      <w:r w:rsidR="000A56C5" w:rsidRPr="002E6830">
        <w:rPr>
          <w:rFonts w:cstheme="minorHAnsi"/>
          <w:i/>
        </w:rPr>
        <w:t>via</w:t>
      </w:r>
      <w:r w:rsidR="000A56C5" w:rsidRPr="002D4245">
        <w:rPr>
          <w:rFonts w:cstheme="minorHAnsi"/>
        </w:rPr>
        <w:t xml:space="preserve"> wind electrolysis has been cheaper than or similar to fossil ammonia for </w:t>
      </w:r>
      <w:r w:rsidR="00F4051B">
        <w:rPr>
          <w:rFonts w:cstheme="minorHAnsi"/>
        </w:rPr>
        <w:t>six</w:t>
      </w:r>
      <w:r w:rsidR="000A56C5" w:rsidRPr="002D4245">
        <w:rPr>
          <w:rFonts w:cstheme="minorHAnsi"/>
        </w:rPr>
        <w:t xml:space="preserve"> months since </w:t>
      </w:r>
      <w:r w:rsidR="00F4051B">
        <w:rPr>
          <w:rFonts w:cstheme="minorHAnsi"/>
        </w:rPr>
        <w:t>December</w:t>
      </w:r>
      <w:r w:rsidR="000A56C5" w:rsidRPr="002D4245">
        <w:rPr>
          <w:rFonts w:cstheme="minorHAnsi"/>
        </w:rPr>
        <w:t xml:space="preserve"> 2021</w:t>
      </w:r>
      <w:r w:rsidR="008E5A67">
        <w:rPr>
          <w:rFonts w:cstheme="minorHAnsi"/>
        </w:rPr>
        <w:t xml:space="preserve"> (</w:t>
      </w:r>
      <w:r w:rsidR="008B0FD0" w:rsidRPr="008B0FD0">
        <w:rPr>
          <w:rFonts w:cstheme="minorHAnsi"/>
        </w:rPr>
        <w:fldChar w:fldCharType="begin"/>
      </w:r>
      <w:r w:rsidR="008B0FD0" w:rsidRPr="008B0FD0">
        <w:rPr>
          <w:rFonts w:cstheme="minorHAnsi"/>
        </w:rPr>
        <w:instrText xml:space="preserve"> REF _Ref121495662 \h  \* MERGEFORMAT </w:instrText>
      </w:r>
      <w:r w:rsidR="008B0FD0" w:rsidRPr="008B0FD0">
        <w:rPr>
          <w:rFonts w:cstheme="minorHAnsi"/>
        </w:rPr>
      </w:r>
      <w:r w:rsidR="008B0FD0"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8B0FD0" w:rsidRPr="008B0FD0">
        <w:rPr>
          <w:rFonts w:cstheme="minorHAnsi"/>
        </w:rPr>
        <w:fldChar w:fldCharType="end"/>
      </w:r>
      <w:r w:rsidR="008B0FD0" w:rsidRPr="002D4245">
        <w:rPr>
          <w:rFonts w:cstheme="minorHAnsi"/>
        </w:rPr>
        <w:t>a</w:t>
      </w:r>
      <w:r w:rsidR="008E5A67">
        <w:rPr>
          <w:rFonts w:cstheme="minorHAnsi"/>
        </w:rPr>
        <w:t>)</w:t>
      </w:r>
      <w:r w:rsidR="000A56C5" w:rsidRPr="002D4245">
        <w:rPr>
          <w:rFonts w:cstheme="minorHAnsi"/>
        </w:rPr>
        <w:t xml:space="preserve">. </w:t>
      </w:r>
      <w:r w:rsidR="00AD325C">
        <w:rPr>
          <w:rFonts w:cstheme="minorHAnsi"/>
        </w:rPr>
        <w:t xml:space="preserve">Within this period, the production costs ranged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r w:rsidR="000A56C5" w:rsidRPr="002D4245">
        <w:rPr>
          <w:rFonts w:cstheme="minorHAnsi"/>
        </w:rPr>
        <w:t xml:space="preserve">Whereas green ammonia produced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is only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 xml:space="preserve">b). This can be attributed to lower capacity factors </w:t>
      </w:r>
      <w:r w:rsidR="00AD67F6">
        <w:rPr>
          <w:rFonts w:cstheme="minorHAnsi"/>
        </w:rPr>
        <w:t xml:space="preserve">of </w:t>
      </w:r>
      <w:r w:rsidR="00135D1F">
        <w:rPr>
          <w:rFonts w:cstheme="minorHAnsi"/>
        </w:rPr>
        <w:t xml:space="preserve">solar PV </w:t>
      </w:r>
      <w:r w:rsidR="000A56C5" w:rsidRPr="002D4245">
        <w:rPr>
          <w:rFonts w:cstheme="minorHAnsi"/>
        </w:rPr>
        <w:t>(16.1 to 17.5%) in comparison to wind electricity (</w:t>
      </w:r>
      <w:r w:rsidR="000A56C5" w:rsidRPr="002D4245">
        <w:rPr>
          <w:rFonts w:cstheme="minorHAnsi"/>
          <w:lang w:val="en-US"/>
        </w:rPr>
        <w:t>35.6% to 39%) resulting in higher levelized costs of hydrogen</w:t>
      </w:r>
      <w:r w:rsidR="00584969">
        <w:rPr>
          <w:rFonts w:cstheme="minorHAnsi"/>
          <w:lang w:val="en-US"/>
        </w:rPr>
        <w:fldChar w:fldCharType="begin"/>
      </w:r>
      <w:r w:rsidR="0001575A">
        <w:rPr>
          <w:rFonts w:cstheme="minorHAnsi"/>
          <w:lang w:val="en-US"/>
        </w:rPr>
        <w:instrText xml:space="preserve"> ADDIN ZOTERO_ITEM CSL_CITATION {"citationID":"4WsfGQvU","properties":{"formattedCitation":"\\super 24\\nosupersub{}","plainCitation":"24","noteIndex":0},"citationItems":[{"id":26628,"uris":["http://zotero.org/users/9157291/items/TXYNLTG5"],"itemData":{"id":26628,"type":"report","event-place":"Abu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01575A" w:rsidRPr="0001575A">
        <w:rPr>
          <w:rFonts w:ascii="Calibri" w:hAnsi="Calibri" w:cs="Calibri"/>
          <w:szCs w:val="24"/>
          <w:vertAlign w:val="superscript"/>
        </w:rPr>
        <w:t>24</w:t>
      </w:r>
      <w:r w:rsidR="00584969">
        <w:rPr>
          <w:rFonts w:cstheme="minorHAnsi"/>
          <w:lang w:val="en-US"/>
        </w:rPr>
        <w:fldChar w:fldCharType="end"/>
      </w:r>
      <w:r w:rsidR="000A56C5" w:rsidRPr="002D4245">
        <w:rPr>
          <w:rFonts w:cstheme="minorHAnsi"/>
          <w:lang w:val="en-US"/>
        </w:rPr>
        <w:t>. Ammonia production with blue hydrogen –SMR coupled with CCS– is always more expensive than the conventional route due to the additional cost of CCS and extra nitrogen feed (</w:t>
      </w:r>
      <w:r w:rsidR="00DC65F6" w:rsidRPr="008B0FD0">
        <w:rPr>
          <w:rFonts w:cstheme="minorHAnsi"/>
        </w:rPr>
        <w:fldChar w:fldCharType="begin"/>
      </w:r>
      <w:r w:rsidR="00DC65F6" w:rsidRPr="008B0FD0">
        <w:rPr>
          <w:rFonts w:cstheme="minorHAnsi"/>
        </w:rPr>
        <w:instrText xml:space="preserve"> REF _Ref121495662 \h  \* MERGEFORMAT </w:instrText>
      </w:r>
      <w:r w:rsidR="00DC65F6" w:rsidRPr="008B0FD0">
        <w:rPr>
          <w:rFonts w:cstheme="minorHAnsi"/>
        </w:rPr>
      </w:r>
      <w:r w:rsidR="00DC65F6"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DC65F6" w:rsidRPr="008B0FD0">
        <w:rPr>
          <w:rFonts w:cstheme="minorHAnsi"/>
        </w:rPr>
        <w:fldChar w:fldCharType="end"/>
      </w:r>
      <w:r w:rsidR="000A56C5" w:rsidRPr="002D4245">
        <w:rPr>
          <w:rFonts w:cstheme="minorHAnsi"/>
          <w:lang w:val="en-US"/>
        </w:rPr>
        <w:t>c).</w:t>
      </w:r>
    </w:p>
    <w:p w14:paraId="092B8FBF" w14:textId="4FE2F71C" w:rsidR="000A56C5" w:rsidRDefault="00BF6BC7" w:rsidP="000A56C5">
      <w:pPr>
        <w:rPr>
          <w:rFonts w:cstheme="minorHAnsi"/>
        </w:rPr>
      </w:pPr>
      <w:r>
        <w:rPr>
          <w:rFonts w:cstheme="minorHAnsi"/>
        </w:rPr>
        <w:t>G</w:t>
      </w:r>
      <w:r w:rsidRPr="002D4245">
        <w:rPr>
          <w:rFonts w:cstheme="minorHAnsi"/>
        </w:rPr>
        <w:t xml:space="preserve">reen methanol produced with </w:t>
      </w:r>
      <w:r w:rsidR="0023704E">
        <w:rPr>
          <w:rFonts w:cstheme="minorHAnsi"/>
        </w:rPr>
        <w:t>DAC CO</w:t>
      </w:r>
      <w:r w:rsidR="0023704E" w:rsidRPr="0023704E">
        <w:rPr>
          <w:rFonts w:cstheme="minorHAnsi"/>
          <w:vertAlign w:val="subscript"/>
        </w:rPr>
        <w:t>2</w:t>
      </w:r>
      <w:r w:rsidR="0023704E">
        <w:rPr>
          <w:rFonts w:cstheme="minorHAnsi"/>
        </w:rPr>
        <w:t xml:space="preserve"> and </w:t>
      </w:r>
      <w:r w:rsidRPr="002D4245">
        <w:rPr>
          <w:rFonts w:cstheme="minorHAnsi"/>
        </w:rPr>
        <w:t xml:space="preserve">wind-based </w:t>
      </w:r>
      <w:r>
        <w:rPr>
          <w:rFonts w:cstheme="minorHAnsi"/>
        </w:rPr>
        <w:t xml:space="preserve">electrolytic </w:t>
      </w:r>
      <w:r w:rsidRPr="002D4245">
        <w:rPr>
          <w:rFonts w:cstheme="minorHAnsi"/>
        </w:rPr>
        <w:t xml:space="preserve">hydrogen is 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 However, the break-even natural gas price largely depends on the levelized cost of hydrogen</w:t>
      </w:r>
      <w:r w:rsidR="00147B4D">
        <w:rPr>
          <w:rFonts w:cstheme="minorHAnsi"/>
        </w:rPr>
        <w:t>. It</w:t>
      </w:r>
      <w:r w:rsidR="000A56C5" w:rsidRPr="00996D9A">
        <w:rPr>
          <w:rFonts w:cstheme="minorHAnsi"/>
        </w:rPr>
        <w:t xml:space="preserve"> could decrease to </w:t>
      </w:r>
      <w:r w:rsidR="00E03418" w:rsidRPr="00996D9A">
        <w:rPr>
          <w:rFonts w:cstheme="minorHAnsi"/>
        </w:rPr>
        <w:t>2</w:t>
      </w:r>
      <w:r w:rsidR="000A56C5" w:rsidRPr="00996D9A">
        <w:rPr>
          <w:rFonts w:cstheme="minorHAnsi"/>
        </w:rPr>
        <w:t>,</w:t>
      </w:r>
      <w:r w:rsidR="00F4051B">
        <w:rPr>
          <w:rFonts w:cstheme="minorHAnsi"/>
        </w:rPr>
        <w:t>64</w:t>
      </w:r>
      <w:r w:rsidR="000A56C5" w:rsidRPr="00996D9A">
        <w:rPr>
          <w:rFonts w:cstheme="minorHAnsi"/>
        </w:rPr>
        <w:t>0 USD t</w:t>
      </w:r>
      <w:r w:rsidR="008B43B8" w:rsidRPr="00996D9A">
        <w:rPr>
          <w:rFonts w:cstheme="minorHAnsi"/>
          <w:vertAlign w:val="superscript"/>
        </w:rPr>
        <w:t>−1</w:t>
      </w:r>
      <w:r w:rsidR="000A56C5" w:rsidRPr="00996D9A">
        <w:rPr>
          <w:rFonts w:cstheme="minorHAnsi"/>
        </w:rPr>
        <w:t xml:space="preserve"> if considering the lower end of the hydrogen cost range.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71185A" w:rsidRPr="00996D9A">
        <w:rPr>
          <w:rFonts w:cstheme="minorHAnsi"/>
        </w:rPr>
        <w:t>DAC CO</w:t>
      </w:r>
      <w:r w:rsidR="0071185A" w:rsidRPr="00996D9A">
        <w:rPr>
          <w:rFonts w:cstheme="minorHAnsi"/>
          <w:vertAlign w:val="subscript"/>
        </w:rPr>
        <w:t>2</w:t>
      </w:r>
      <w:r w:rsidR="0071185A" w:rsidRPr="00996D9A">
        <w:rPr>
          <w:rFonts w:cstheme="minorHAnsi"/>
        </w:rPr>
        <w:t xml:space="preserve"> </w:t>
      </w:r>
      <w:r w:rsidR="00FA7648" w:rsidRPr="00996D9A">
        <w:rPr>
          <w:rFonts w:cstheme="minorHAnsi"/>
        </w:rPr>
        <w:t xml:space="preserve">and </w:t>
      </w:r>
      <w:r w:rsidR="004A450E" w:rsidRPr="00996D9A">
        <w:rPr>
          <w:rFonts w:cstheme="minorHAnsi"/>
        </w:rPr>
        <w:t xml:space="preserve">wind electrolysis has been cheaper than or similar to fossil </w:t>
      </w:r>
      <w:r w:rsidR="00E43C72" w:rsidRPr="00996D9A">
        <w:rPr>
          <w:rFonts w:cstheme="minorHAnsi"/>
        </w:rPr>
        <w:t>methanol</w:t>
      </w:r>
      <w:r w:rsidR="004A450E" w:rsidRPr="00996D9A">
        <w:rPr>
          <w:rFonts w:cstheme="minorHAnsi"/>
        </w:rPr>
        <w:t xml:space="preserve"> for </w:t>
      </w:r>
      <w:r w:rsidR="00580E32" w:rsidRPr="00996D9A">
        <w:rPr>
          <w:rFonts w:cstheme="minorHAnsi"/>
        </w:rPr>
        <w:t xml:space="preserve">one </w:t>
      </w:r>
      <w:r w:rsidR="00466085" w:rsidRPr="00996D9A">
        <w:rPr>
          <w:rFonts w:cstheme="minorHAnsi"/>
        </w:rPr>
        <w:t xml:space="preserve">and </w:t>
      </w:r>
      <w:r w:rsidR="00F4051B">
        <w:rPr>
          <w:rFonts w:cstheme="minorHAnsi"/>
        </w:rPr>
        <w:t>two</w:t>
      </w:r>
      <w:r w:rsidR="00466085" w:rsidRPr="00996D9A">
        <w:rPr>
          <w:rFonts w:cstheme="minorHAnsi"/>
        </w:rPr>
        <w:t xml:space="preserve"> </w:t>
      </w:r>
      <w:r w:rsidR="004A450E" w:rsidRPr="00996D9A">
        <w:rPr>
          <w:rFonts w:cstheme="minorHAnsi"/>
        </w:rPr>
        <w:t xml:space="preserve">months since </w:t>
      </w:r>
      <w:r w:rsidR="00F4051B">
        <w:rPr>
          <w:rFonts w:cstheme="minorHAnsi"/>
        </w:rPr>
        <w:t>December</w:t>
      </w:r>
      <w:r w:rsidR="004A450E" w:rsidRPr="00996D9A">
        <w:rPr>
          <w:rFonts w:cstheme="minorHAnsi"/>
        </w:rPr>
        <w:t xml:space="preserve"> 2021 if considering the average </w:t>
      </w:r>
      <w:r w:rsidR="00466085" w:rsidRPr="00996D9A">
        <w:rPr>
          <w:rFonts w:cstheme="minorHAnsi"/>
        </w:rPr>
        <w:t>and lower end of hydrogen cost, respectively.</w:t>
      </w:r>
      <w:r w:rsidR="00E43C72" w:rsidRPr="00996D9A">
        <w:rPr>
          <w:rFonts w:cstheme="minorHAnsi"/>
        </w:rPr>
        <w:t xml:space="preserve"> </w:t>
      </w:r>
      <w:r w:rsidR="000A56C5" w:rsidRPr="00996D9A">
        <w:rPr>
          <w:rFonts w:cstheme="minorHAnsi"/>
        </w:rPr>
        <w:t xml:space="preserve">The solar-based </w:t>
      </w:r>
      <w:r w:rsidR="000A6360" w:rsidRPr="00996D9A">
        <w:rPr>
          <w:rFonts w:cstheme="minorHAnsi"/>
        </w:rPr>
        <w:t>route</w:t>
      </w:r>
      <w:r w:rsidR="000A56C5" w:rsidRPr="00996D9A">
        <w:rPr>
          <w:rFonts w:cstheme="minorHAnsi"/>
        </w:rPr>
        <w:t xml:space="preserve"> is </w:t>
      </w:r>
      <w:r w:rsidR="00EA5415" w:rsidRPr="00996D9A">
        <w:rPr>
          <w:rFonts w:cstheme="minorHAnsi"/>
        </w:rPr>
        <w:t xml:space="preserve">never </w:t>
      </w:r>
      <w:r w:rsidR="000A56C5" w:rsidRPr="00996D9A">
        <w:rPr>
          <w:rFonts w:cstheme="minorHAnsi"/>
        </w:rPr>
        <w:t xml:space="preserve">feasible </w:t>
      </w:r>
      <w:r w:rsidR="00EA5415" w:rsidRPr="00996D9A">
        <w:rPr>
          <w:rFonts w:cstheme="minorHAnsi"/>
        </w:rPr>
        <w:t xml:space="preserve">even </w:t>
      </w:r>
      <w:r w:rsidR="000A56C5" w:rsidRPr="00996D9A">
        <w:rPr>
          <w:rFonts w:cstheme="minorHAnsi"/>
        </w:rPr>
        <w:t>at the peak of natural gas prices</w:t>
      </w:r>
      <w:r w:rsidR="00EA5415" w:rsidRPr="00996D9A">
        <w:rPr>
          <w:rFonts w:cstheme="minorHAnsi"/>
        </w:rPr>
        <w:t xml:space="preserve"> </w:t>
      </w:r>
      <w:r w:rsidR="000A56C5" w:rsidRPr="00996D9A">
        <w:rPr>
          <w:rFonts w:cstheme="minorHAnsi"/>
        </w:rPr>
        <w:t>(</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For the case of </w:t>
      </w:r>
      <w:r w:rsidR="00E43C72" w:rsidRPr="00996D9A">
        <w:rPr>
          <w:rFonts w:cstheme="minorHAnsi"/>
        </w:rPr>
        <w:t xml:space="preserve">methanol </w:t>
      </w:r>
      <w:r w:rsidR="00A72EA4" w:rsidRPr="00996D9A">
        <w:rPr>
          <w:rFonts w:cstheme="minorHAnsi"/>
        </w:rPr>
        <w:t>production from DAC CO</w:t>
      </w:r>
      <w:r w:rsidR="00A72EA4" w:rsidRPr="00996D9A">
        <w:rPr>
          <w:rFonts w:cstheme="minorHAnsi"/>
          <w:vertAlign w:val="subscript"/>
        </w:rPr>
        <w:t>2</w:t>
      </w:r>
      <w:r w:rsidR="00A72EA4" w:rsidRPr="00996D9A">
        <w:rPr>
          <w:rFonts w:cstheme="minorHAnsi"/>
        </w:rPr>
        <w:t xml:space="preserve"> and blue hydrogen</w:t>
      </w:r>
      <w:r w:rsidR="000A56C5" w:rsidRPr="00996D9A">
        <w:rPr>
          <w:rFonts w:cstheme="minorHAnsi"/>
        </w:rPr>
        <w:t>, the cost of production is</w:t>
      </w:r>
      <w:r w:rsidR="004F144A">
        <w:rPr>
          <w:rFonts w:cstheme="minorHAnsi"/>
        </w:rPr>
        <w:t>,</w:t>
      </w:r>
      <w:r w:rsidR="000A56C5" w:rsidRPr="00996D9A">
        <w:rPr>
          <w:rFonts w:cstheme="minorHAnsi"/>
        </w:rPr>
        <w:t xml:space="preserve"> on average</w:t>
      </w:r>
      <w:r w:rsidR="004F144A">
        <w:rPr>
          <w:rFonts w:cstheme="minorHAnsi"/>
        </w:rPr>
        <w:t>,</w:t>
      </w:r>
      <w:r w:rsidR="000A56C5" w:rsidRPr="00996D9A">
        <w:rPr>
          <w:rFonts w:cstheme="minorHAnsi"/>
        </w:rPr>
        <w:t xml:space="preserve"> </w:t>
      </w:r>
      <w:r w:rsidR="000A6360" w:rsidRPr="00996D9A">
        <w:rPr>
          <w:rFonts w:cstheme="minorHAnsi"/>
        </w:rPr>
        <w:t>182</w:t>
      </w:r>
      <w:r w:rsidR="000A56C5" w:rsidRPr="00996D9A">
        <w:rPr>
          <w:rFonts w:cstheme="minorHAnsi"/>
        </w:rPr>
        <w:t>%</w:t>
      </w:r>
      <w:r w:rsidR="000A56C5" w:rsidRPr="002D4245">
        <w:rPr>
          <w:rFonts w:cstheme="minorHAnsi"/>
        </w:rPr>
        <w:t xml:space="preserve"> higher than </w:t>
      </w:r>
      <w:r w:rsidR="00A72EA4">
        <w:rPr>
          <w:rFonts w:cstheme="minorHAnsi"/>
        </w:rPr>
        <w:t>fossil</w:t>
      </w:r>
      <w:r w:rsidR="000A56C5" w:rsidRPr="002D4245">
        <w:rPr>
          <w:rFonts w:cstheme="minorHAnsi"/>
        </w:rPr>
        <w:t xml:space="preserve"> methanol due to the additional cost of CCS and captured CO</w:t>
      </w:r>
      <w:r w:rsidR="000A56C5" w:rsidRPr="002D4245">
        <w:rPr>
          <w:rFonts w:cstheme="minorHAnsi"/>
          <w:vertAlign w:val="subscript"/>
        </w:rPr>
        <w:t>2</w:t>
      </w:r>
      <w:r w:rsidR="00DE2B61">
        <w:rPr>
          <w:rFonts w:cstheme="minorHAnsi"/>
        </w:rPr>
        <w:t xml:space="preserve"> (</w:t>
      </w:r>
      <w:r w:rsidR="00DE2B61" w:rsidRPr="008B0FD0">
        <w:rPr>
          <w:rFonts w:cstheme="minorHAnsi"/>
        </w:rPr>
        <w:fldChar w:fldCharType="begin"/>
      </w:r>
      <w:r w:rsidR="00DE2B61" w:rsidRPr="008B0FD0">
        <w:rPr>
          <w:rFonts w:cstheme="minorHAnsi"/>
        </w:rPr>
        <w:instrText xml:space="preserve"> REF _Ref121495662 \h  \* MERGEFORMAT </w:instrText>
      </w:r>
      <w:r w:rsidR="00DE2B61" w:rsidRPr="008B0FD0">
        <w:rPr>
          <w:rFonts w:cstheme="minorHAnsi"/>
        </w:rPr>
      </w:r>
      <w:r w:rsidR="00DE2B6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8B0FD0">
        <w:rPr>
          <w:rFonts w:cstheme="minorHAnsi"/>
        </w:rPr>
        <w:fldChar w:fldCharType="end"/>
      </w:r>
      <w:r w:rsidR="00DE2B61">
        <w:rPr>
          <w:rFonts w:cstheme="minorHAnsi"/>
        </w:rPr>
        <w:t>f)</w:t>
      </w:r>
      <w:r w:rsidR="000A56C5" w:rsidRPr="002D4245">
        <w:rPr>
          <w:rFonts w:cstheme="minorHAnsi"/>
        </w:rPr>
        <w:t>.</w:t>
      </w:r>
    </w:p>
    <w:p w14:paraId="3A88481D" w14:textId="7234E265" w:rsidR="00585AB2" w:rsidRPr="002D4245" w:rsidRDefault="00D460DB" w:rsidP="008C56C5">
      <w:pPr>
        <w:spacing w:after="0"/>
        <w:jc w:val="center"/>
        <w:rPr>
          <w:rFonts w:cstheme="minorHAnsi"/>
        </w:rPr>
      </w:pPr>
      <w:r>
        <w:rPr>
          <w:rFonts w:cstheme="minorHAnsi"/>
          <w:noProof/>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6A1753E2" w:rsidR="000A56C5" w:rsidRDefault="00585AB2" w:rsidP="00DC5138">
      <w:pPr>
        <w:jc w:val="both"/>
        <w:rPr>
          <w:rFonts w:cstheme="minorHAnsi"/>
          <w:iCs/>
          <w:sz w:val="20"/>
          <w:szCs w:val="20"/>
        </w:rPr>
      </w:pPr>
      <w:bookmarkStart w:id="5"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5"/>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roduction cost</w:t>
      </w:r>
      <w:r w:rsidR="00F44FB1">
        <w:rPr>
          <w:rFonts w:cstheme="minorHAnsi"/>
          <w:b/>
          <w:sz w:val="20"/>
        </w:rPr>
        <w:t>s</w:t>
      </w:r>
      <w:r w:rsidRPr="00EC47A0">
        <w:rPr>
          <w:rFonts w:cstheme="minorHAnsi"/>
          <w:b/>
          <w:sz w:val="20"/>
        </w:rPr>
        <w:t xml:space="preserve">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6" w:name="_Hlk124438456"/>
      <w:r w:rsidR="00B60641" w:rsidRPr="00B60641">
        <w:rPr>
          <w:sz w:val="20"/>
          <w:szCs w:val="20"/>
        </w:rPr>
        <w:t>wind-based electrolytic hydrogen</w:t>
      </w:r>
      <w:r w:rsidR="00BE621F">
        <w:rPr>
          <w:sz w:val="20"/>
          <w:szCs w:val="20"/>
        </w:rPr>
        <w:t xml:space="preserve"> </w:t>
      </w:r>
      <w:bookmarkEnd w:id="6"/>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EF3B71" w:rsidRPr="00FB307B">
        <w:rPr>
          <w:sz w:val="20"/>
        </w:rPr>
        <w:t xml:space="preserve">The </w:t>
      </w:r>
      <w:r w:rsidR="00EF3B71" w:rsidRPr="005647DF">
        <w:rPr>
          <w:sz w:val="20"/>
        </w:rPr>
        <w:t>estimated production costs consider the fluctuation in natural gas as well as electricity prices due to the global energy crisis (the evolution of electricity</w:t>
      </w:r>
      <w:r w:rsidR="00EF3B71" w:rsidRPr="00EF3B71">
        <w:rPr>
          <w:sz w:val="20"/>
        </w:rPr>
        <w:t xml:space="preserve"> prices in Europe is displayed in </w:t>
      </w:r>
      <w:r w:rsidR="00EF3B71" w:rsidRPr="004E6B57">
        <w:rPr>
          <w:sz w:val="20"/>
          <w:highlight w:val="yellow"/>
        </w:rPr>
        <w:t xml:space="preserve">Supplementary Fig. </w:t>
      </w:r>
      <w:r w:rsidR="00632267" w:rsidRPr="004E6B57">
        <w:rPr>
          <w:sz w:val="20"/>
          <w:highlight w:val="yellow"/>
        </w:rPr>
        <w:t>S1</w:t>
      </w:r>
      <w:r w:rsidR="00EF3B71" w:rsidRPr="00EF3B71">
        <w:rPr>
          <w:sz w:val="20"/>
        </w:rPr>
        <w:t>)</w:t>
      </w:r>
      <w:r w:rsidR="00B107DB" w:rsidRPr="00EF3B71">
        <w:rPr>
          <w:rFonts w:cstheme="minorHAnsi"/>
          <w:sz w:val="20"/>
          <w:szCs w:val="20"/>
        </w:rPr>
        <w:t>.</w:t>
      </w:r>
      <w:r w:rsidRPr="00B6064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021439B5" w:rsidR="00AF4CB0" w:rsidRPr="00AF4CB0" w:rsidRDefault="006B685F" w:rsidP="004A5AD1">
      <w:pPr>
        <w:rPr>
          <w:rFonts w:cstheme="minorHAnsi"/>
          <w:lang w:val="en-US"/>
        </w:rPr>
      </w:pPr>
      <w:r w:rsidRPr="002D4245">
        <w:rPr>
          <w:rFonts w:cstheme="minorHAnsi"/>
        </w:rPr>
        <w:lastRenderedPageBreak/>
        <w:t xml:space="preserve">To investigate further,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Pr>
          <w:rFonts w:cstheme="minorHAnsi"/>
        </w:rPr>
        <w:t xml:space="preserve"> </w:t>
      </w:r>
      <w:r w:rsidRPr="002D4245">
        <w:rPr>
          <w:rFonts w:cstheme="minorHAnsi"/>
        </w:rPr>
        <w:t xml:space="preserve">shows the breakdown of production costs for fossil and wind-based </w:t>
      </w:r>
      <w:r>
        <w:rPr>
          <w:rFonts w:cstheme="minorHAnsi"/>
        </w:rPr>
        <w:t xml:space="preserve">chemicals </w:t>
      </w:r>
      <w:r w:rsidRPr="002D4245">
        <w:rPr>
          <w:rFonts w:cstheme="minorHAnsi"/>
        </w:rPr>
        <w:t xml:space="preserve">at different time points.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production routes based on hydrogen from water electrolysis using on-shore wind electricity,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r w:rsidR="00484A22" w:rsidRPr="00E260DC">
        <w:t xml:space="preserve">the results for other green routes can be found in the </w:t>
      </w:r>
      <w:r w:rsidR="00484A22" w:rsidRPr="004E6B57">
        <w:rPr>
          <w:highlight w:val="yellow"/>
        </w:rPr>
        <w:t xml:space="preserve">Supplementary Fig. </w:t>
      </w:r>
      <w:r w:rsidR="00E260DC" w:rsidRPr="004E6B57">
        <w:rPr>
          <w:highlight w:val="yellow"/>
        </w:rPr>
        <w:t>S2</w:t>
      </w:r>
      <w:r w:rsidR="00484A22" w:rsidRPr="00E260DC">
        <w:t>).</w:t>
      </w:r>
      <w:r w:rsidR="008A65D4">
        <w:t xml:space="preserve"> </w:t>
      </w:r>
      <w:r w:rsidR="002C4240">
        <w:t>Moreover, w</w:t>
      </w:r>
      <w:r w:rsidRPr="002D4245">
        <w:rPr>
          <w:rFonts w:cstheme="minorHAnsi"/>
        </w:rPr>
        <w:t>e take average values for the years 2019 and 2020 as the natural gas and electricity prices before July 2021 were approximately constant</w:t>
      </w:r>
      <w:r>
        <w:rPr>
          <w:rFonts w:cstheme="minorHAnsi"/>
        </w:rPr>
        <w:t>.</w:t>
      </w:r>
    </w:p>
    <w:p w14:paraId="65511C7E" w14:textId="1C5A0454" w:rsidR="001B33C0" w:rsidRDefault="008405B5" w:rsidP="00D353BE">
      <w:pPr>
        <w:keepNext/>
        <w:spacing w:after="0"/>
        <w:jc w:val="center"/>
      </w:pPr>
      <w:r>
        <w:rPr>
          <w:noProof/>
        </w:rPr>
        <w:drawing>
          <wp:inline distT="0" distB="0" distL="0" distR="0" wp14:anchorId="4464C662" wp14:editId="7422D664">
            <wp:extent cx="6547104" cy="663092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1B4AD205" w:rsidR="001B33C0" w:rsidRDefault="001B33C0" w:rsidP="001B33C0">
      <w:pPr>
        <w:pStyle w:val="Caption"/>
        <w:jc w:val="both"/>
        <w:rPr>
          <w:i w:val="0"/>
          <w:color w:val="auto"/>
          <w:sz w:val="20"/>
        </w:rPr>
      </w:pPr>
      <w:bookmarkStart w:id="7"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7"/>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S2</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7EE9E2CE" w14:textId="5AD48388" w:rsidR="006B685F" w:rsidRPr="005E32C2" w:rsidRDefault="006B685F" w:rsidP="006B685F">
      <w:pPr>
        <w:rPr>
          <w:rFonts w:cstheme="minorHAnsi"/>
        </w:rPr>
      </w:pPr>
      <w:r w:rsidRPr="002D4245">
        <w:rPr>
          <w:rFonts w:cstheme="minorHAnsi"/>
        </w:rPr>
        <w:lastRenderedPageBreak/>
        <w:t>Notably, the contribution of natural gas to the average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sidRPr="002D4245">
        <w:rPr>
          <w:rFonts w:cstheme="minorHAnsi"/>
        </w:rPr>
        <w:t>a). Similarly, the contribution of electricity increased from 8% in 2020 to 1</w:t>
      </w:r>
      <w:r>
        <w:rPr>
          <w:rFonts w:cstheme="minorHAnsi"/>
        </w:rPr>
        <w:t>2</w:t>
      </w:r>
      <w:r w:rsidRPr="002D4245">
        <w:rPr>
          <w:rFonts w:cstheme="minorHAnsi"/>
        </w:rPr>
        <w:t xml:space="preserve">% in </w:t>
      </w:r>
      <w:r>
        <w:rPr>
          <w:rFonts w:cstheme="minorHAnsi"/>
        </w:rPr>
        <w:t>November</w:t>
      </w:r>
      <w:r w:rsidRPr="002D4245">
        <w:rPr>
          <w:rFonts w:cstheme="minorHAnsi"/>
        </w:rPr>
        <w:t xml:space="preserve"> 2022. </w:t>
      </w:r>
      <w:r>
        <w:rPr>
          <w:rFonts w:cstheme="minorHAnsi"/>
        </w:rPr>
        <w:t xml:space="preserve">For green ammonia, </w:t>
      </w:r>
      <w:r w:rsidRPr="002D4245">
        <w:rPr>
          <w:rFonts w:cstheme="minorHAnsi"/>
        </w:rPr>
        <w:t xml:space="preserve">wind-based </w:t>
      </w:r>
      <w:r>
        <w:rPr>
          <w:rFonts w:cstheme="minorHAnsi"/>
        </w:rPr>
        <w:t xml:space="preserve">electrolytic </w:t>
      </w:r>
      <w:r w:rsidRPr="002D4245">
        <w:rPr>
          <w:rFonts w:cstheme="minorHAnsi"/>
        </w:rPr>
        <w:t>hydrogen</w:t>
      </w:r>
      <w:r>
        <w:rPr>
          <w:rFonts w:cstheme="minorHAnsi"/>
        </w:rPr>
        <w:t xml:space="preserve"> </w:t>
      </w:r>
      <w:r w:rsidRPr="002D4245">
        <w:rPr>
          <w:rFonts w:cstheme="minorHAnsi"/>
        </w:rPr>
        <w:t>has the highest share of the production cost (6</w:t>
      </w:r>
      <w:r>
        <w:rPr>
          <w:rFonts w:cstheme="minorHAnsi"/>
        </w:rPr>
        <w:t>9</w:t>
      </w:r>
      <w:r w:rsidRPr="002D4245">
        <w:rPr>
          <w:rFonts w:cstheme="minorHAnsi"/>
        </w:rPr>
        <w:t>% to 8</w:t>
      </w:r>
      <w:r>
        <w:rPr>
          <w:rFonts w:cstheme="minorHAnsi"/>
        </w:rPr>
        <w:t>5</w:t>
      </w:r>
      <w:r w:rsidRPr="002D4245">
        <w:rPr>
          <w:rFonts w:cstheme="minorHAnsi"/>
        </w:rPr>
        <w:t>%).</w:t>
      </w:r>
      <w:r>
        <w:rPr>
          <w:rFonts w:cstheme="minorHAnsi"/>
        </w:rPr>
        <w:t xml:space="preserve"> Moreover,</w:t>
      </w:r>
      <w:r w:rsidRPr="002D4245">
        <w:rPr>
          <w:rFonts w:cstheme="minorHAnsi"/>
        </w:rPr>
        <w:t xml:space="preserve"> </w:t>
      </w:r>
      <w:r>
        <w:rPr>
          <w:rFonts w:cstheme="minorHAnsi"/>
        </w:rPr>
        <w:t>s</w:t>
      </w:r>
      <w:r w:rsidRPr="002D4245">
        <w:rPr>
          <w:rFonts w:cstheme="minorHAnsi"/>
        </w:rPr>
        <w:t>ince wind electricity is used only for the electrolyzer, whereas for the compressors</w:t>
      </w:r>
      <w:r>
        <w:rPr>
          <w:rFonts w:cstheme="minorHAnsi"/>
        </w:rPr>
        <w:t>,</w:t>
      </w:r>
      <w:r w:rsidRPr="002D4245">
        <w:rPr>
          <w:rFonts w:cstheme="minorHAnsi"/>
        </w:rPr>
        <w:t xml:space="preserve"> we consider grid electricity, the share of grid electricity rose from </w:t>
      </w:r>
      <w:r w:rsidRPr="002D4245">
        <w:rPr>
          <w:rFonts w:cstheme="minorHAnsi"/>
        </w:rPr>
        <w:sym w:font="Symbol" w:char="F07E"/>
      </w:r>
      <w:r w:rsidRPr="002D4245">
        <w:rPr>
          <w:rFonts w:cstheme="minorHAnsi"/>
        </w:rPr>
        <w:t xml:space="preserve">1% in 2020 to </w:t>
      </w:r>
      <w:r>
        <w:rPr>
          <w:rFonts w:cstheme="minorHAnsi"/>
        </w:rPr>
        <w:t>6</w:t>
      </w:r>
      <w:r w:rsidRPr="002D4245">
        <w:rPr>
          <w:rFonts w:cstheme="minorHAnsi"/>
        </w:rPr>
        <w:t xml:space="preserve">% in </w:t>
      </w:r>
      <w:r>
        <w:rPr>
          <w:rFonts w:cstheme="minorHAnsi"/>
        </w:rPr>
        <w:t>November</w:t>
      </w:r>
      <w:r w:rsidRPr="002D4245">
        <w:rPr>
          <w:rFonts w:cstheme="minorHAnsi"/>
        </w:rPr>
        <w:t xml:space="preserve"> 2022.</w:t>
      </w:r>
      <w:r w:rsidR="005E32C2">
        <w:rPr>
          <w:rFonts w:cstheme="minorHAnsi"/>
        </w:rPr>
        <w:t xml:space="preserve"> </w:t>
      </w:r>
      <w:r w:rsidRPr="002D4245">
        <w:rPr>
          <w:rFonts w:cstheme="minorHAnsi"/>
          <w:lang w:val="en-US"/>
        </w:rPr>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sidRPr="002D4245">
        <w:rPr>
          <w:rFonts w:cstheme="minorHAnsi"/>
          <w:lang w:val="en-US"/>
        </w:rPr>
        <w:t xml:space="preserve">b). </w:t>
      </w:r>
      <w:r>
        <w:rPr>
          <w:rFonts w:cstheme="minorHAnsi"/>
          <w:lang w:val="en-US"/>
        </w:rPr>
        <w:t>The</w:t>
      </w:r>
      <w:r w:rsidRPr="002D4245">
        <w:rPr>
          <w:rFonts w:cstheme="minorHAnsi"/>
          <w:lang w:val="en-US"/>
        </w:rPr>
        <w:t xml:space="preserve"> contribution of electricity </w:t>
      </w:r>
      <w:r>
        <w:rPr>
          <w:rFonts w:cstheme="minorHAnsi"/>
          <w:lang w:val="en-US"/>
        </w:rPr>
        <w:t>stood at around</w:t>
      </w:r>
      <w:r w:rsidRPr="002D4245">
        <w:rPr>
          <w:rFonts w:cstheme="minorHAnsi"/>
          <w:lang w:val="en-US"/>
        </w:rPr>
        <w:t xml:space="preserve"> </w:t>
      </w:r>
      <w:r w:rsidRPr="002D4245">
        <w:rPr>
          <w:rFonts w:cstheme="minorHAnsi"/>
        </w:rPr>
        <w:sym w:font="Symbol" w:char="F07E"/>
      </w:r>
      <w:r w:rsidRPr="002D4245">
        <w:rPr>
          <w:rFonts w:cstheme="minorHAnsi"/>
        </w:rPr>
        <w:t xml:space="preserve">1% </w:t>
      </w:r>
      <w:r>
        <w:rPr>
          <w:rFonts w:cstheme="minorHAnsi"/>
        </w:rPr>
        <w:t>during the entire period considered in our analysis</w:t>
      </w:r>
      <w:r w:rsidRPr="002D4245">
        <w:rPr>
          <w:rFonts w:cstheme="minorHAnsi"/>
          <w:lang w:val="en-US"/>
        </w:rPr>
        <w:t xml:space="preserve">. </w:t>
      </w:r>
      <w:r>
        <w:rPr>
          <w:rFonts w:cstheme="minorHAnsi"/>
          <w:lang w:val="en-US"/>
        </w:rPr>
        <w:t>F</w:t>
      </w:r>
      <w:r w:rsidRPr="002D4245">
        <w:rPr>
          <w:rFonts w:cstheme="minorHAnsi"/>
          <w:lang w:val="en-US"/>
        </w:rPr>
        <w:t>or the green methanol production route</w:t>
      </w:r>
      <w:r>
        <w:rPr>
          <w:rFonts w:cstheme="minorHAnsi"/>
          <w:lang w:val="en-US"/>
        </w:rPr>
        <w:t>,</w:t>
      </w:r>
      <w:r w:rsidRPr="002D4245">
        <w:rPr>
          <w:rFonts w:cstheme="minorHAnsi"/>
          <w:lang w:val="en-US"/>
        </w:rPr>
        <w:t xml:space="preserve"> </w:t>
      </w:r>
      <w:r>
        <w:rPr>
          <w:rFonts w:cstheme="minorHAnsi"/>
          <w:lang w:val="en-US"/>
        </w:rPr>
        <w:t>h</w:t>
      </w:r>
      <w:r w:rsidRPr="002D4245">
        <w:rPr>
          <w:rFonts w:cstheme="minorHAnsi"/>
          <w:lang w:val="en-US"/>
        </w:rPr>
        <w:t>ydrogen from wind electrolysis ha</w:t>
      </w:r>
      <w:r>
        <w:rPr>
          <w:rFonts w:cstheme="minorHAnsi"/>
          <w:lang w:val="en-US"/>
        </w:rPr>
        <w:t>d</w:t>
      </w:r>
      <w:r w:rsidRPr="002D4245">
        <w:rPr>
          <w:rFonts w:cstheme="minorHAnsi"/>
          <w:lang w:val="en-US"/>
        </w:rPr>
        <w:t xml:space="preserve"> the highest share of around 6</w:t>
      </w:r>
      <w:r>
        <w:rPr>
          <w:rFonts w:cstheme="minorHAnsi"/>
          <w:lang w:val="en-US"/>
        </w:rPr>
        <w:t>7</w:t>
      </w:r>
      <w:r w:rsidRPr="002D4245">
        <w:rPr>
          <w:rFonts w:cstheme="minorHAnsi"/>
          <w:lang w:val="en-US"/>
        </w:rPr>
        <w:t>% in July 2021</w:t>
      </w:r>
      <w:r>
        <w:rPr>
          <w:rFonts w:cstheme="minorHAnsi"/>
          <w:lang w:val="en-US"/>
        </w:rPr>
        <w:t>,</w:t>
      </w:r>
      <w:r w:rsidRPr="002D4245">
        <w:rPr>
          <w:rFonts w:cstheme="minorHAnsi"/>
          <w:lang w:val="en-US"/>
        </w:rPr>
        <w:t xml:space="preserve"> which decreased to </w:t>
      </w:r>
      <w:r>
        <w:rPr>
          <w:rFonts w:cstheme="minorHAnsi"/>
          <w:lang w:val="en-US"/>
        </w:rPr>
        <w:t>61</w:t>
      </w:r>
      <w:r w:rsidRPr="002D4245">
        <w:rPr>
          <w:rFonts w:cstheme="minorHAnsi"/>
          <w:lang w:val="en-US"/>
        </w:rPr>
        <w:t xml:space="preserve">% in </w:t>
      </w:r>
      <w:r>
        <w:rPr>
          <w:rFonts w:cstheme="minorHAnsi"/>
          <w:lang w:val="en-US"/>
        </w:rPr>
        <w:t>November</w:t>
      </w:r>
      <w:r w:rsidRPr="002D4245">
        <w:rPr>
          <w:rFonts w:cstheme="minorHAnsi"/>
          <w:lang w:val="en-US"/>
        </w:rPr>
        <w:t xml:space="preserve"> 2022. The share of CO</w:t>
      </w:r>
      <w:r w:rsidRPr="002D4245">
        <w:rPr>
          <w:rFonts w:cstheme="minorHAnsi"/>
          <w:vertAlign w:val="subscript"/>
          <w:lang w:val="en-US"/>
        </w:rPr>
        <w:t>2</w:t>
      </w:r>
      <w:r w:rsidRPr="002D4245">
        <w:rPr>
          <w:rFonts w:cstheme="minorHAnsi"/>
          <w:lang w:val="en-US"/>
        </w:rPr>
        <w:t xml:space="preserve"> from DAC was about 1</w:t>
      </w:r>
      <w:r>
        <w:rPr>
          <w:rFonts w:cstheme="minorHAnsi"/>
          <w:lang w:val="en-US"/>
        </w:rPr>
        <w:t>6</w:t>
      </w:r>
      <w:r w:rsidRPr="002D4245">
        <w:rPr>
          <w:rFonts w:cstheme="minorHAnsi"/>
          <w:lang w:val="en-US"/>
        </w:rPr>
        <w:t xml:space="preserve">% in 2020 and increased to </w:t>
      </w:r>
      <w:r>
        <w:rPr>
          <w:rFonts w:cstheme="minorHAnsi"/>
          <w:lang w:val="en-US"/>
        </w:rPr>
        <w:t>28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t>This increase can be attributed to the increase in natural gas prices required to capture CO</w:t>
      </w:r>
      <w:r w:rsidRPr="00AE7DFC">
        <w:rPr>
          <w:vertAlign w:val="subscript"/>
        </w:rPr>
        <w:t>2</w:t>
      </w:r>
      <w:r>
        <w:t> </w:t>
      </w:r>
      <w:r>
        <w:rPr>
          <w:rStyle w:val="Emphasis"/>
          <w:color w:val="0E101A"/>
        </w:rPr>
        <w:t>via</w:t>
      </w:r>
      <w:r>
        <w:t> DAC.</w:t>
      </w:r>
    </w:p>
    <w:p w14:paraId="1D1AE6F8" w14:textId="35739404" w:rsidR="00C2118D" w:rsidRPr="002D4245" w:rsidRDefault="00CF068F" w:rsidP="00D25DE2">
      <w:pPr>
        <w:pStyle w:val="Heading3"/>
        <w:rPr>
          <w:lang w:val="en-US"/>
        </w:rPr>
      </w:pPr>
      <w:r>
        <w:rPr>
          <w:lang w:val="en-US"/>
        </w:rPr>
        <w:t>A</w:t>
      </w:r>
      <w:r w:rsidR="00C2118D" w:rsidRPr="002D4245">
        <w:rPr>
          <w:lang w:val="en-US"/>
        </w:rPr>
        <w:t>voidance costs</w:t>
      </w:r>
    </w:p>
    <w:p w14:paraId="37DA1996" w14:textId="2E1DB83B" w:rsidR="00C2118D" w:rsidRDefault="00620DA7" w:rsidP="00775133">
      <w:pPr>
        <w:rPr>
          <w:rFonts w:cstheme="minorHAnsi"/>
        </w:rPr>
      </w:pPr>
      <w:r>
        <w:rPr>
          <w:rFonts w:cstheme="minorHAnsi"/>
        </w:rPr>
        <w:t xml:space="preserve">After </w:t>
      </w:r>
      <w:r w:rsidR="004E6A1C">
        <w:rPr>
          <w:rFonts w:cstheme="minorHAnsi"/>
        </w:rPr>
        <w:t>realizing</w:t>
      </w:r>
      <w:r w:rsidR="009649BF">
        <w:rPr>
          <w:rFonts w:cstheme="minorHAnsi"/>
        </w:rPr>
        <w:t xml:space="preserve"> </w:t>
      </w:r>
      <w:r w:rsidR="00956250">
        <w:rPr>
          <w:rFonts w:cstheme="minorHAnsi"/>
        </w:rPr>
        <w:t>that green chemical production routes could be economically appealing</w:t>
      </w:r>
      <w:r w:rsidR="009E57C5">
        <w:rPr>
          <w:rFonts w:cstheme="minorHAnsi"/>
        </w:rPr>
        <w:t>,</w:t>
      </w:r>
      <w:r w:rsidR="00956250">
        <w:rPr>
          <w:rFonts w:cstheme="minorHAnsi"/>
        </w:rPr>
        <w:t xml:space="preserve"> </w:t>
      </w:r>
      <w:r w:rsidR="003F768C">
        <w:rPr>
          <w:rFonts w:cstheme="minorHAnsi"/>
        </w:rPr>
        <w:t xml:space="preserve">we next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r w:rsidR="00C0526F">
        <w:rPr>
          <w:rFonts w:cstheme="minorHAnsi"/>
        </w:rPr>
        <w:t>, which provide</w:t>
      </w:r>
      <w:r w:rsidR="00077882">
        <w:rPr>
          <w:rFonts w:cstheme="minorHAnsi"/>
        </w:rPr>
        <w:t>s</w:t>
      </w:r>
      <w:r w:rsidR="00C0526F">
        <w:rPr>
          <w:rFonts w:cstheme="minorHAnsi"/>
        </w:rPr>
        <w:t xml:space="preserve"> the economic viability of climate change mitigation.</w:t>
      </w:r>
      <w:r w:rsidR="004F3DEE">
        <w:rPr>
          <w:rFonts w:cstheme="minorHAnsi"/>
        </w:rPr>
        <w:t xml:space="preserve"> </w:t>
      </w:r>
      <w:r w:rsidR="00C2118D" w:rsidRPr="00775133">
        <w:rPr>
          <w:rFonts w:cstheme="minorHAnsi"/>
        </w:rPr>
        <w:t>The avoidance cost follows an inverse trend to the natural gas price. 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This cost is substantially higher for methanol with 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r w:rsidR="00C2118D" w:rsidRPr="00775133">
        <w:rPr>
          <w:rFonts w:cstheme="minorHAnsi"/>
        </w:rPr>
        <w:t xml:space="preserve">, primarily due to a higher difference between the production costs of fossil and green methanol. Notably, the avoidance cost of green ammonia and methanol in 2020 </w:t>
      </w:r>
      <w:r w:rsidR="005D733E">
        <w:rPr>
          <w:rFonts w:cstheme="minorHAnsi"/>
        </w:rPr>
        <w:t>essentially</w:t>
      </w:r>
      <w:r w:rsidR="00C2118D" w:rsidRPr="00775133">
        <w:rPr>
          <w:rFonts w:cstheme="minorHAnsi"/>
        </w:rPr>
        <w:t xml:space="preserve"> surpasses the removal cost of bioenergy with carbon capture and storage (BECCS) and DAC with carbon capture and storage (DACCS), 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01575A">
        <w:rPr>
          <w:rFonts w:cstheme="minorHAnsi"/>
        </w:rPr>
        <w:instrText xml:space="preserve"> ADDIN ZOTERO_ITEM CSL_CITATION {"citationID":"93EyLiHn","properties":{"formattedCitation":"\\super 25\\nosupersub{}","plainCitation":"25","noteIndex":0},"citationItems":[{"id":26709,"uris":["http://zotero.org/users/9157291/items/BW5WQTNZ"],"itemData":{"id":26709,"type":"article-journal","abstract":"The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01575A" w:rsidRPr="0001575A">
        <w:rPr>
          <w:rFonts w:ascii="Calibri" w:hAnsi="Calibri" w:cs="Calibri"/>
          <w:szCs w:val="24"/>
          <w:vertAlign w:val="superscript"/>
        </w:rPr>
        <w:t>25</w:t>
      </w:r>
      <w:r w:rsidR="00C64493">
        <w:rPr>
          <w:rFonts w:cstheme="minorHAnsi"/>
        </w:rPr>
        <w:fldChar w:fldCharType="end"/>
      </w:r>
      <w:r w:rsidR="00C2118D" w:rsidRPr="00775133">
        <w:rPr>
          <w:rFonts w:cstheme="minorHAnsi"/>
        </w:rPr>
        <w:t>. However, as natural gas prices increase, less money is required for every ton of CO</w:t>
      </w:r>
      <w:r w:rsidR="00C2118D" w:rsidRPr="00CF08F9">
        <w:rPr>
          <w:rFonts w:cstheme="minorHAnsi"/>
          <w:vertAlign w:val="subscript"/>
        </w:rPr>
        <w:t>2</w:t>
      </w:r>
      <w:r w:rsidR="00C2118D" w:rsidRPr="00775133">
        <w:rPr>
          <w:rFonts w:cstheme="minorHAnsi"/>
        </w:rPr>
        <w:t xml:space="preserve"> emission avoided by switching from fossil to green chemicals. At the peak of natural gas prices in 2022, the avoidance cost of green ammonia and methanol becomes negative, meaning that the industry could simultaneously reduce costs and </w:t>
      </w:r>
      <w:r w:rsidR="00A11251">
        <w:rPr>
          <w:rFonts w:cstheme="minorHAnsi"/>
        </w:rPr>
        <w:t>GHG</w:t>
      </w:r>
      <w:r w:rsidR="00C2118D" w:rsidRPr="00775133">
        <w:rPr>
          <w:rFonts w:cstheme="minorHAnsi"/>
        </w:rPr>
        <w:t xml:space="preserve"> emissions. Since July 2021, the industry could save around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 Similarly, in August 2022</w:t>
      </w:r>
      <w:r w:rsidR="00704063">
        <w:rPr>
          <w:rFonts w:cstheme="minorHAnsi"/>
        </w:rPr>
        <w:t>,</w:t>
      </w:r>
      <w:r w:rsidR="00C2118D" w:rsidRPr="00775133">
        <w:rPr>
          <w:rFonts w:cstheme="minorHAnsi"/>
        </w:rPr>
        <w:t xml:space="preserve"> for methanol </w:t>
      </w:r>
      <w:r w:rsidR="00C2118D" w:rsidRPr="002E6830">
        <w:rPr>
          <w:rFonts w:cstheme="minorHAnsi"/>
          <w:i/>
        </w:rPr>
        <w:t>via</w:t>
      </w:r>
      <w:r w:rsidR="00C2118D" w:rsidRPr="00775133">
        <w:rPr>
          <w:rFonts w:cstheme="minorHAnsi"/>
        </w:rPr>
        <w:t xml:space="preserve"> wind, savings stood at around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8"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8"/>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31345942" w14:textId="143D48AB" w:rsidR="003C184A" w:rsidRDefault="00251FB6" w:rsidP="003C184A">
      <w:pPr>
        <w:rPr>
          <w:rFonts w:cstheme="minorHAnsi"/>
        </w:rPr>
      </w:pPr>
      <w:r>
        <w:rPr>
          <w:rFonts w:cstheme="minorHAnsi"/>
        </w:rPr>
        <w:t xml:space="preserve">Here we have shown </w:t>
      </w:r>
      <w:r w:rsidR="0083099E">
        <w:rPr>
          <w:rFonts w:cstheme="minorHAnsi"/>
        </w:rPr>
        <w:t xml:space="preserve">how </w:t>
      </w:r>
      <w:r w:rsidR="005260C6" w:rsidRPr="005260C6">
        <w:rPr>
          <w:rFonts w:cstheme="minorHAnsi"/>
        </w:rPr>
        <w:t xml:space="preserve">an unprecedented crisis of soaring natural gas and electricity prices </w:t>
      </w:r>
      <w:r w:rsidR="007E4086">
        <w:rPr>
          <w:rFonts w:cstheme="minorHAnsi"/>
        </w:rPr>
        <w:t xml:space="preserve">in Europe </w:t>
      </w:r>
      <w:r w:rsidR="0083099E">
        <w:rPr>
          <w:rFonts w:cstheme="minorHAnsi"/>
        </w:rPr>
        <w:t>has improved the economic competitiveness of</w:t>
      </w:r>
      <w:r w:rsidR="00AF6997">
        <w:rPr>
          <w:rFonts w:cstheme="minorHAnsi"/>
        </w:rPr>
        <w:t xml:space="preserve"> </w:t>
      </w:r>
      <w:r w:rsidR="009D0181">
        <w:rPr>
          <w:rFonts w:cstheme="minorHAnsi"/>
        </w:rPr>
        <w:t>green</w:t>
      </w:r>
      <w:r w:rsidR="00BB2526">
        <w:rPr>
          <w:rFonts w:cstheme="minorHAnsi"/>
        </w:rPr>
        <w:t xml:space="preserve"> </w:t>
      </w:r>
      <w:r w:rsidR="00492272">
        <w:rPr>
          <w:rFonts w:cstheme="minorHAnsi"/>
        </w:rPr>
        <w:t>chemicals</w:t>
      </w:r>
      <w:r w:rsidR="00BB2526">
        <w:rPr>
          <w:rFonts w:cstheme="minorHAnsi"/>
        </w:rPr>
        <w:t xml:space="preserve"> </w:t>
      </w:r>
      <w:r w:rsidR="00EB3EB2">
        <w:rPr>
          <w:rFonts w:cstheme="minorHAnsi"/>
        </w:rPr>
        <w:t>production</w:t>
      </w:r>
      <w:r w:rsidR="0083099E">
        <w:rPr>
          <w:rFonts w:cstheme="minorHAnsi"/>
        </w:rPr>
        <w:t>.</w:t>
      </w:r>
      <w:r w:rsidR="00091FFC">
        <w:rPr>
          <w:rFonts w:cstheme="minorHAnsi"/>
        </w:rPr>
        <w:t xml:space="preserve"> </w:t>
      </w:r>
      <w:r w:rsidR="00014713">
        <w:rPr>
          <w:rFonts w:cstheme="minorHAnsi"/>
        </w:rPr>
        <w:t xml:space="preserve">Notably, we found that </w:t>
      </w:r>
      <w:r w:rsidR="00014713" w:rsidRPr="002D4245">
        <w:rPr>
          <w:rFonts w:cstheme="minorHAnsi"/>
        </w:rPr>
        <w:t xml:space="preserve">ammonia production </w:t>
      </w:r>
      <w:r w:rsidR="00014713" w:rsidRPr="002E6830">
        <w:rPr>
          <w:rFonts w:cstheme="minorHAnsi"/>
          <w:i/>
        </w:rPr>
        <w:t>via</w:t>
      </w:r>
      <w:r w:rsidR="00EE3B6F">
        <w:rPr>
          <w:rFonts w:cstheme="minorHAnsi"/>
        </w:rPr>
        <w:t xml:space="preserve"> hydrogen from </w:t>
      </w:r>
      <w:r w:rsidR="00EE3B6F" w:rsidRPr="002D4245">
        <w:rPr>
          <w:rFonts w:cstheme="minorHAnsi"/>
        </w:rPr>
        <w:t>water electrolysis using on-shore wind electricity</w:t>
      </w:r>
      <w:r w:rsidR="00251F8E">
        <w:rPr>
          <w:rFonts w:cstheme="minorHAnsi"/>
        </w:rPr>
        <w:t xml:space="preserve"> has generally outperformed </w:t>
      </w:r>
      <w:r w:rsidR="00F73E6A">
        <w:rPr>
          <w:rFonts w:cstheme="minorHAnsi"/>
        </w:rPr>
        <w:t>natural gas-based</w:t>
      </w:r>
      <w:r w:rsidR="00251F8E">
        <w:rPr>
          <w:rFonts w:cstheme="minorHAnsi"/>
        </w:rPr>
        <w:t xml:space="preserve"> ammonia </w:t>
      </w:r>
      <w:r w:rsidR="00014713" w:rsidRPr="002D4245">
        <w:rPr>
          <w:rFonts w:cstheme="minorHAnsi"/>
        </w:rPr>
        <w:t xml:space="preserve">since </w:t>
      </w:r>
      <w:r w:rsidR="00BD15BE">
        <w:rPr>
          <w:rFonts w:cstheme="minorHAnsi"/>
        </w:rPr>
        <w:t>December</w:t>
      </w:r>
      <w:r w:rsidR="00014713" w:rsidRPr="002D4245">
        <w:rPr>
          <w:rFonts w:cstheme="minorHAnsi"/>
        </w:rPr>
        <w:t xml:space="preserve"> 2021</w:t>
      </w:r>
      <w:r w:rsidR="00251F8E">
        <w:rPr>
          <w:rFonts w:cstheme="minorHAnsi"/>
        </w:rPr>
        <w:t xml:space="preserve">. </w:t>
      </w:r>
      <w:r w:rsidR="009757A3">
        <w:rPr>
          <w:rFonts w:cstheme="minorHAnsi"/>
        </w:rPr>
        <w:t xml:space="preserve">Whether green ammonia will remain economically </w:t>
      </w:r>
      <w:r w:rsidR="00C554E8">
        <w:rPr>
          <w:rFonts w:cstheme="minorHAnsi"/>
        </w:rPr>
        <w:t>competitive</w:t>
      </w:r>
      <w:r w:rsidR="009757A3">
        <w:rPr>
          <w:rFonts w:cstheme="minorHAnsi"/>
        </w:rPr>
        <w:t xml:space="preserve"> will depend </w:t>
      </w:r>
      <w:r w:rsidR="006B28D3">
        <w:rPr>
          <w:rFonts w:cstheme="minorHAnsi"/>
        </w:rPr>
        <w:t xml:space="preserve">mainly </w:t>
      </w:r>
      <w:r w:rsidR="009757A3">
        <w:rPr>
          <w:rFonts w:cstheme="minorHAnsi"/>
        </w:rPr>
        <w:t>on the evolution of natural gas prices</w:t>
      </w:r>
      <w:r w:rsidR="00C554E8">
        <w:rPr>
          <w:rFonts w:cstheme="minorHAnsi"/>
        </w:rPr>
        <w:t xml:space="preserve">, which in turn </w:t>
      </w:r>
      <w:r w:rsidR="00046F5B">
        <w:rPr>
          <w:rFonts w:cstheme="minorHAnsi"/>
        </w:rPr>
        <w:t>depend on</w:t>
      </w:r>
      <w:r w:rsidR="00C554E8">
        <w:rPr>
          <w:rFonts w:cstheme="minorHAnsi"/>
        </w:rPr>
        <w:t xml:space="preserve"> the duration of the war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helped reduce the </w:t>
      </w:r>
      <w:r w:rsidR="00D01032" w:rsidRPr="00155243">
        <w:rPr>
          <w:rFonts w:cstheme="minorHAnsi"/>
        </w:rPr>
        <w:lastRenderedPageBreak/>
        <w:t xml:space="preserve">natural gas prices back to levels before the Russian </w:t>
      </w:r>
      <w:r w:rsidR="00D01032" w:rsidRPr="001D7691">
        <w:rPr>
          <w:rFonts w:cstheme="minorHAnsi"/>
        </w:rPr>
        <w:t>invasion of Ukraine</w:t>
      </w:r>
      <w:r w:rsidR="00D01032" w:rsidRPr="001D7691">
        <w:rPr>
          <w:rFonts w:cstheme="minorHAnsi"/>
        </w:rPr>
        <w:fldChar w:fldCharType="begin"/>
      </w:r>
      <w:r w:rsidR="0001575A" w:rsidRPr="001D7691">
        <w:rPr>
          <w:rFonts w:cstheme="minorHAnsi"/>
        </w:rPr>
        <w:instrText xml:space="preserve"> ADDIN ZOTERO_ITEM CSL_CITATION {"citationID":"zbkhZIWQ","properties":{"formattedCitation":"\\super 26\\nosupersub{}","plainCitation":"26","noteIndex":0},"citationItems":[{"id":29867,"uris":["http://zotero.org/users/9157291/items/MG9RRELQ"],"itemData":{"id":29867,"type":"webpage","abstract":"Commodity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01575A" w:rsidRPr="001D7691">
        <w:rPr>
          <w:rFonts w:ascii="Calibri" w:hAnsi="Calibri" w:cs="Calibri"/>
          <w:szCs w:val="24"/>
          <w:vertAlign w:val="superscript"/>
        </w:rPr>
        <w:t>26</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 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 conundrum</w:t>
      </w:r>
      <w:r w:rsidR="000C30D0">
        <w:rPr>
          <w:rFonts w:cstheme="minorHAnsi"/>
        </w:rPr>
        <w:fldChar w:fldCharType="begin"/>
      </w:r>
      <w:r w:rsidR="0001575A">
        <w:rPr>
          <w:rFonts w:cstheme="minorHAnsi"/>
        </w:rPr>
        <w:instrText xml:space="preserve"> ADDIN ZOTERO_ITEM CSL_CITATION {"citationID":"qgXxSmwb","properties":{"formattedCitation":"\\super 27\\nosupersub{}","plainCitation":"27","noteIndex":0},"citationItems":[{"id":28640,"uris":["http://zotero.org/users/9157291/items/FRW5K29Y"],"itemData":{"id":28640,"type":"report","abstract":"Summary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01575A" w:rsidRPr="0001575A">
        <w:rPr>
          <w:rFonts w:ascii="Calibri" w:hAnsi="Calibri" w:cs="Calibri"/>
          <w:szCs w:val="24"/>
          <w:vertAlign w:val="superscript"/>
        </w:rPr>
        <w:t>27</w:t>
      </w:r>
      <w:r w:rsidR="000C30D0">
        <w:rPr>
          <w:rFonts w:cstheme="minorHAnsi"/>
        </w:rPr>
        <w:fldChar w:fldCharType="end"/>
      </w:r>
      <w:r w:rsidR="0065511D">
        <w:rPr>
          <w:rFonts w:cstheme="minorHAnsi"/>
        </w:rPr>
        <w:t xml:space="preserve">. </w:t>
      </w:r>
      <w:r w:rsidR="008826E3" w:rsidRPr="008826E3">
        <w:rPr>
          <w:rFonts w:cstheme="minorHAnsi"/>
        </w:rPr>
        <w:t>Hence, the World Bank forecasts that natural gas prices will moderate in 2023 but remain well above the average prices registered before 2020</w:t>
      </w:r>
      <w:r w:rsidR="00AC0C34">
        <w:rPr>
          <w:rFonts w:cstheme="minorHAnsi"/>
        </w:rPr>
        <w:fldChar w:fldCharType="begin"/>
      </w:r>
      <w:r w:rsidR="0001575A">
        <w:rPr>
          <w:rFonts w:cstheme="minorHAnsi"/>
        </w:rPr>
        <w:instrText xml:space="preserve"> ADDIN ZOTERO_ITEM CSL_CITATION {"citationID":"9c8zRxp9","properties":{"formattedCitation":"\\super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01575A" w:rsidRPr="0001575A">
        <w:rPr>
          <w:rFonts w:ascii="Calibri" w:hAnsi="Calibri" w:cs="Calibri"/>
          <w:szCs w:val="24"/>
          <w:vertAlign w:val="superscript"/>
        </w:rPr>
        <w:t>20</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D51EE7">
        <w:rPr>
          <w:rFonts w:cstheme="minorHAnsi"/>
        </w:rPr>
        <w:fldChar w:fldCharType="begin"/>
      </w:r>
      <w:r w:rsidR="0001575A">
        <w:rPr>
          <w:rFonts w:cstheme="minorHAnsi"/>
        </w:rPr>
        <w:instrText xml:space="preserve"> ADDIN ZOTERO_ITEM CSL_CITATION {"citationID":"iwRAdlta","properties":{"formattedCitation":"\\super 28\\nosupersub{}","plainCitation":"28","noteIndex":0},"citationItems":[{"id":29758,"uris":["http://zotero.org/users/9157291/items/NH3G8LGZ"],"itemData":{"id":29758,"type":"webpage","abstract":"Find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01575A" w:rsidRPr="0001575A">
        <w:rPr>
          <w:rFonts w:ascii="Calibri" w:hAnsi="Calibri" w:cs="Calibri"/>
          <w:szCs w:val="24"/>
          <w:vertAlign w:val="superscript"/>
        </w:rPr>
        <w:t>28</w:t>
      </w:r>
      <w:r w:rsidR="00D51EE7">
        <w:rPr>
          <w:rFonts w:cstheme="minorHAnsi"/>
        </w:rPr>
        <w:fldChar w:fldCharType="end"/>
      </w:r>
      <w:r w:rsidR="00D51EE7">
        <w:rPr>
          <w:rFonts w:cstheme="minorHAnsi"/>
        </w:rPr>
        <w:t xml:space="preserve"> </w:t>
      </w:r>
      <w:r w:rsidR="00D31D2B" w:rsidRPr="00D31D2B">
        <w:rPr>
          <w:rFonts w:cstheme="minorHAnsi"/>
        </w:rPr>
        <w:t>predicts that Europe's natural gas spot price will remain in the range of</w:t>
      </w:r>
      <w:r w:rsidR="00392796">
        <w:rPr>
          <w:rFonts w:cstheme="minorHAnsi"/>
        </w:rPr>
        <w:t xml:space="preserve"> </w:t>
      </w:r>
      <w:r w:rsidR="00D51EE7" w:rsidRPr="002D4245">
        <w:rPr>
          <w:rFonts w:cstheme="minorHAnsi"/>
        </w:rPr>
        <w:t xml:space="preserve">1,579 </w:t>
      </w:r>
      <w:r w:rsidR="00D51EE7" w:rsidRPr="002D4245">
        <w:rPr>
          <w:rFonts w:cstheme="minorHAnsi"/>
        </w:rPr>
        <w:noBreakHyphen/>
        <w:t xml:space="preserve"> 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xml:space="preserve">, the costs of renewable energy technologies </w:t>
      </w:r>
      <w:r w:rsidR="003C184A" w:rsidRPr="002D4245">
        <w:rPr>
          <w:rFonts w:cstheme="minorHAnsi"/>
          <w:lang w:val="en-US"/>
        </w:rPr>
        <w:t>–</w:t>
      </w:r>
      <w:r w:rsidR="003C184A">
        <w:rPr>
          <w:rFonts w:cstheme="minorHAnsi"/>
        </w:rPr>
        <w:t xml:space="preserve">including wind power and </w:t>
      </w:r>
      <w:r w:rsidR="00F4051B">
        <w:rPr>
          <w:rFonts w:cstheme="minorHAnsi"/>
        </w:rPr>
        <w:t>electrolyzers</w:t>
      </w:r>
      <w:r w:rsidR="003C184A" w:rsidRPr="002D4245">
        <w:rPr>
          <w:rFonts w:cstheme="minorHAnsi"/>
          <w:lang w:val="en-US"/>
        </w:rPr>
        <w:t>–</w:t>
      </w:r>
      <w:r w:rsidR="003C184A">
        <w:rPr>
          <w:rFonts w:cstheme="minorHAnsi"/>
        </w:rPr>
        <w:t xml:space="preserve"> </w:t>
      </w:r>
      <w:r w:rsidR="003C184A" w:rsidRPr="002D4245">
        <w:rPr>
          <w:rFonts w:cstheme="minorHAnsi"/>
        </w:rPr>
        <w:t>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the experience effect</w:t>
      </w:r>
      <w:r w:rsidR="003C184A">
        <w:rPr>
          <w:rFonts w:cstheme="minorHAnsi"/>
        </w:rPr>
        <w:fldChar w:fldCharType="begin"/>
      </w:r>
      <w:r w:rsidR="0001575A">
        <w:rPr>
          <w:rFonts w:cstheme="minorHAnsi"/>
        </w:rPr>
        <w:instrText xml:space="preserve"> ADDIN ZOTERO_ITEM CSL_CITATION {"citationID":"SIBpthvb","properties":{"formattedCitation":"\\super 29\\nosupersub{}","plainCitation":"29","noteIndex":0},"citationItems":[{"id":21507,"uris":["http://zotero.org/users/9157291/items/ASFLIA5W"],"itemData":{"id":21507,"type":"article-journal","container-title":"Joule","DOI":"10.1016/j.joule.2022.08.009","ISSN":"2542-4785,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01575A" w:rsidRPr="0001575A">
        <w:rPr>
          <w:rFonts w:ascii="Calibri" w:hAnsi="Calibri" w:cs="Calibri"/>
          <w:szCs w:val="24"/>
          <w:vertAlign w:val="superscript"/>
        </w:rPr>
        <w:t>29</w:t>
      </w:r>
      <w:r w:rsidR="003C184A">
        <w:rPr>
          <w:rFonts w:cstheme="minorHAnsi"/>
        </w:rPr>
        <w:fldChar w:fldCharType="end"/>
      </w:r>
      <w:r w:rsidR="003C184A" w:rsidRPr="002D4245">
        <w:rPr>
          <w:rFonts w:cstheme="minorHAnsi"/>
        </w:rPr>
        <w:t xml:space="preserve">. For </w:t>
      </w:r>
      <w:r w:rsidR="003C184A">
        <w:rPr>
          <w:rFonts w:cstheme="minorHAnsi"/>
        </w:rPr>
        <w:t>these</w:t>
      </w:r>
      <w:r w:rsidR="003C184A" w:rsidRPr="002D4245">
        <w:rPr>
          <w:rFonts w:cstheme="minorHAnsi"/>
        </w:rPr>
        <w:t xml:space="preserve"> reason</w:t>
      </w:r>
      <w:r w:rsidR="003C184A">
        <w:rPr>
          <w:rFonts w:cstheme="minorHAnsi"/>
        </w:rPr>
        <w:t>s</w:t>
      </w:r>
      <w:r w:rsidR="003C184A" w:rsidRPr="002D4245">
        <w:rPr>
          <w:rFonts w:cstheme="minorHAnsi"/>
        </w:rPr>
        <w:t xml:space="preserve">, </w:t>
      </w:r>
      <w:r w:rsidR="003C184A">
        <w:rPr>
          <w:rFonts w:cstheme="minorHAnsi"/>
        </w:rPr>
        <w:t xml:space="preserve">we argue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is expected to be cost-competitive in the foreseeable future.</w:t>
      </w:r>
    </w:p>
    <w:p w14:paraId="0270BA86" w14:textId="6025EA5F"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01575A">
        <w:rPr>
          <w:rFonts w:cstheme="minorHAnsi"/>
        </w:rPr>
        <w:instrText xml:space="preserve"> ADDIN ZOTERO_ITEM CSL_CITATION {"citationID":"qowpZTcy","properties":{"formattedCitation":"\\super 30\\nosupersub{}","plainCitation":"30","noteIndex":0},"citationItems":[{"id":17233,"uris":["http://zotero.org/users/9157291/items/97IRYBPV"],"itemData":{"id":17233,"type":"article-journal","abstract":"Our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01575A" w:rsidRPr="0001575A">
        <w:rPr>
          <w:rFonts w:ascii="Calibri" w:hAnsi="Calibri" w:cs="Calibri"/>
          <w:szCs w:val="24"/>
          <w:vertAlign w:val="superscript"/>
        </w:rPr>
        <w:t>30</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01575A">
        <w:rPr>
          <w:rFonts w:cstheme="minorHAnsi"/>
        </w:rPr>
        <w:instrText xml:space="preserve"> ADDIN ZOTERO_ITEM CSL_CITATION {"citationID":"I7dOfOej","properties":{"formattedCitation":"\\super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01575A" w:rsidRPr="0001575A">
        <w:rPr>
          <w:rFonts w:ascii="Calibri" w:hAnsi="Calibri" w:cs="Calibri"/>
          <w:szCs w:val="24"/>
          <w:vertAlign w:val="superscript"/>
        </w:rPr>
        <w:t>20</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01575A">
        <w:rPr>
          <w:rFonts w:cstheme="minorHAnsi"/>
        </w:rPr>
        <w:instrText xml:space="preserve"> ADDIN ZOTERO_ITEM CSL_CITATION {"citationID":"2cMQjTh2","properties":{"formattedCitation":"\\super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01575A" w:rsidRPr="0001575A">
        <w:rPr>
          <w:rFonts w:ascii="Calibri" w:hAnsi="Calibri" w:cs="Calibri"/>
          <w:szCs w:val="24"/>
          <w:vertAlign w:val="superscript"/>
        </w:rPr>
        <w:t>20</w:t>
      </w:r>
      <w:r w:rsidR="008722FD">
        <w:rPr>
          <w:rFonts w:cstheme="minorHAnsi"/>
        </w:rPr>
        <w:fldChar w:fldCharType="end"/>
      </w:r>
      <w:r w:rsidR="008722FD">
        <w:rPr>
          <w:rFonts w:cstheme="minorHAnsi"/>
        </w:rPr>
        <w:t>.</w:t>
      </w:r>
      <w:r w:rsidR="00A01693">
        <w:rPr>
          <w:rFonts w:cstheme="minorHAnsi"/>
        </w:rPr>
        <w:t xml:space="preserve"> </w:t>
      </w:r>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establishing green production routes. </w:t>
      </w:r>
      <w:r w:rsidR="00B97867">
        <w:rPr>
          <w:rFonts w:cstheme="minorHAnsi"/>
        </w:rPr>
        <w:t>However, s</w:t>
      </w:r>
      <w:r w:rsidR="00D30B64">
        <w:rPr>
          <w:rFonts w:cstheme="minorHAnsi"/>
        </w:rPr>
        <w:t>uch</w:t>
      </w:r>
      <w:r w:rsidR="005755B3">
        <w:rPr>
          <w:rFonts w:cstheme="minorHAnsi"/>
        </w:rPr>
        <w:t xml:space="preserve"> relocation would come at the expense of tremendous socio-economic consequences 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01575A">
        <w:rPr>
          <w:rFonts w:cstheme="minorHAnsi"/>
        </w:rPr>
        <w:instrText xml:space="preserve"> ADDIN ZOTERO_ITEM CSL_CITATION {"citationID":"wmYXx5pI","properties":{"formattedCitation":"\\super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01575A" w:rsidRPr="0001575A">
        <w:rPr>
          <w:rFonts w:ascii="Calibri" w:hAnsi="Calibri" w:cs="Calibri"/>
          <w:szCs w:val="24"/>
          <w:vertAlign w:val="superscript"/>
        </w:rPr>
        <w:t>31</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mean </w:t>
      </w:r>
      <w:r w:rsidR="00670969">
        <w:rPr>
          <w:rFonts w:cstheme="minorHAnsi"/>
        </w:rPr>
        <w:t>losing</w:t>
      </w:r>
      <w:r w:rsidR="00337DDF">
        <w:rPr>
          <w:rFonts w:cstheme="minorHAnsi"/>
        </w:rPr>
        <w:t xml:space="preserve"> a strategic position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This aspect is crucial for ammonia because it is paramount in ensuring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D35191" w:rsidRPr="00D35191">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01575A">
        <w:rPr>
          <w:rFonts w:cstheme="minorHAnsi"/>
        </w:rPr>
        <w:instrText xml:space="preserve"> ADDIN ZOTERO_ITEM CSL_CITATION {"citationID":"pJ4R1O14","properties":{"formattedCitation":"\\super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01575A" w:rsidRPr="0001575A">
        <w:rPr>
          <w:rFonts w:ascii="Calibri" w:hAnsi="Calibri" w:cs="Calibri"/>
          <w:szCs w:val="24"/>
          <w:vertAlign w:val="superscript"/>
        </w:rPr>
        <w:t>31</w:t>
      </w:r>
      <w:r w:rsidR="00A77C09">
        <w:rPr>
          <w:rFonts w:cstheme="minorHAnsi"/>
        </w:rPr>
        <w:fldChar w:fldCharType="end"/>
      </w:r>
      <w:r w:rsidR="00A77C09">
        <w:rPr>
          <w:rFonts w:cstheme="minorHAnsi"/>
        </w:rPr>
        <w:t>, which could be lost with production relocation.</w:t>
      </w:r>
    </w:p>
    <w:p w14:paraId="277FF83C" w14:textId="52AC5EE8" w:rsidR="0054652C" w:rsidRDefault="0064314B" w:rsidP="001E7F75">
      <w:pPr>
        <w:rPr>
          <w:rFonts w:cstheme="minorHAnsi"/>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32053A">
        <w:rPr>
          <w:rFonts w:cstheme="minorHAnsi"/>
        </w:rPr>
        <w:instrText xml:space="preserve"> ADDIN ZOTERO_ITEM CSL_CITATION {"citationID":"fZNn97kP","properties":{"formattedCitation":"\\super 32\\nosupersub{}","plainCitation":"32","noteIndex":0},"citationItems":[{"id":30053,"uris":["http://zotero.org/users/9157291/items/RIWZTV2J"],"itemData":{"id":30053,"type":"report","publisher":"COM(2021)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23259B" w:rsidRPr="0023259B">
        <w:rPr>
          <w:rFonts w:ascii="Calibri" w:hAnsi="Calibri" w:cs="Calibri"/>
          <w:szCs w:val="24"/>
          <w:vertAlign w:val="superscript"/>
        </w:rPr>
        <w:t>32</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r w:rsidR="00551294">
        <w:rPr>
          <w:rFonts w:cstheme="minorHAnsi"/>
        </w:rPr>
        <w:t>incompetent</w:t>
      </w:r>
      <w:r w:rsidR="004433BC">
        <w:rPr>
          <w:rFonts w:cstheme="minorHAnsi"/>
        </w:rPr>
        <w:t xml:space="preserve"> </w:t>
      </w:r>
      <w:r w:rsidR="00441286">
        <w:rPr>
          <w:rFonts w:cstheme="minorHAnsi"/>
        </w:rPr>
        <w:t>concerning</w:t>
      </w:r>
      <w:r w:rsidR="004433BC">
        <w:rPr>
          <w:rFonts w:cstheme="minorHAnsi"/>
        </w:rPr>
        <w:t xml:space="preserve"> the targets</w:t>
      </w:r>
      <w:bookmarkStart w:id="9" w:name="_Hlk124931906"/>
      <w:r w:rsidR="00CA2A49">
        <w:rPr>
          <w:rFonts w:cstheme="minorHAnsi"/>
        </w:rPr>
        <w:fldChar w:fldCharType="begin"/>
      </w:r>
      <w:r w:rsidR="00CA2A49">
        <w:rPr>
          <w:rFonts w:cstheme="minorHAnsi"/>
        </w:rPr>
        <w:instrText xml:space="preserve"> ADDIN ZOTERO_ITEM CSL_CITATION {"citationID":"NMJEjUZd","properties":{"formattedCitation":"\\super 33\\nosupersub{}","plainCitation":"33","noteIndex":0},"citationItems":[{"id":29217,"uris":["http://zotero.org/users/9157291/items/KAICFIWB"],"itemData":{"id":29217,"type":"article-journal","abstract":"Reaching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CA2A49" w:rsidRPr="00CA2A49">
        <w:rPr>
          <w:rFonts w:ascii="Calibri" w:hAnsi="Calibri" w:cs="Calibri"/>
          <w:szCs w:val="24"/>
          <w:vertAlign w:val="superscript"/>
        </w:rPr>
        <w:t>33</w:t>
      </w:r>
      <w:r w:rsidR="00CA2A49">
        <w:rPr>
          <w:rFonts w:cstheme="minorHAnsi"/>
        </w:rPr>
        <w:fldChar w:fldCharType="end"/>
      </w:r>
      <w:bookmarkEnd w:id="9"/>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0E7B3C">
        <w:rPr>
          <w:rFonts w:cstheme="minorHAnsi"/>
        </w:rPr>
        <w:instrText xml:space="preserve"> ADDIN ZOTERO_ITEM CSL_CITATION {"citationID":"ahjMIKXT","properties":{"formattedCitation":"\\super 33\\nosupersub{}","plainCitation":"33","noteIndex":0},"citationItems":[{"id":29217,"uris":["http://zotero.org/users/9157291/items/KAICFIWB"],"itemData":{"id":29217,"type":"article-journal","abstract":"Reaching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CA2A49" w:rsidRPr="00CA2A49">
        <w:rPr>
          <w:rFonts w:ascii="Calibri" w:hAnsi="Calibri" w:cs="Calibri"/>
          <w:szCs w:val="24"/>
          <w:vertAlign w:val="superscript"/>
        </w:rPr>
        <w:t>33</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r w:rsidR="008220A1">
        <w:rPr>
          <w:rFonts w:cstheme="minorHAnsi"/>
        </w:rPr>
        <w:t>a</w:t>
      </w:r>
      <w:r w:rsidR="005F4BCC" w:rsidRPr="00F27D34">
        <w:rPr>
          <w:rFonts w:cstheme="minorHAnsi"/>
        </w:rPr>
        <w:t xml:space="preserve"> </w:t>
      </w:r>
      <w:r w:rsidR="00E15658" w:rsidRPr="00F27D34">
        <w:rPr>
          <w:rFonts w:cstheme="minorHAnsi"/>
        </w:rPr>
        <w:t>lucrative option</w:t>
      </w:r>
      <w:r w:rsidR="005F4BCC" w:rsidRPr="00F27D34">
        <w:rPr>
          <w:rFonts w:cstheme="minorHAnsi"/>
        </w:rPr>
        <w:t xml:space="preserve"> to lower the environmental impact of these </w:t>
      </w:r>
      <w:r w:rsidR="00AE5C81">
        <w:rPr>
          <w:rFonts w:cstheme="minorHAnsi"/>
        </w:rPr>
        <w:t>essential</w:t>
      </w:r>
      <w:r w:rsidR="00B90695" w:rsidRPr="00F27D34">
        <w:rPr>
          <w:rFonts w:cstheme="minorHAnsi"/>
        </w:rPr>
        <w:t xml:space="preserve"> </w:t>
      </w:r>
      <w:r w:rsidR="005F4BCC" w:rsidRPr="00F27D34">
        <w:rPr>
          <w:rFonts w:cstheme="minorHAnsi"/>
        </w:rPr>
        <w:t>chemicals.</w:t>
      </w:r>
      <w:r w:rsidR="00223E0E" w:rsidRPr="00F27D34">
        <w:rPr>
          <w:rFonts w:cstheme="minorHAnsi"/>
        </w:rPr>
        <w:t xml:space="preserve"> </w:t>
      </w:r>
      <w:r w:rsidR="00223E0E">
        <w:rPr>
          <w:rFonts w:cstheme="minorHAnsi"/>
        </w:rPr>
        <w:t xml:space="preserve">In addition to ensuring supply security, green ammonia and methanol could help the European chemical industry to reduce GHG emissions at a negative mitigation cost, </w:t>
      </w:r>
      <w:r w:rsidR="00223E0E" w:rsidRPr="00C7310E">
        <w:rPr>
          <w:rFonts w:cstheme="minorHAnsi"/>
          <w:i/>
          <w:iCs/>
        </w:rPr>
        <w:t>i.e.</w:t>
      </w:r>
      <w:r w:rsidR="00223E0E">
        <w:rPr>
          <w:rFonts w:cstheme="minorHAnsi"/>
        </w:rPr>
        <w:t>, the industry could save money per unit of CO</w:t>
      </w:r>
      <w:r w:rsidR="00223E0E">
        <w:rPr>
          <w:rFonts w:cstheme="minorHAnsi"/>
          <w:vertAlign w:val="subscript"/>
        </w:rPr>
        <w:t>2</w:t>
      </w:r>
      <w:r w:rsidR="00B90695">
        <w:rPr>
          <w:rFonts w:cstheme="minorHAnsi"/>
        </w:rPr>
        <w:noBreakHyphen/>
      </w:r>
      <w:r w:rsidR="00223E0E">
        <w:rPr>
          <w:rFonts w:cstheme="minorHAnsi"/>
        </w:rPr>
        <w:t>eq avoided.</w:t>
      </w:r>
    </w:p>
    <w:p w14:paraId="4A1DB7A4" w14:textId="01851068" w:rsidR="005F6893" w:rsidRPr="00547463" w:rsidRDefault="005F6893" w:rsidP="001E7F75">
      <w:pPr>
        <w:rPr>
          <w:rFonts w:cstheme="minorHAnsi"/>
        </w:rPr>
      </w:pPr>
      <w:r>
        <w:rPr>
          <w:rFonts w:cstheme="minorHAnsi"/>
        </w:rPr>
        <w:t xml:space="preserve">Overall, </w:t>
      </w:r>
      <w:r w:rsidR="00B40017">
        <w:rPr>
          <w:rFonts w:cstheme="minorHAnsi"/>
        </w:rPr>
        <w:t xml:space="preserve">our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 (</w:t>
      </w:r>
      <w:r w:rsidR="00DE5AB4" w:rsidRPr="00C7310E">
        <w:rPr>
          <w:rFonts w:cstheme="minorHAnsi"/>
          <w:i/>
          <w:iCs/>
        </w:rPr>
        <w:t>i.e.</w:t>
      </w:r>
      <w:r w:rsidR="00DE5AB4" w:rsidRPr="00C7310E">
        <w:rPr>
          <w:rFonts w:cstheme="minorHAnsi"/>
        </w:rPr>
        <w:t>,</w:t>
      </w:r>
      <w:r w:rsidR="00DE5AB4">
        <w:rPr>
          <w:rFonts w:cstheme="minorHAnsi"/>
        </w:rPr>
        <w:t xml:space="preserve"> the high costs compared with </w:t>
      </w:r>
      <w:r w:rsidR="00FD3CFC">
        <w:rPr>
          <w:rFonts w:cstheme="minorHAnsi"/>
        </w:rPr>
        <w:t>fossil</w:t>
      </w:r>
      <w:r w:rsidR="00DE5AB4">
        <w:rPr>
          <w:rFonts w:cstheme="minorHAnsi"/>
        </w:rPr>
        <w:t xml:space="preserve"> routes)</w:t>
      </w:r>
      <w:r w:rsidR="0010597B">
        <w:rPr>
          <w:rFonts w:cstheme="minorHAnsi"/>
        </w:rPr>
        <w:t>.</w:t>
      </w:r>
      <w:r w:rsidR="00CE582F">
        <w:rPr>
          <w:rFonts w:cstheme="minorHAnsi"/>
        </w:rPr>
        <w:t xml:space="preserve"> </w:t>
      </w:r>
      <w:r w:rsidR="007545F1" w:rsidRPr="007545F1">
        <w:rPr>
          <w:rFonts w:cstheme="minorHAnsi"/>
        </w:rPr>
        <w:t>The current scenario represents a unique opportunity for the European chemical industry to shift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A9409D">
        <w:rPr>
          <w:rFonts w:cstheme="minorHAnsi"/>
        </w:rPr>
        <w:t xml:space="preserve">have </w:t>
      </w:r>
      <w:r w:rsidR="009F4281">
        <w:rPr>
          <w:rFonts w:cstheme="minorHAnsi"/>
        </w:rPr>
        <w:t>significant</w:t>
      </w:r>
      <w:r w:rsidR="00A9409D">
        <w:rPr>
          <w:rFonts w:cstheme="minorHAnsi"/>
        </w:rPr>
        <w:t xml:space="preserve"> benefits for</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993C05">
        <w:rPr>
          <w:rFonts w:cstheme="minorHAnsi"/>
        </w:rPr>
        <w:t xml:space="preserve">scurrying the supply of </w:t>
      </w:r>
      <w:r w:rsidR="001021A7">
        <w:rPr>
          <w:rFonts w:cstheme="minorHAnsi"/>
        </w:rPr>
        <w:t>essential</w:t>
      </w:r>
      <w:r w:rsidR="00993C05">
        <w:rPr>
          <w:rFonts w:cstheme="minorHAnsi"/>
        </w:rPr>
        <w:t xml:space="preserve"> commodit</w:t>
      </w:r>
      <w:r w:rsidR="00474FC5">
        <w:rPr>
          <w:rFonts w:cstheme="minorHAnsi"/>
        </w:rPr>
        <w:t xml:space="preserve">ies that are </w:t>
      </w:r>
      <w:r w:rsidR="0083787A">
        <w:rPr>
          <w:rFonts w:cstheme="minorHAnsi"/>
        </w:rPr>
        <w:t>imperative</w:t>
      </w:r>
      <w:r w:rsidR="00474FC5">
        <w:rPr>
          <w:rFonts w:cstheme="minorHAnsi"/>
        </w:rPr>
        <w:t xml:space="preserve"> to </w:t>
      </w:r>
      <w:r w:rsidR="0083787A">
        <w:rPr>
          <w:rFonts w:cstheme="minorHAnsi"/>
        </w:rPr>
        <w:t>ensure food security (</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to support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Moreover, by locally 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dependence 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r w:rsidR="00EC1B25">
        <w:rPr>
          <w:rFonts w:cstheme="minorHAnsi"/>
        </w:rPr>
        <w:t>materialize 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CA2A49">
        <w:rPr>
          <w:rFonts w:cstheme="minorHAnsi"/>
        </w:rPr>
        <w:instrText xml:space="preserve"> ADDIN ZOTERO_ITEM CSL_CITATION {"citationID":"enOLGjIM","properties":{"formattedCitation":"\\super 34\\nosupersub{}","plainCitation":"34","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CA2A49" w:rsidRPr="00CA2A49">
        <w:rPr>
          <w:rFonts w:ascii="Calibri" w:hAnsi="Calibri" w:cs="Calibri"/>
          <w:szCs w:val="24"/>
          <w:vertAlign w:val="superscript"/>
        </w:rPr>
        <w:t>34</w:t>
      </w:r>
      <w:r w:rsidR="00E5706A">
        <w:rPr>
          <w:rFonts w:cstheme="minorHAnsi"/>
        </w:rPr>
        <w:fldChar w:fldCharType="end"/>
      </w:r>
      <w:r w:rsidR="00EE3BB5">
        <w:rPr>
          <w:rFonts w:cstheme="minorHAnsi"/>
        </w:rPr>
        <w:t>.</w:t>
      </w:r>
    </w:p>
    <w:p w14:paraId="76519DB6" w14:textId="2E564093" w:rsidR="00F30BBF" w:rsidRPr="002D4245" w:rsidRDefault="00F30BBF" w:rsidP="001D2B7D">
      <w:pPr>
        <w:pStyle w:val="Heading2"/>
      </w:pPr>
      <w:r w:rsidRPr="002D4245">
        <w:t>Experimental procedures</w:t>
      </w:r>
    </w:p>
    <w:p w14:paraId="0A8EF6BB" w14:textId="04C4D2EE" w:rsidR="000F0C08" w:rsidRDefault="00D22E21" w:rsidP="00DC13A3">
      <w:pPr>
        <w:autoSpaceDE w:val="0"/>
        <w:autoSpaceDN w:val="0"/>
        <w:adjustRightInd w:val="0"/>
        <w:spacing w:line="240" w:lineRule="auto"/>
        <w:rPr>
          <w:rFonts w:cstheme="minorHAnsi"/>
        </w:rPr>
      </w:pPr>
      <w:commentRangeStart w:id="10"/>
      <w:r>
        <w:rPr>
          <w:rFonts w:cstheme="minorHAnsi"/>
          <w:b/>
          <w:bCs/>
        </w:rPr>
        <w:t>Ammonia p</w:t>
      </w:r>
      <w:r w:rsidR="00793752">
        <w:rPr>
          <w:rFonts w:cstheme="minorHAnsi"/>
          <w:b/>
          <w:bCs/>
        </w:rPr>
        <w:t>roduction routes</w:t>
      </w:r>
      <w:commentRangeEnd w:id="10"/>
      <w:r w:rsidR="00F377C5">
        <w:rPr>
          <w:rStyle w:val="CommentReference"/>
        </w:rPr>
        <w:commentReference w:id="10"/>
      </w:r>
      <w:r w:rsidR="00F30BBF" w:rsidRPr="000F0C08">
        <w:rPr>
          <w:rFonts w:cstheme="minorHAnsi"/>
          <w:b/>
          <w:bCs/>
        </w:rPr>
        <w:t>.</w:t>
      </w:r>
      <w:r w:rsidR="002D224F">
        <w:rPr>
          <w:rFonts w:cstheme="minorHAnsi"/>
          <w:b/>
          <w:bCs/>
        </w:rPr>
        <w:t xml:space="preserve"> </w:t>
      </w:r>
      <w:r w:rsidR="000E7B3C">
        <w:rPr>
          <w:rFonts w:cstheme="minorHAnsi"/>
        </w:rPr>
        <w:t>The fossil and green production routes for ammonia 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0E7B3C">
        <w:rPr>
          <w:rFonts w:cstheme="minorHAnsi"/>
          <w:i/>
        </w:rPr>
        <w:instrText xml:space="preserve"> ADDIN ZOTERO_ITEM CSL_CITATION {"citationID":"jw3WHYLI","properties":{"formattedCitation":"\\super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0E7B3C" w:rsidRPr="000E7B3C">
        <w:rPr>
          <w:rFonts w:ascii="Calibri" w:hAnsi="Calibri" w:cs="Calibri"/>
          <w:szCs w:val="24"/>
          <w:vertAlign w:val="superscript"/>
        </w:rPr>
        <w:t>9</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For the production of 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 xml:space="preserve">C. This stream is then 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w:t>
      </w:r>
      <w:r>
        <w:rPr>
          <w:rFonts w:cstheme="minorHAnsi"/>
        </w:rPr>
        <w:lastRenderedPageBreak/>
        <w:t>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The two WGS reactors can be differentiated by their operating temperatures. 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 xml:space="preserve">) and is called the 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To achieve this, it is sent to an a</w:t>
      </w:r>
      <w:r w:rsidR="00B36B52">
        <w:rPr>
          <w:rFonts w:cstheme="minorHAnsi"/>
        </w:rPr>
        <w:t>b</w:t>
      </w:r>
      <w:r>
        <w:rPr>
          <w:rFonts w:cstheme="minorHAnsi"/>
        </w:rPr>
        <w:t xml:space="preserve">sorption column </w:t>
      </w:r>
      <w:r w:rsidR="00B36B52">
        <w:rPr>
          <w:rFonts w:cstheme="minorHAnsi"/>
        </w:rPr>
        <w:t xml:space="preserve">along a lean solvent stream with a composition of 90% water and 10% </w:t>
      </w:r>
      <w:r w:rsidR="00C039B9" w:rsidRPr="00C039B9">
        <w:rPr>
          <w:rFonts w:cstheme="minorHAnsi"/>
        </w:rPr>
        <w:t xml:space="preserve">monoethanolamine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need to be </w:t>
      </w:r>
      <w:r w:rsidR="00DB17AF">
        <w:rPr>
          <w:rFonts w:cstheme="minorHAnsi"/>
        </w:rPr>
        <w:t>eliminated</w:t>
      </w:r>
      <w:r w:rsidR="009F7856">
        <w:rPr>
          <w:rFonts w:cstheme="minorHAnsi"/>
        </w:rPr>
        <w:t>,</w:t>
      </w:r>
      <w:r w:rsidR="00B36B52">
        <w:rPr>
          <w:rFonts w:cstheme="minorHAnsi"/>
        </w:rPr>
        <w:t xml:space="preserve"> so they do not poison the catalyst in the Haber-Bosch process</w:t>
      </w:r>
      <w:r w:rsidR="00B76EAE">
        <w:rPr>
          <w:rFonts w:cstheme="minorHAnsi"/>
        </w:rPr>
        <w:fldChar w:fldCharType="begin"/>
      </w:r>
      <w:r w:rsidR="006320CF">
        <w:rPr>
          <w:rFonts w:cstheme="minorHAnsi"/>
        </w:rPr>
        <w:instrText xml:space="preserve"> ADDIN ZOTERO_ITEM CSL_CITATION {"citationID":"ClXMHYM5","properties":{"formattedCitation":"\\super 35\\nosupersub{}","plainCitation":"35","noteIndex":0},"citationItems":[{"id":30056,"uris":["http://zotero.org/users/9157291/items/PBSG2UJD"],"itemData":{"id":30056,"type":"chapter","abstract":"The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B76EAE" w:rsidRPr="00B76EAE">
        <w:rPr>
          <w:rFonts w:ascii="Calibri" w:hAnsi="Calibri" w:cs="Calibri"/>
          <w:szCs w:val="24"/>
          <w:vertAlign w:val="superscript"/>
        </w:rPr>
        <w:t>35</w:t>
      </w:r>
      <w:r w:rsidR="00B76EAE">
        <w:rPr>
          <w:rFonts w:cstheme="minorHAnsi"/>
        </w:rPr>
        <w:fldChar w:fldCharType="end"/>
      </w:r>
      <w:r w:rsidR="00B76EAE">
        <w:rPr>
          <w:rFonts w:cstheme="minorHAnsi"/>
        </w:rPr>
        <w:t xml:space="preserve">. </w:t>
      </w:r>
      <w:r w:rsidR="00B36B52">
        <w:rPr>
          <w:rFonts w:cstheme="minorHAnsi"/>
        </w:rPr>
        <w:t xml:space="preserve">Therefore,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r w:rsidR="00E8291D">
        <w:rPr>
          <w:rFonts w:cstheme="minorHAnsi"/>
        </w:rPr>
        <w:t>bar</w:t>
      </w:r>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 xml:space="preserve">The liquid stream from this flash is rich in ammonia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A Proton Exchange Membrane (PEM) electrolyzer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3F5458FF" w:rsidR="000F0C08" w:rsidRPr="000F0C08" w:rsidRDefault="000F0C08" w:rsidP="00364248">
      <w:pPr>
        <w:autoSpaceDE w:val="0"/>
        <w:autoSpaceDN w:val="0"/>
        <w:adjustRightInd w:val="0"/>
        <w:spacing w:after="0" w:line="240" w:lineRule="auto"/>
        <w:rPr>
          <w:rFonts w:cstheme="minorHAnsi"/>
        </w:rPr>
      </w:pPr>
      <w:r w:rsidRPr="000F0C08">
        <w:rPr>
          <w:rFonts w:cstheme="minorHAnsi"/>
          <w:b/>
          <w:bCs/>
        </w:rPr>
        <w:t>Methanol production routes.</w:t>
      </w:r>
      <w:r w:rsidR="002D224F">
        <w:rPr>
          <w:rFonts w:cstheme="minorHAnsi"/>
          <w:b/>
          <w:bCs/>
        </w:rPr>
        <w:t xml:space="preserve"> </w:t>
      </w:r>
      <w:r w:rsidR="00C6226B">
        <w:rPr>
          <w:rFonts w:cstheme="minorHAnsi"/>
        </w:rPr>
        <w:t>The fossil and green production routes for methanol are based on</w:t>
      </w:r>
      <w:r w:rsidRPr="004351AE">
        <w:rPr>
          <w:rFonts w:cstheme="minorHAnsi"/>
        </w:rPr>
        <w:t xml:space="preserve"> González-Garay </w:t>
      </w:r>
      <w:r w:rsidRPr="004351AE">
        <w:rPr>
          <w:rFonts w:cstheme="minorHAnsi"/>
          <w:i/>
        </w:rPr>
        <w:t>et al.</w:t>
      </w:r>
      <w:r w:rsidR="00C6226B">
        <w:rPr>
          <w:rFonts w:cstheme="minorHAnsi"/>
          <w:i/>
        </w:rPr>
        <w:fldChar w:fldCharType="begin"/>
      </w:r>
      <w:r w:rsidR="00C6226B">
        <w:rPr>
          <w:rFonts w:cstheme="minorHAnsi"/>
          <w:i/>
        </w:rPr>
        <w:instrText xml:space="preserve"> ADDIN ZOTERO_ITEM CSL_CITATION {"citationID":"CJuxdWDb","properties":{"formattedCitation":"\\super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Pr>
          <w:rFonts w:cstheme="minorHAnsi"/>
          <w:i/>
        </w:rPr>
        <w:fldChar w:fldCharType="separate"/>
      </w:r>
      <w:r w:rsidR="00C6226B" w:rsidRPr="00C6226B">
        <w:rPr>
          <w:rFonts w:ascii="Calibri" w:hAnsi="Calibri" w:cs="Calibri"/>
          <w:szCs w:val="24"/>
          <w:vertAlign w:val="superscript"/>
        </w:rPr>
        <w:t>10</w:t>
      </w:r>
      <w:r w:rsidR="00C6226B">
        <w:rPr>
          <w:rFonts w:cstheme="minorHAnsi"/>
          <w:i/>
        </w:rPr>
        <w:fldChar w:fldCharType="end"/>
      </w:r>
      <w:r w:rsidRPr="004351AE">
        <w:rPr>
          <w:rFonts w:cstheme="minorHAnsi"/>
        </w:rPr>
        <w:t xml:space="preserve">. </w:t>
      </w:r>
      <w:r w:rsidR="00C6226B">
        <w:rPr>
          <w:rFonts w:cstheme="minorHAnsi"/>
        </w:rPr>
        <w:t>T</w:t>
      </w:r>
      <w:r w:rsidR="0065587B">
        <w:rPr>
          <w:rFonts w:cstheme="minorHAnsi"/>
        </w:rPr>
        <w:t xml:space="preserve">he production of fossil methanol begins with the production of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r w:rsidR="009E5BA3">
        <w:rPr>
          <w:rFonts w:cstheme="minorHAnsi"/>
        </w:rPr>
        <w:t>The</w:t>
      </w:r>
      <w:r w:rsidR="00D47258">
        <w:rPr>
          <w:rFonts w:cstheme="minorHAnsi"/>
        </w:rPr>
        <w:t xml:space="preserve"> syngas is then compressed to 110 </w:t>
      </w:r>
      <w:proofErr w:type="gramStart"/>
      <w:r w:rsidR="00D47258">
        <w:rPr>
          <w:rFonts w:cstheme="minorHAnsi"/>
        </w:rPr>
        <w:t>bar</w:t>
      </w:r>
      <w:proofErr w:type="gramEnd"/>
      <w:r w:rsidR="00D47258">
        <w:rPr>
          <w:rFonts w:cstheme="minorHAnsi"/>
        </w:rPr>
        <w:t>,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r w:rsidR="00D47258">
        <w:rPr>
          <w:rFonts w:cstheme="minorHAnsi"/>
        </w:rPr>
        <w:t xml:space="preserve">. This stream is fed to a plug-flow reactor where syngas is converted to methanol according to the kinetics extracted from the work done by </w:t>
      </w:r>
      <w:r w:rsidR="006320CF">
        <w:rPr>
          <w:rFonts w:cstheme="minorHAnsi"/>
        </w:rPr>
        <w:t>Bussche and Froment</w:t>
      </w:r>
      <w:r w:rsidR="006320CF">
        <w:rPr>
          <w:rFonts w:cstheme="minorHAnsi"/>
        </w:rPr>
        <w:fldChar w:fldCharType="begin"/>
      </w:r>
      <w:r w:rsidR="006320CF">
        <w:rPr>
          <w:rFonts w:cstheme="minorHAnsi"/>
        </w:rPr>
        <w:instrText xml:space="preserve"> ADDIN ZOTERO_ITEM CSL_CITATION {"citationID":"fh0TZc9f","properties":{"formattedCitation":"\\super 36\\nosupersub{}","plainCitation":"36","noteIndex":0},"citationItems":[{"id":30058,"uris":["http://zotero.org/users/9157291/items/HTPTDDNY"],"itemData":{"id":30058,"type":"article-journal","abstract":"A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6320CF" w:rsidRPr="006320CF">
        <w:rPr>
          <w:rFonts w:ascii="Calibri" w:hAnsi="Calibri" w:cs="Calibri"/>
          <w:szCs w:val="24"/>
          <w:vertAlign w:val="superscript"/>
        </w:rPr>
        <w:t>36</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w:t>
      </w:r>
      <w:proofErr w:type="gramStart"/>
      <w:r w:rsidR="00982B57">
        <w:rPr>
          <w:rFonts w:cstheme="minorHAnsi"/>
        </w:rPr>
        <w:t>bar</w:t>
      </w:r>
      <w:proofErr w:type="gramEnd"/>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dapted from the work done by</w:t>
      </w:r>
      <w:r w:rsidR="00AE189C">
        <w:rPr>
          <w:rFonts w:cstheme="minorHAnsi"/>
        </w:rPr>
        <w:t xml:space="preserve"> Keith </w:t>
      </w:r>
      <w:r w:rsidR="00AE189C" w:rsidRPr="00AE189C">
        <w:rPr>
          <w:rFonts w:cstheme="minorHAnsi"/>
          <w:i/>
        </w:rPr>
        <w:t>et al.</w:t>
      </w:r>
      <w:r w:rsidR="00AE189C">
        <w:rPr>
          <w:rFonts w:cstheme="minorHAnsi"/>
        </w:rPr>
        <w:fldChar w:fldCharType="begin"/>
      </w:r>
      <w:r w:rsidR="00AE189C">
        <w:rPr>
          <w:rFonts w:cstheme="minorHAnsi"/>
        </w:rPr>
        <w:instrText xml:space="preserve"> ADDIN ZOTERO_ITEM CSL_CITATION {"citationID":"buA3tSxp","properties":{"formattedCitation":"\\super 37\\nosupersub{}","plainCitation":"37","noteIndex":0},"citationItems":[{"id":9964,"uris":["http://zotero.org/users/9157291/items/SHKUDHUW"],"itemData":{"id":9964,"type":"article-journal","abstract":"We describe a process for capturing CO2 from the atmosphere in an industrial plant. The design captures </w:instrText>
      </w:r>
      <w:r w:rsidR="00AE189C">
        <w:rPr>
          <w:rFonts w:ascii="Cambria Math" w:hAnsi="Cambria Math" w:cs="Cambria Math"/>
        </w:rPr>
        <w:instrText>∼</w:instrText>
      </w:r>
      <w:r w:rsidR="00AE189C">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AE189C" w:rsidRPr="00AE189C">
        <w:rPr>
          <w:rFonts w:ascii="Calibri" w:hAnsi="Calibri" w:cs="Calibri"/>
          <w:szCs w:val="24"/>
          <w:vertAlign w:val="superscript"/>
        </w:rPr>
        <w:t>37</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AC1393">
        <w:rPr>
          <w:rFonts w:cstheme="minorHAnsi"/>
        </w:rPr>
        <w:instrText xml:space="preserve"> ADDIN ZOTERO_ITEM CSL_CITATION {"citationID":"I0djXns0","properties":{"formattedCitation":"\\super 37\\nosupersub{}","plainCitation":"37","noteIndex":0},"citationItems":[{"id":9964,"uris":["http://zotero.org/users/9157291/items/SHKUDHUW"],"itemData":{"id":9964,"type":"article-journal","abstract":"We describe a process for capturing CO2 from the atmosphere in an industrial plant. The design captures </w:instrText>
      </w:r>
      <w:r w:rsidR="00AC1393">
        <w:rPr>
          <w:rFonts w:ascii="Cambria Math" w:hAnsi="Cambria Math" w:cs="Cambria Math"/>
        </w:rPr>
        <w:instrText>∼</w:instrText>
      </w:r>
      <w:r w:rsidR="00AC1393">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7336A6" w:rsidRPr="00AE189C">
        <w:rPr>
          <w:rFonts w:ascii="Calibri" w:hAnsi="Calibri" w:cs="Calibri"/>
          <w:szCs w:val="24"/>
          <w:vertAlign w:val="superscript"/>
        </w:rPr>
        <w:t>37</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930C4DE"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Supplementary section 1</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 xml:space="preserve">represents the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43EC0202" w:rsidR="00135ADB" w:rsidRPr="00E2198A" w:rsidRDefault="009B5A37" w:rsidP="002D3AE5">
      <w:r>
        <w:rPr>
          <w:rFonts w:eastAsiaTheme="minorEastAsia" w:cstheme="minorHAnsi"/>
          <w:iCs/>
        </w:rPr>
        <w:lastRenderedPageBreak/>
        <w:t xml:space="preserve">We </w:t>
      </w:r>
      <w:r w:rsidR="00707E54">
        <w:rPr>
          <w:rFonts w:eastAsiaTheme="minorEastAsia" w:cstheme="minorHAnsi"/>
          <w:iCs/>
        </w:rPr>
        <w:t xml:space="preserve">estimate the chemicals carbon footprint </w:t>
      </w:r>
      <w:r w:rsidR="00524222">
        <w:rPr>
          <w:rFonts w:eastAsiaTheme="minorEastAsia" w:cstheme="minorHAnsi"/>
          <w:iCs/>
        </w:rPr>
        <w:t xml:space="preserve">performed 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E2198A">
        <w:rPr>
          <w:lang w:val="en-US"/>
        </w:rPr>
        <w:instrText xml:space="preserve"> ADDIN ZOTERO_ITEM CSL_CITATION {"citationID":"YqA10csG","properties":{"formattedCitation":"\\super 38,39\\nosupersub{}","plainCitation":"38,39","noteIndex":0},"citationItems":[{"id":23878,"uris":["http://zotero.org/users/9157291/items/8THP7CZS"],"itemData":{"id":23878,"type":"report","page":"2020","title":"Environmental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E2198A" w:rsidRPr="00E2198A">
        <w:rPr>
          <w:rFonts w:ascii="Calibri" w:hAnsi="Calibri" w:cs="Calibri"/>
          <w:szCs w:val="24"/>
          <w:vertAlign w:val="superscript"/>
        </w:rPr>
        <w:t>38,39</w:t>
      </w:r>
      <w:r w:rsidR="006C6AA7" w:rsidRPr="000733F9">
        <w:rPr>
          <w:lang w:val="en-US"/>
        </w:rPr>
        <w:fldChar w:fldCharType="end"/>
      </w:r>
      <w:r w:rsidR="00AC1393">
        <w:rPr>
          <w:rFonts w:eastAsiaTheme="minorEastAsia" w:cstheme="minorHAnsi"/>
          <w:iCs/>
        </w:rPr>
        <w:t xml:space="preserve">. LCA is </w:t>
      </w:r>
      <w:r w:rsidR="004B7BA1">
        <w:rPr>
          <w:rFonts w:eastAsiaTheme="minorEastAsia" w:cstheme="minorHAnsi"/>
          <w:iCs/>
        </w:rPr>
        <w:t xml:space="preserve">a </w:t>
      </w:r>
      <w:r w:rsidR="00AC1393">
        <w:rPr>
          <w:rFonts w:eastAsiaTheme="minorEastAsia" w:cstheme="minorHAnsi"/>
          <w:iCs/>
        </w:rPr>
        <w:t>methodology to quantify the environmental impacts over the life cycle of products, including from raw materials extraction to end-user disposal</w:t>
      </w:r>
      <w:r w:rsidRPr="007C75D7">
        <w:rPr>
          <w:lang w:val="en-US"/>
        </w:rPr>
        <w:fldChar w:fldCharType="begin"/>
      </w:r>
      <w:r w:rsidR="00E2198A">
        <w:rPr>
          <w:lang w:val="en-US"/>
        </w:rPr>
        <w:instrText xml:space="preserve"> ADDIN ZOTERO_ITEM CSL_CITATION {"citationID":"wYvYfYmm","properties":{"formattedCitation":"\\super 40\\nosupersub{}","plainCitation":"40","noteIndex":0},"citationItems":[{"id":23865,"uris":["http://zotero.org/users/9157291/items/5YE28A2T"],"itemData":{"id":23865,"type":"article-journal","abstract":"In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E2198A" w:rsidRPr="00E2198A">
        <w:rPr>
          <w:rFonts w:ascii="Calibri" w:hAnsi="Calibri" w:cs="Calibri"/>
          <w:szCs w:val="24"/>
          <w:vertAlign w:val="superscript"/>
        </w:rPr>
        <w:t>40</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covered go from the extraction of raw materials (e.g.,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work done by </w:t>
      </w:r>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E2198A">
        <w:rPr>
          <w:rFonts w:cstheme="minorHAnsi"/>
          <w:i/>
        </w:rPr>
        <w:instrText xml:space="preserve"> ADDIN ZOTERO_ITEM CSL_CITATION {"citationID":"VXxpLMcX","properties":{"formattedCitation":"\\super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C601DD" w:rsidRPr="00C601DD">
        <w:rPr>
          <w:rFonts w:ascii="Calibri" w:hAnsi="Calibri" w:cs="Calibri"/>
          <w:szCs w:val="24"/>
          <w:vertAlign w:val="superscript"/>
          <w:lang w:val="es-ES"/>
        </w:rPr>
        <w:t>9</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E2198A">
        <w:rPr>
          <w:rFonts w:cstheme="minorHAnsi"/>
          <w:i/>
          <w:lang w:val="es-ES"/>
        </w:rPr>
        <w:instrText xml:space="preserve"> ADDIN ZOTERO_ITEM CSL_CITATION {"citationID":"xRwYEfTg","properties":{"formattedCitation":"\\super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C601DD" w:rsidRPr="00C601DD">
        <w:rPr>
          <w:rFonts w:ascii="Calibri" w:hAnsi="Calibri" w:cs="Calibri"/>
          <w:szCs w:val="24"/>
          <w:vertAlign w:val="superscript"/>
          <w:lang w:val="es-ES"/>
        </w:rPr>
        <w:t>10</w:t>
      </w:r>
      <w:r w:rsidR="00C601DD">
        <w:rPr>
          <w:rFonts w:cstheme="minorHAnsi"/>
          <w:i/>
        </w:rPr>
        <w:fldChar w:fldCharType="end"/>
      </w:r>
      <w:r w:rsidR="00C601DD" w:rsidRPr="00C601DD">
        <w:rPr>
          <w:rFonts w:cstheme="minorHAnsi"/>
          <w:lang w:val="es-ES"/>
        </w:rPr>
        <w:t xml:space="preserve">, as described </w:t>
      </w:r>
      <w:r w:rsidR="00C601DD" w:rsidRPr="00463D5F">
        <w:rPr>
          <w:rFonts w:cstheme="minorHAnsi"/>
          <w:lang w:val="en-US"/>
        </w:rPr>
        <w:t>above</w:t>
      </w:r>
      <w:r w:rsidR="00C601DD" w:rsidRPr="00C601DD">
        <w:rPr>
          <w:rFonts w:cstheme="minorHAnsi"/>
          <w:lang w:val="es-ES"/>
        </w:rPr>
        <w:t>.</w:t>
      </w:r>
      <w:r w:rsidR="00E2198A" w:rsidRPr="00E2198A">
        <w:rPr>
          <w:lang w:val="es-ES"/>
        </w:rPr>
        <w:t xml:space="preserve"> </w:t>
      </w:r>
      <w:r w:rsidR="00E2198A" w:rsidRPr="00463D5F">
        <w:rPr>
          <w:lang w:val="en-US"/>
        </w:rPr>
        <w:t xml:space="preserve">Data for the background system (e.g., natural gas and electricity supply) were obtained from the </w:t>
      </w:r>
      <w:r w:rsidR="00463D5F">
        <w:rPr>
          <w:lang w:val="en-US"/>
        </w:rPr>
        <w:t>E</w:t>
      </w:r>
      <w:r w:rsidR="00E2198A" w:rsidRPr="00463D5F">
        <w:rPr>
          <w:lang w:val="en-US"/>
        </w:rPr>
        <w:t>coinvent v3.5 database</w:t>
      </w:r>
      <w:r w:rsidR="00E2198A" w:rsidRPr="00463D5F">
        <w:rPr>
          <w:lang w:val="en-US"/>
        </w:rPr>
        <w:fldChar w:fldCharType="begin"/>
      </w:r>
      <w:r w:rsidR="00E2198A" w:rsidRPr="00463D5F">
        <w:rPr>
          <w:lang w:val="en-US"/>
        </w:rPr>
        <w:instrText xml:space="preserve"> ADDIN ZOTERO_ITEM CSL_CITATION {"citationID":"JU3ZCGo0","properties":{"formattedCitation":"\\super 41\\nosupersub{}","plainCitation":"41","noteIndex":0},"citationItems":[{"id":2104,"uris":["http://zotero.org/users/9157291/items/ED4WDBP2"],"itemData":{"id":2104,"type":"article-journal","abstract":"Purpose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E2198A" w:rsidRPr="00463D5F">
        <w:rPr>
          <w:rFonts w:ascii="Calibri" w:hAnsi="Calibri" w:cs="Calibri"/>
          <w:szCs w:val="24"/>
          <w:vertAlign w:val="superscript"/>
          <w:lang w:val="en-US"/>
        </w:rPr>
        <w:t>41</w:t>
      </w:r>
      <w:r w:rsidR="00E2198A" w:rsidRPr="00463D5F">
        <w:rPr>
          <w:lang w:val="en-US"/>
        </w:rPr>
        <w:fldChar w:fldCharType="end"/>
      </w:r>
      <w:r w:rsidR="00E2198A" w:rsidRPr="00463D5F">
        <w:rPr>
          <w:lang w:val="en-US"/>
        </w:rPr>
        <w:t xml:space="preserve">. </w:t>
      </w:r>
      <w:r w:rsidR="005F1930" w:rsidRPr="00463D5F">
        <w:rPr>
          <w:lang w:val="en-US"/>
        </w:rPr>
        <w:t>Regarding the climate impact assessment, we consider the 100-year global warming potentials (GWPs) as implemented in the ReCiPe 2016 methodology</w:t>
      </w:r>
      <w:r w:rsidR="005F1930" w:rsidRPr="00463D5F">
        <w:rPr>
          <w:lang w:val="en-US"/>
        </w:rPr>
        <w:fldChar w:fldCharType="begin"/>
      </w:r>
      <w:r w:rsidR="005F1930" w:rsidRPr="00463D5F">
        <w:rPr>
          <w:lang w:val="en-US"/>
        </w:rPr>
        <w:instrText xml:space="preserve"> ADDIN ZOTERO_ITEM CSL_CITATION {"citationID":"DBi8jiTE","properties":{"formattedCitation":"\\super 42\\nosupersub{}","plainCitation":"42","noteIndex":0},"citationItems":[{"id":30060,"uris":["http://zotero.org/users/9157291/items/BPUY94KP"],"itemData":{"id":30060,"type":"article-journal","abstract":"Life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5F1930" w:rsidRPr="00463D5F">
        <w:rPr>
          <w:rFonts w:ascii="Calibri" w:hAnsi="Calibri" w:cs="Calibri"/>
          <w:szCs w:val="24"/>
          <w:vertAlign w:val="superscript"/>
          <w:lang w:val="en-US"/>
        </w:rPr>
        <w:t>42</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11"/>
      <w:r w:rsidRPr="00E2198A">
        <w:t>References</w:t>
      </w:r>
      <w:commentRangeEnd w:id="11"/>
      <w:r w:rsidR="00D14002">
        <w:rPr>
          <w:rStyle w:val="CommentReference"/>
          <w:rFonts w:eastAsiaTheme="minorHAnsi" w:cstheme="minorBidi"/>
          <w:b w:val="0"/>
          <w:u w:val="none"/>
        </w:rPr>
        <w:commentReference w:id="11"/>
      </w:r>
    </w:p>
    <w:p w14:paraId="7C7B3EAA" w14:textId="77777777" w:rsidR="005F1930" w:rsidRPr="005F1930" w:rsidRDefault="00783407" w:rsidP="005F1930">
      <w:pPr>
        <w:pStyle w:val="Bibliography"/>
        <w:rPr>
          <w:rFonts w:ascii="Calibri" w:hAnsi="Calibri" w:cs="Calibri"/>
        </w:rPr>
      </w:pPr>
      <w:r>
        <w:rPr>
          <w:rFonts w:cstheme="minorHAnsi"/>
        </w:rPr>
        <w:fldChar w:fldCharType="begin"/>
      </w:r>
      <w:r w:rsidR="00E2198A">
        <w:rPr>
          <w:rFonts w:cstheme="minorHAnsi"/>
        </w:rPr>
        <w:instrText xml:space="preserve"> ADDIN ZOTERO_BIBL {"uncited":[],"omitted":[],"custom":[]} CSL_BIBLIOGRAPHY </w:instrText>
      </w:r>
      <w:r>
        <w:rPr>
          <w:rFonts w:cstheme="minorHAnsi"/>
        </w:rPr>
        <w:fldChar w:fldCharType="separate"/>
      </w:r>
      <w:r w:rsidR="005F1930" w:rsidRPr="005F1930">
        <w:rPr>
          <w:rFonts w:ascii="Calibri" w:hAnsi="Calibri" w:cs="Calibri"/>
        </w:rPr>
        <w:t>1.</w:t>
      </w:r>
      <w:r w:rsidR="005F1930" w:rsidRPr="005F1930">
        <w:rPr>
          <w:rFonts w:ascii="Calibri" w:hAnsi="Calibri" w:cs="Calibri"/>
        </w:rPr>
        <w:tab/>
        <w:t>IEA (2018). The Future of Petrochemicals: Towards more sustainable plastics and fertilisers (International Energy Agency).</w:t>
      </w:r>
    </w:p>
    <w:p w14:paraId="1F1FED4E" w14:textId="77777777" w:rsidR="005F1930" w:rsidRPr="005F1930" w:rsidRDefault="005F1930" w:rsidP="005F1930">
      <w:pPr>
        <w:pStyle w:val="Bibliography"/>
        <w:rPr>
          <w:rFonts w:ascii="Calibri" w:hAnsi="Calibri" w:cs="Calibri"/>
        </w:rPr>
      </w:pPr>
      <w:r w:rsidRPr="005F1930">
        <w:rPr>
          <w:rFonts w:ascii="Calibri" w:hAnsi="Calibri" w:cs="Calibri"/>
          <w:lang w:val="de-CH"/>
        </w:rPr>
        <w:t>2.</w:t>
      </w:r>
      <w:r w:rsidRPr="005F1930">
        <w:rPr>
          <w:rFonts w:ascii="Calibri" w:hAnsi="Calibri" w:cs="Calibri"/>
          <w:lang w:val="de-CH"/>
        </w:rPr>
        <w:tab/>
        <w:t xml:space="preserve">Bauer, F., Tilsted, J.P., Pfister, S., Oberschelp, C., and Kulionis, V. (2023). </w:t>
      </w:r>
      <w:r w:rsidRPr="005F1930">
        <w:rPr>
          <w:rFonts w:ascii="Calibri" w:hAnsi="Calibri" w:cs="Calibri"/>
        </w:rPr>
        <w:t xml:space="preserve">Mapping GHG emissions and prospects for renewable energy in the chemical industry. Current Opinion in Chemical Engineering </w:t>
      </w:r>
      <w:r w:rsidRPr="005F1930">
        <w:rPr>
          <w:rFonts w:ascii="Calibri" w:hAnsi="Calibri" w:cs="Calibri"/>
          <w:i/>
          <w:iCs/>
        </w:rPr>
        <w:t>39</w:t>
      </w:r>
      <w:r w:rsidRPr="005F1930">
        <w:rPr>
          <w:rFonts w:ascii="Calibri" w:hAnsi="Calibri" w:cs="Calibri"/>
        </w:rPr>
        <w:t>, 100881. 10.1016/j.coche.2022.100881.</w:t>
      </w:r>
    </w:p>
    <w:p w14:paraId="26DF9265" w14:textId="77777777" w:rsidR="005F1930" w:rsidRPr="005F1930" w:rsidRDefault="005F1930" w:rsidP="005F1930">
      <w:pPr>
        <w:pStyle w:val="Bibliography"/>
        <w:rPr>
          <w:rFonts w:ascii="Calibri" w:hAnsi="Calibri" w:cs="Calibri"/>
        </w:rPr>
      </w:pPr>
      <w:r w:rsidRPr="005F1930">
        <w:rPr>
          <w:rFonts w:ascii="Calibri" w:hAnsi="Calibri" w:cs="Calibri"/>
        </w:rPr>
        <w:t>3.</w:t>
      </w:r>
      <w:r w:rsidRPr="005F1930">
        <w:rPr>
          <w:rFonts w:ascii="Calibri" w:hAnsi="Calibri" w:cs="Calibri"/>
        </w:rPr>
        <w:tab/>
        <w:t>Bauer, F., Kulionis, V., Oberschelp, C., Pfister, S., Tilsted, J.P., Finkill, G.D., and Fjäll, S. (2022). Petrochemicals and Climate Change: Tracing Globally Growing Emissions and Key Blind Spots in a Fossil-Based Industry (Lund University).</w:t>
      </w:r>
    </w:p>
    <w:p w14:paraId="69FFE3FC" w14:textId="77777777" w:rsidR="005F1930" w:rsidRPr="005F1930" w:rsidRDefault="005F1930" w:rsidP="005F1930">
      <w:pPr>
        <w:pStyle w:val="Bibliography"/>
        <w:rPr>
          <w:rFonts w:ascii="Calibri" w:hAnsi="Calibri" w:cs="Calibri"/>
        </w:rPr>
      </w:pPr>
      <w:r w:rsidRPr="005F1930">
        <w:rPr>
          <w:rFonts w:ascii="Calibri" w:hAnsi="Calibri" w:cs="Calibri"/>
        </w:rPr>
        <w:t>4.</w:t>
      </w:r>
      <w:r w:rsidRPr="005F1930">
        <w:rPr>
          <w:rFonts w:ascii="Calibri" w:hAnsi="Calibri" w:cs="Calibri"/>
        </w:rPr>
        <w:tab/>
        <w:t xml:space="preserve">Erisman, J.W., Sutton, M.A., Galloway, J., Klimont, Z., and Winiwarter, W. (2008). How a century of ammonia synthesis changed the world. Nature Geosci </w:t>
      </w:r>
      <w:r w:rsidRPr="005F1930">
        <w:rPr>
          <w:rFonts w:ascii="Calibri" w:hAnsi="Calibri" w:cs="Calibri"/>
          <w:i/>
          <w:iCs/>
        </w:rPr>
        <w:t>1</w:t>
      </w:r>
      <w:r w:rsidRPr="005F1930">
        <w:rPr>
          <w:rFonts w:ascii="Calibri" w:hAnsi="Calibri" w:cs="Calibri"/>
        </w:rPr>
        <w:t>, 636–639. 10.1038/ngeo325.</w:t>
      </w:r>
    </w:p>
    <w:p w14:paraId="18DA3CB3" w14:textId="77777777" w:rsidR="005F1930" w:rsidRPr="005F1930" w:rsidRDefault="005F1930" w:rsidP="005F1930">
      <w:pPr>
        <w:pStyle w:val="Bibliography"/>
        <w:rPr>
          <w:rFonts w:ascii="Calibri" w:hAnsi="Calibri" w:cs="Calibri"/>
        </w:rPr>
      </w:pPr>
      <w:r w:rsidRPr="005F1930">
        <w:rPr>
          <w:rFonts w:ascii="Calibri" w:hAnsi="Calibri" w:cs="Calibri"/>
        </w:rPr>
        <w:t>5.</w:t>
      </w:r>
      <w:r w:rsidRPr="005F1930">
        <w:rPr>
          <w:rFonts w:ascii="Calibri" w:hAnsi="Calibri" w:cs="Calibri"/>
        </w:rPr>
        <w:tab/>
        <w:t xml:space="preserve">Rosa, L., and Gabrielli, P. (2022). Energy and food security implications of transitioning synthetic nitrogen fertilizers to net-zero emissions. Environ. Res. Lett. </w:t>
      </w:r>
      <w:r w:rsidRPr="005F1930">
        <w:rPr>
          <w:rFonts w:ascii="Calibri" w:hAnsi="Calibri" w:cs="Calibri"/>
          <w:i/>
          <w:iCs/>
        </w:rPr>
        <w:t>18</w:t>
      </w:r>
      <w:r w:rsidRPr="005F1930">
        <w:rPr>
          <w:rFonts w:ascii="Calibri" w:hAnsi="Calibri" w:cs="Calibri"/>
        </w:rPr>
        <w:t>, 014008. 10.1088/1748-9326/aca815.</w:t>
      </w:r>
    </w:p>
    <w:p w14:paraId="07576610" w14:textId="77777777" w:rsidR="005F1930" w:rsidRPr="005F1930" w:rsidRDefault="005F1930" w:rsidP="005F1930">
      <w:pPr>
        <w:pStyle w:val="Bibliography"/>
        <w:rPr>
          <w:rFonts w:ascii="Calibri" w:hAnsi="Calibri" w:cs="Calibri"/>
          <w:lang w:val="de-CH"/>
        </w:rPr>
      </w:pPr>
      <w:r w:rsidRPr="005F1930">
        <w:rPr>
          <w:rFonts w:ascii="Calibri" w:hAnsi="Calibri" w:cs="Calibri"/>
        </w:rPr>
        <w:t>6.</w:t>
      </w:r>
      <w:r w:rsidRPr="005F1930">
        <w:rPr>
          <w:rFonts w:ascii="Calibri" w:hAnsi="Calibri" w:cs="Calibri"/>
        </w:rPr>
        <w:tab/>
        <w:t xml:space="preserve">Olah, G.A. (2005). Beyond Oil and Gas: The Methanol Economy. </w:t>
      </w:r>
      <w:r w:rsidRPr="005F1930">
        <w:rPr>
          <w:rFonts w:ascii="Calibri" w:hAnsi="Calibri" w:cs="Calibri"/>
          <w:lang w:val="de-CH"/>
        </w:rPr>
        <w:t xml:space="preserve">Angewandte Chemie International Edition </w:t>
      </w:r>
      <w:r w:rsidRPr="005F1930">
        <w:rPr>
          <w:rFonts w:ascii="Calibri" w:hAnsi="Calibri" w:cs="Calibri"/>
          <w:i/>
          <w:iCs/>
          <w:lang w:val="de-CH"/>
        </w:rPr>
        <w:t>44</w:t>
      </w:r>
      <w:r w:rsidRPr="005F1930">
        <w:rPr>
          <w:rFonts w:ascii="Calibri" w:hAnsi="Calibri" w:cs="Calibri"/>
          <w:lang w:val="de-CH"/>
        </w:rPr>
        <w:t>, 2636–2639. 10.1002/anie.200462121.</w:t>
      </w:r>
    </w:p>
    <w:p w14:paraId="3EF32EC8" w14:textId="77777777" w:rsidR="005F1930" w:rsidRPr="005F1930" w:rsidRDefault="005F1930" w:rsidP="005F1930">
      <w:pPr>
        <w:pStyle w:val="Bibliography"/>
        <w:rPr>
          <w:rFonts w:ascii="Calibri" w:hAnsi="Calibri" w:cs="Calibri"/>
        </w:rPr>
      </w:pPr>
      <w:r w:rsidRPr="005F1930">
        <w:rPr>
          <w:rFonts w:ascii="Calibri" w:hAnsi="Calibri" w:cs="Calibri"/>
        </w:rPr>
        <w:t>7.</w:t>
      </w:r>
      <w:r w:rsidRPr="005F1930">
        <w:rPr>
          <w:rFonts w:ascii="Calibri" w:hAnsi="Calibri" w:cs="Calibri"/>
        </w:rPr>
        <w:tab/>
        <w:t>IEA (2021). Ammonia Technology Roadmap: Towards more sustainable nitrogen fertiliser production (OECD) 10.1787/f6daa4a0-en.</w:t>
      </w:r>
    </w:p>
    <w:p w14:paraId="125686A0" w14:textId="77777777" w:rsidR="005F1930" w:rsidRPr="005F1930" w:rsidRDefault="005F1930" w:rsidP="005F1930">
      <w:pPr>
        <w:pStyle w:val="Bibliography"/>
        <w:rPr>
          <w:rFonts w:ascii="Calibri" w:hAnsi="Calibri" w:cs="Calibri"/>
        </w:rPr>
      </w:pPr>
      <w:r w:rsidRPr="005F1930">
        <w:rPr>
          <w:rFonts w:ascii="Calibri" w:hAnsi="Calibri" w:cs="Calibri"/>
        </w:rPr>
        <w:t>8.</w:t>
      </w:r>
      <w:r w:rsidRPr="005F1930">
        <w:rPr>
          <w:rFonts w:ascii="Calibri" w:hAnsi="Calibri" w:cs="Calibri"/>
        </w:rPr>
        <w:tab/>
        <w:t>IRENA (2021). Innovation Outlook: Renewable Methanol.</w:t>
      </w:r>
    </w:p>
    <w:p w14:paraId="1C77650B" w14:textId="77777777" w:rsidR="005F1930" w:rsidRPr="005F1930" w:rsidRDefault="005F1930" w:rsidP="005F1930">
      <w:pPr>
        <w:pStyle w:val="Bibliography"/>
        <w:rPr>
          <w:rFonts w:ascii="Calibri" w:hAnsi="Calibri" w:cs="Calibri"/>
        </w:rPr>
      </w:pPr>
      <w:r w:rsidRPr="005F1930">
        <w:rPr>
          <w:rFonts w:ascii="Calibri" w:hAnsi="Calibri" w:cs="Calibri"/>
        </w:rPr>
        <w:t>9.</w:t>
      </w:r>
      <w:r w:rsidRPr="005F1930">
        <w:rPr>
          <w:rFonts w:ascii="Calibri" w:hAnsi="Calibri" w:cs="Calibri"/>
        </w:rPr>
        <w:tab/>
        <w:t xml:space="preserve">D’Angelo, S.C., Cobo, S., Tulus, V., Nabera, A., Martín, A.J., Pérez-Ramírez, J., and Guillén-Gosálbez, G. (2021). Planetary Boundaries Analysis of Low-Carbon Ammonia Production Routes. ACS Sustainable Chem. Eng. </w:t>
      </w:r>
      <w:r w:rsidRPr="005F1930">
        <w:rPr>
          <w:rFonts w:ascii="Calibri" w:hAnsi="Calibri" w:cs="Calibri"/>
          <w:i/>
          <w:iCs/>
        </w:rPr>
        <w:t>9</w:t>
      </w:r>
      <w:r w:rsidRPr="005F1930">
        <w:rPr>
          <w:rFonts w:ascii="Calibri" w:hAnsi="Calibri" w:cs="Calibri"/>
        </w:rPr>
        <w:t>, 9740–9749. 10.1021/acssuschemeng.1c01915.</w:t>
      </w:r>
    </w:p>
    <w:p w14:paraId="2B6C2453" w14:textId="77777777" w:rsidR="005F1930" w:rsidRPr="005F1930" w:rsidRDefault="005F1930" w:rsidP="005F1930">
      <w:pPr>
        <w:pStyle w:val="Bibliography"/>
        <w:rPr>
          <w:rFonts w:ascii="Calibri" w:hAnsi="Calibri" w:cs="Calibri"/>
        </w:rPr>
      </w:pPr>
      <w:r w:rsidRPr="005F1930">
        <w:rPr>
          <w:rFonts w:ascii="Calibri" w:hAnsi="Calibri" w:cs="Calibri"/>
        </w:rPr>
        <w:t>10.</w:t>
      </w:r>
      <w:r w:rsidRPr="005F1930">
        <w:rPr>
          <w:rFonts w:ascii="Calibri" w:hAnsi="Calibri" w:cs="Calibri"/>
        </w:rPr>
        <w:tab/>
        <w:t>González-Garay, A., Frei, M.S., Al-Qahtani, A., Mondelli, C., Guillén-Gosálbez, G., and Pérez-Ramírez, J. (2019). Plant-to-planet analysis of CO</w:t>
      </w:r>
      <w:r w:rsidRPr="005F1930">
        <w:rPr>
          <w:rFonts w:ascii="Calibri" w:hAnsi="Calibri" w:cs="Calibri"/>
          <w:vertAlign w:val="subscript"/>
        </w:rPr>
        <w:t>2</w:t>
      </w:r>
      <w:r w:rsidRPr="005F1930">
        <w:rPr>
          <w:rFonts w:ascii="Calibri" w:hAnsi="Calibri" w:cs="Calibri"/>
        </w:rPr>
        <w:t xml:space="preserve"> -based methanol processes. Energy Environ. Sci. </w:t>
      </w:r>
      <w:r w:rsidRPr="005F1930">
        <w:rPr>
          <w:rFonts w:ascii="Calibri" w:hAnsi="Calibri" w:cs="Calibri"/>
          <w:i/>
          <w:iCs/>
        </w:rPr>
        <w:t>12</w:t>
      </w:r>
      <w:r w:rsidRPr="005F1930">
        <w:rPr>
          <w:rFonts w:ascii="Calibri" w:hAnsi="Calibri" w:cs="Calibri"/>
        </w:rPr>
        <w:t>, 3425–3436. 10.1039/C9EE01673B.</w:t>
      </w:r>
    </w:p>
    <w:p w14:paraId="6EBA4902" w14:textId="77777777" w:rsidR="005F1930" w:rsidRPr="005F1930" w:rsidRDefault="005F1930" w:rsidP="005F1930">
      <w:pPr>
        <w:pStyle w:val="Bibliography"/>
        <w:rPr>
          <w:rFonts w:ascii="Calibri" w:hAnsi="Calibri" w:cs="Calibri"/>
        </w:rPr>
      </w:pPr>
      <w:r w:rsidRPr="005F1930">
        <w:rPr>
          <w:rFonts w:ascii="Calibri" w:hAnsi="Calibri" w:cs="Calibri"/>
        </w:rPr>
        <w:t>11.</w:t>
      </w:r>
      <w:r w:rsidRPr="005F1930">
        <w:rPr>
          <w:rFonts w:ascii="Calibri" w:hAnsi="Calibri" w:cs="Calibri"/>
        </w:rPr>
        <w:tab/>
        <w:t xml:space="preserve">Schiffer, Z.J., and Manthiram, K. (2017). Electrification and Decarbonization of the Chemical Industry. Joule </w:t>
      </w:r>
      <w:r w:rsidRPr="005F1930">
        <w:rPr>
          <w:rFonts w:ascii="Calibri" w:hAnsi="Calibri" w:cs="Calibri"/>
          <w:i/>
          <w:iCs/>
        </w:rPr>
        <w:t>1</w:t>
      </w:r>
      <w:r w:rsidRPr="005F1930">
        <w:rPr>
          <w:rFonts w:ascii="Calibri" w:hAnsi="Calibri" w:cs="Calibri"/>
        </w:rPr>
        <w:t>, 10–14. 10.1016/j.joule.2017.07.008.</w:t>
      </w:r>
    </w:p>
    <w:p w14:paraId="7B8FCF27" w14:textId="77777777" w:rsidR="005F1930" w:rsidRPr="005F1930" w:rsidRDefault="005F1930" w:rsidP="005F1930">
      <w:pPr>
        <w:pStyle w:val="Bibliography"/>
        <w:rPr>
          <w:rFonts w:ascii="Calibri" w:hAnsi="Calibri" w:cs="Calibri"/>
          <w:lang w:val="es-ES"/>
        </w:rPr>
      </w:pPr>
      <w:r w:rsidRPr="005F1930">
        <w:rPr>
          <w:rFonts w:ascii="Calibri" w:hAnsi="Calibri" w:cs="Calibri"/>
        </w:rPr>
        <w:t>12.</w:t>
      </w:r>
      <w:r w:rsidRPr="005F1930">
        <w:rPr>
          <w:rFonts w:ascii="Calibri" w:hAnsi="Calibri" w:cs="Calibri"/>
        </w:rPr>
        <w:tab/>
        <w:t xml:space="preserve">Lange, J.-P. (2021). Towards circular carbo-chemicals – the metamorphosis of petrochemicals. </w:t>
      </w:r>
      <w:r w:rsidRPr="005F1930">
        <w:rPr>
          <w:rFonts w:ascii="Calibri" w:hAnsi="Calibri" w:cs="Calibri"/>
          <w:lang w:val="es-ES"/>
        </w:rPr>
        <w:t xml:space="preserve">Energy Environ. Sci. </w:t>
      </w:r>
      <w:r w:rsidRPr="005F1930">
        <w:rPr>
          <w:rFonts w:ascii="Calibri" w:hAnsi="Calibri" w:cs="Calibri"/>
          <w:i/>
          <w:iCs/>
          <w:lang w:val="es-ES"/>
        </w:rPr>
        <w:t>14</w:t>
      </w:r>
      <w:r w:rsidRPr="005F1930">
        <w:rPr>
          <w:rFonts w:ascii="Calibri" w:hAnsi="Calibri" w:cs="Calibri"/>
          <w:lang w:val="es-ES"/>
        </w:rPr>
        <w:t>, 4358–4376. 10.1039/D1EE00532D.</w:t>
      </w:r>
    </w:p>
    <w:p w14:paraId="570B0E11" w14:textId="77777777" w:rsidR="005F1930" w:rsidRPr="005F1930" w:rsidRDefault="005F1930" w:rsidP="005F1930">
      <w:pPr>
        <w:pStyle w:val="Bibliography"/>
        <w:rPr>
          <w:rFonts w:ascii="Calibri" w:hAnsi="Calibri" w:cs="Calibri"/>
          <w:lang w:val="de-CH"/>
        </w:rPr>
      </w:pPr>
      <w:r w:rsidRPr="005F1930">
        <w:rPr>
          <w:rFonts w:ascii="Calibri" w:hAnsi="Calibri" w:cs="Calibri"/>
          <w:lang w:val="es-ES"/>
        </w:rPr>
        <w:t>13.</w:t>
      </w:r>
      <w:r w:rsidRPr="005F1930">
        <w:rPr>
          <w:rFonts w:ascii="Calibri" w:hAnsi="Calibri" w:cs="Calibri"/>
          <w:lang w:val="es-ES"/>
        </w:rPr>
        <w:tab/>
        <w:t xml:space="preserve">Ausfelder, F., Herrman, E.O., and López González, L.F. (2022). </w:t>
      </w:r>
      <w:r w:rsidRPr="005F1930">
        <w:rPr>
          <w:rFonts w:ascii="Calibri" w:hAnsi="Calibri" w:cs="Calibri"/>
          <w:lang w:val="de-CH"/>
        </w:rPr>
        <w:t>Technology options for CO2-emission reduction of hydrogen feedstock in ammonia production (DECHEMA Gesellschaft für Chemische Technik und Biotechnologie e.V).</w:t>
      </w:r>
    </w:p>
    <w:p w14:paraId="5E27889A" w14:textId="77777777" w:rsidR="005F1930" w:rsidRPr="005F1930" w:rsidRDefault="005F1930" w:rsidP="005F1930">
      <w:pPr>
        <w:pStyle w:val="Bibliography"/>
        <w:rPr>
          <w:rFonts w:ascii="Calibri" w:hAnsi="Calibri" w:cs="Calibri"/>
        </w:rPr>
      </w:pPr>
      <w:r w:rsidRPr="005F1930">
        <w:rPr>
          <w:rFonts w:ascii="Calibri" w:hAnsi="Calibri" w:cs="Calibri"/>
        </w:rPr>
        <w:lastRenderedPageBreak/>
        <w:t>14.</w:t>
      </w:r>
      <w:r w:rsidRPr="005F1930">
        <w:rPr>
          <w:rFonts w:ascii="Calibri" w:hAnsi="Calibri" w:cs="Calibri"/>
        </w:rPr>
        <w:tab/>
        <w:t>IEA (2013). Technology Roadmap Energy and GHG Reductions in the Chemical Industry via Catalytic Processes (International Energy Agency).</w:t>
      </w:r>
    </w:p>
    <w:p w14:paraId="2DB06166" w14:textId="77777777" w:rsidR="005F1930" w:rsidRPr="005F1930" w:rsidRDefault="005F1930" w:rsidP="005F1930">
      <w:pPr>
        <w:pStyle w:val="Bibliography"/>
        <w:rPr>
          <w:rFonts w:ascii="Calibri" w:hAnsi="Calibri" w:cs="Calibri"/>
        </w:rPr>
      </w:pPr>
      <w:r w:rsidRPr="005F1930">
        <w:rPr>
          <w:rFonts w:ascii="Calibri" w:hAnsi="Calibri" w:cs="Calibri"/>
        </w:rPr>
        <w:t>15.</w:t>
      </w:r>
      <w:r w:rsidRPr="005F1930">
        <w:rPr>
          <w:rFonts w:ascii="Calibri" w:hAnsi="Calibri" w:cs="Calibri"/>
        </w:rPr>
        <w:tab/>
        <w:t xml:space="preserve">Huo, J., Wang, Z., Oberschelp, C., Guillén-Gosálbez, G., and Hellweg, S. (2023). Net-zero transition of the global chemical industry with CO2-feedstock by 2050: feasible yet challenging. Green Chem. </w:t>
      </w:r>
      <w:r w:rsidRPr="005F1930">
        <w:rPr>
          <w:rFonts w:ascii="Calibri" w:hAnsi="Calibri" w:cs="Calibri"/>
          <w:i/>
          <w:iCs/>
        </w:rPr>
        <w:t>25</w:t>
      </w:r>
      <w:r w:rsidRPr="005F1930">
        <w:rPr>
          <w:rFonts w:ascii="Calibri" w:hAnsi="Calibri" w:cs="Calibri"/>
        </w:rPr>
        <w:t>, 415–430. 10.1039/D2GC03047K.</w:t>
      </w:r>
    </w:p>
    <w:p w14:paraId="62955DA5" w14:textId="77777777" w:rsidR="005F1930" w:rsidRPr="005F1930" w:rsidRDefault="005F1930" w:rsidP="005F1930">
      <w:pPr>
        <w:pStyle w:val="Bibliography"/>
        <w:rPr>
          <w:rFonts w:ascii="Calibri" w:hAnsi="Calibri" w:cs="Calibri"/>
        </w:rPr>
      </w:pPr>
      <w:r w:rsidRPr="005F1930">
        <w:rPr>
          <w:rFonts w:ascii="Calibri" w:hAnsi="Calibri" w:cs="Calibri"/>
        </w:rPr>
        <w:t>16.</w:t>
      </w:r>
      <w:r w:rsidRPr="005F1930">
        <w:rPr>
          <w:rFonts w:ascii="Calibri" w:hAnsi="Calibri" w:cs="Calibri"/>
        </w:rPr>
        <w:tab/>
        <w:t xml:space="preserve">Galán-Martín, Á., Tulus, V., Díaz, I., Pozo, C., Pérez-Ramírez, J., and Guillén-Gosálbez, G. (2021). Sustainability footprints of a renewable carbon transition for the petrochemical sector within planetary boundaries. One Earth </w:t>
      </w:r>
      <w:r w:rsidRPr="005F1930">
        <w:rPr>
          <w:rFonts w:ascii="Calibri" w:hAnsi="Calibri" w:cs="Calibri"/>
          <w:i/>
          <w:iCs/>
        </w:rPr>
        <w:t>4</w:t>
      </w:r>
      <w:r w:rsidRPr="005F1930">
        <w:rPr>
          <w:rFonts w:ascii="Calibri" w:hAnsi="Calibri" w:cs="Calibri"/>
        </w:rPr>
        <w:t>, 565–583. 10.1016/j.oneear.2021.04.001.</w:t>
      </w:r>
    </w:p>
    <w:p w14:paraId="173669BF" w14:textId="77777777" w:rsidR="005F1930" w:rsidRPr="005F1930" w:rsidRDefault="005F1930" w:rsidP="005F1930">
      <w:pPr>
        <w:pStyle w:val="Bibliography"/>
        <w:rPr>
          <w:rFonts w:ascii="Calibri" w:hAnsi="Calibri" w:cs="Calibri"/>
        </w:rPr>
      </w:pPr>
      <w:r w:rsidRPr="005F1930">
        <w:rPr>
          <w:rFonts w:ascii="Calibri" w:hAnsi="Calibri" w:cs="Calibri"/>
        </w:rPr>
        <w:t>17.</w:t>
      </w:r>
      <w:r w:rsidRPr="005F1930">
        <w:rPr>
          <w:rFonts w:ascii="Calibri" w:hAnsi="Calibri" w:cs="Calibri"/>
        </w:rPr>
        <w:tab/>
        <w:t>Ioannou, I., Galán-Martín, Á., Pérez-Ramírez, J., and Guillén-Gosálbez, G. (2022). Trade-offs between Sustainable Development Goals in carbon capture and utilisation. Energy Environ. Sci. 10.1039/D2EE01153K.</w:t>
      </w:r>
    </w:p>
    <w:p w14:paraId="1D837FF5" w14:textId="77777777" w:rsidR="005F1930" w:rsidRPr="005F1930" w:rsidRDefault="005F1930" w:rsidP="005F1930">
      <w:pPr>
        <w:pStyle w:val="Bibliography"/>
        <w:rPr>
          <w:rFonts w:ascii="Calibri" w:hAnsi="Calibri" w:cs="Calibri"/>
        </w:rPr>
      </w:pPr>
      <w:r w:rsidRPr="005F1930">
        <w:rPr>
          <w:rFonts w:ascii="Calibri" w:hAnsi="Calibri" w:cs="Calibri"/>
        </w:rPr>
        <w:t>18.</w:t>
      </w:r>
      <w:r w:rsidRPr="005F1930">
        <w:rPr>
          <w:rFonts w:ascii="Calibri" w:hAnsi="Calibri" w:cs="Calibri"/>
        </w:rPr>
        <w:tab/>
        <w:t xml:space="preserve">Kätelhön, A., Meys, R., Deutz, S., Suh, S., and Bardow, A. (2019). Climate change mitigation potential of carbon capture and utilization in the chemical industry. Proceedings of the National Academy of Sciences </w:t>
      </w:r>
      <w:r w:rsidRPr="005F1930">
        <w:rPr>
          <w:rFonts w:ascii="Calibri" w:hAnsi="Calibri" w:cs="Calibri"/>
          <w:i/>
          <w:iCs/>
        </w:rPr>
        <w:t>116</w:t>
      </w:r>
      <w:r w:rsidRPr="005F1930">
        <w:rPr>
          <w:rFonts w:ascii="Calibri" w:hAnsi="Calibri" w:cs="Calibri"/>
        </w:rPr>
        <w:t>, 11187–11194. 10.1073/pnas.1821029116.</w:t>
      </w:r>
    </w:p>
    <w:p w14:paraId="58D09CFD" w14:textId="77777777" w:rsidR="005F1930" w:rsidRPr="005F1930" w:rsidRDefault="005F1930" w:rsidP="005F1930">
      <w:pPr>
        <w:pStyle w:val="Bibliography"/>
        <w:rPr>
          <w:rFonts w:ascii="Calibri" w:hAnsi="Calibri" w:cs="Calibri"/>
        </w:rPr>
      </w:pPr>
      <w:r w:rsidRPr="005F1930">
        <w:rPr>
          <w:rFonts w:ascii="Calibri" w:hAnsi="Calibri" w:cs="Calibri"/>
        </w:rPr>
        <w:t>19.</w:t>
      </w:r>
      <w:r w:rsidRPr="005F1930">
        <w:rPr>
          <w:rFonts w:ascii="Calibri" w:hAnsi="Calibri" w:cs="Calibri"/>
        </w:rPr>
        <w:tab/>
        <w:t xml:space="preserve">Hepburn, C., Adlen, E., Beddington, J., Carter, E.A., Fuss, S., Mac Dowell, N., Minx, J.C., Smith, P., and Williams, C.K. (2019). The technological and economic prospects for CO2 utilization and removal. Nature </w:t>
      </w:r>
      <w:r w:rsidRPr="005F1930">
        <w:rPr>
          <w:rFonts w:ascii="Calibri" w:hAnsi="Calibri" w:cs="Calibri"/>
          <w:i/>
          <w:iCs/>
        </w:rPr>
        <w:t>575</w:t>
      </w:r>
      <w:r w:rsidRPr="005F1930">
        <w:rPr>
          <w:rFonts w:ascii="Calibri" w:hAnsi="Calibri" w:cs="Calibri"/>
        </w:rPr>
        <w:t>, 87–97. 10.1038/s41586-019-1681-6.</w:t>
      </w:r>
    </w:p>
    <w:p w14:paraId="56237E95" w14:textId="77777777" w:rsidR="005F1930" w:rsidRPr="005F1930" w:rsidRDefault="005F1930" w:rsidP="005F1930">
      <w:pPr>
        <w:pStyle w:val="Bibliography"/>
        <w:rPr>
          <w:rFonts w:ascii="Calibri" w:hAnsi="Calibri" w:cs="Calibri"/>
        </w:rPr>
      </w:pPr>
      <w:r w:rsidRPr="005F1930">
        <w:rPr>
          <w:rFonts w:ascii="Calibri" w:hAnsi="Calibri" w:cs="Calibri"/>
        </w:rPr>
        <w:t>20.</w:t>
      </w:r>
      <w:r w:rsidRPr="005F1930">
        <w:rPr>
          <w:rFonts w:ascii="Calibri" w:hAnsi="Calibri" w:cs="Calibri"/>
        </w:rPr>
        <w:tab/>
        <w:t>The World Bank (2022). Commodity Markets Outlook: The Impact of the War in Ukraine on Commodity Markets (The World Bank Group).</w:t>
      </w:r>
    </w:p>
    <w:p w14:paraId="2ABC10D1" w14:textId="77777777" w:rsidR="005F1930" w:rsidRPr="005F1930" w:rsidRDefault="005F1930" w:rsidP="005F1930">
      <w:pPr>
        <w:pStyle w:val="Bibliography"/>
        <w:rPr>
          <w:rFonts w:ascii="Calibri" w:hAnsi="Calibri" w:cs="Calibri"/>
        </w:rPr>
      </w:pPr>
      <w:r w:rsidRPr="005F1930">
        <w:rPr>
          <w:rFonts w:ascii="Calibri" w:hAnsi="Calibri" w:cs="Calibri"/>
        </w:rPr>
        <w:t>21.</w:t>
      </w:r>
      <w:r w:rsidRPr="005F1930">
        <w:rPr>
          <w:rFonts w:ascii="Calibri" w:hAnsi="Calibri" w:cs="Calibri"/>
        </w:rPr>
        <w:tab/>
        <w:t>cefic (2022). Chemical Monthly Report (CMR) - High energy prices and economic uncertainty continue to drive down the chemicals output in the EU27 area (European Chemical Industry Council).</w:t>
      </w:r>
    </w:p>
    <w:p w14:paraId="0BDDF0FB" w14:textId="77777777" w:rsidR="005F1930" w:rsidRPr="005F1930" w:rsidRDefault="005F1930" w:rsidP="005F1930">
      <w:pPr>
        <w:pStyle w:val="Bibliography"/>
        <w:rPr>
          <w:rFonts w:ascii="Calibri" w:hAnsi="Calibri" w:cs="Calibri"/>
        </w:rPr>
      </w:pPr>
      <w:r w:rsidRPr="005F1930">
        <w:rPr>
          <w:rFonts w:ascii="Calibri" w:hAnsi="Calibri" w:cs="Calibri"/>
        </w:rPr>
        <w:t>22.</w:t>
      </w:r>
      <w:r w:rsidRPr="005F1930">
        <w:rPr>
          <w:rFonts w:ascii="Calibri" w:hAnsi="Calibri" w:cs="Calibri"/>
        </w:rPr>
        <w:tab/>
        <w:t>de Sousa, A., Gebre, S., and Treloar, S. (2022). Europe’s Widening Fertilizer Crisis Threatens Food Supplies. Bloomberg.com.</w:t>
      </w:r>
    </w:p>
    <w:p w14:paraId="5C72727F" w14:textId="77777777" w:rsidR="005F1930" w:rsidRPr="005F1930" w:rsidRDefault="005F1930" w:rsidP="005F1930">
      <w:pPr>
        <w:pStyle w:val="Bibliography"/>
        <w:rPr>
          <w:rFonts w:ascii="Calibri" w:hAnsi="Calibri" w:cs="Calibri"/>
          <w:lang w:val="fr-CH"/>
        </w:rPr>
      </w:pPr>
      <w:r w:rsidRPr="005F1930">
        <w:rPr>
          <w:rFonts w:ascii="Calibri" w:hAnsi="Calibri" w:cs="Calibri"/>
        </w:rPr>
        <w:t>23.</w:t>
      </w:r>
      <w:r w:rsidRPr="005F1930">
        <w:rPr>
          <w:rFonts w:ascii="Calibri" w:hAnsi="Calibri" w:cs="Calibri"/>
        </w:rPr>
        <w:tab/>
        <w:t xml:space="preserve">Lopez, J. (2022). EPCA ’22: European shut ammonia production unlikely to return - analyst. </w:t>
      </w:r>
      <w:r w:rsidRPr="005F1930">
        <w:rPr>
          <w:rFonts w:ascii="Calibri" w:hAnsi="Calibri" w:cs="Calibri"/>
          <w:lang w:val="fr-CH"/>
        </w:rPr>
        <w:t>ICIS Explore. https://www.icis.com/explore/resources/news/2022/10/04/10811649/epca-22-european-shut-ammonia-production-unlikely-to-return-analyst.</w:t>
      </w:r>
    </w:p>
    <w:p w14:paraId="2D9F5D83" w14:textId="77777777" w:rsidR="005F1930" w:rsidRPr="005F1930" w:rsidRDefault="005F1930" w:rsidP="005F1930">
      <w:pPr>
        <w:pStyle w:val="Bibliography"/>
        <w:rPr>
          <w:rFonts w:ascii="Calibri" w:hAnsi="Calibri" w:cs="Calibri"/>
        </w:rPr>
      </w:pPr>
      <w:r w:rsidRPr="005F1930">
        <w:rPr>
          <w:rFonts w:ascii="Calibri" w:hAnsi="Calibri" w:cs="Calibri"/>
        </w:rPr>
        <w:t>24.</w:t>
      </w:r>
      <w:r w:rsidRPr="005F1930">
        <w:rPr>
          <w:rFonts w:ascii="Calibri" w:hAnsi="Calibri" w:cs="Calibri"/>
        </w:rPr>
        <w:tab/>
        <w:t>IRENA (2021). Making the breakthrough: Green hydrogen policies and technology costs (International Renewable Energy Agency).</w:t>
      </w:r>
    </w:p>
    <w:p w14:paraId="55D3293B" w14:textId="77777777" w:rsidR="005F1930" w:rsidRPr="005F1930" w:rsidRDefault="005F1930" w:rsidP="005F1930">
      <w:pPr>
        <w:pStyle w:val="Bibliography"/>
        <w:rPr>
          <w:rFonts w:ascii="Calibri" w:hAnsi="Calibri" w:cs="Calibri"/>
        </w:rPr>
      </w:pPr>
      <w:r w:rsidRPr="005F1930">
        <w:rPr>
          <w:rFonts w:ascii="Calibri" w:hAnsi="Calibri" w:cs="Calibri"/>
        </w:rPr>
        <w:t>25.</w:t>
      </w:r>
      <w:r w:rsidRPr="005F1930">
        <w:rPr>
          <w:rFonts w:ascii="Calibri" w:hAnsi="Calibri" w:cs="Calibri"/>
        </w:rPr>
        <w:tab/>
        <w:t xml:space="preserve">Fuss, S., Lamb, W.F., Callaghan, M.W., Hilaire, J., Creutzig, F., Amann, T., Beringer, T., Garcia, W. de O., Hartmann, J., Khanna, T., et al. (2018). Negative emissions—Part 2: Costs, potentials and side effects. Environ. Res. Lett. </w:t>
      </w:r>
      <w:r w:rsidRPr="005F1930">
        <w:rPr>
          <w:rFonts w:ascii="Calibri" w:hAnsi="Calibri" w:cs="Calibri"/>
          <w:i/>
          <w:iCs/>
        </w:rPr>
        <w:t>13</w:t>
      </w:r>
      <w:r w:rsidRPr="005F1930">
        <w:rPr>
          <w:rFonts w:ascii="Calibri" w:hAnsi="Calibri" w:cs="Calibri"/>
        </w:rPr>
        <w:t>, 063002. 10.1088/1748-9326/aabf9f.</w:t>
      </w:r>
    </w:p>
    <w:p w14:paraId="20E19095" w14:textId="77777777" w:rsidR="005F1930" w:rsidRPr="005F1930" w:rsidRDefault="005F1930" w:rsidP="005F1930">
      <w:pPr>
        <w:pStyle w:val="Bibliography"/>
        <w:rPr>
          <w:rFonts w:ascii="Calibri" w:hAnsi="Calibri" w:cs="Calibri"/>
        </w:rPr>
      </w:pPr>
      <w:r w:rsidRPr="005F1930">
        <w:rPr>
          <w:rFonts w:ascii="Calibri" w:hAnsi="Calibri" w:cs="Calibri"/>
        </w:rPr>
        <w:t>26.</w:t>
      </w:r>
      <w:r w:rsidRPr="005F1930">
        <w:rPr>
          <w:rFonts w:ascii="Calibri" w:hAnsi="Calibri" w:cs="Calibri"/>
        </w:rPr>
        <w:tab/>
        <w:t>The World Bank (2023). Commodity Markets. https://www.worldbank.org/en/research/commodity-markets.</w:t>
      </w:r>
    </w:p>
    <w:p w14:paraId="087456EF" w14:textId="77777777" w:rsidR="005F1930" w:rsidRPr="005F1930" w:rsidRDefault="005F1930" w:rsidP="005F1930">
      <w:pPr>
        <w:pStyle w:val="Bibliography"/>
        <w:rPr>
          <w:rFonts w:ascii="Calibri" w:hAnsi="Calibri" w:cs="Calibri"/>
        </w:rPr>
      </w:pPr>
      <w:r w:rsidRPr="005F1930">
        <w:rPr>
          <w:rFonts w:ascii="Calibri" w:hAnsi="Calibri" w:cs="Calibri"/>
        </w:rPr>
        <w:t>27.</w:t>
      </w:r>
      <w:r w:rsidRPr="005F1930">
        <w:rPr>
          <w:rFonts w:ascii="Calibri" w:hAnsi="Calibri" w:cs="Calibri"/>
        </w:rPr>
        <w:tab/>
        <w:t>IEA (2022). How to Avoid Gas Shortages in the European Union in 2023.</w:t>
      </w:r>
    </w:p>
    <w:p w14:paraId="7237C824" w14:textId="77777777" w:rsidR="005F1930" w:rsidRPr="005F1930" w:rsidRDefault="005F1930" w:rsidP="005F1930">
      <w:pPr>
        <w:pStyle w:val="Bibliography"/>
        <w:rPr>
          <w:rFonts w:ascii="Calibri" w:hAnsi="Calibri" w:cs="Calibri"/>
        </w:rPr>
      </w:pPr>
      <w:r w:rsidRPr="005F1930">
        <w:rPr>
          <w:rFonts w:ascii="Calibri" w:hAnsi="Calibri" w:cs="Calibri"/>
        </w:rPr>
        <w:t>28.</w:t>
      </w:r>
      <w:r w:rsidRPr="005F1930">
        <w:rPr>
          <w:rFonts w:ascii="Calibri" w:hAnsi="Calibri" w:cs="Calibri"/>
        </w:rPr>
        <w:tab/>
        <w:t>CME Group (2023). Dutch TTF Natural Gas Calendar Month Futures Quotes. https://www.cmegroup.com/markets/energy/natural-gas/dutch-ttf-natural-gas-calendar-month.quotes.html.</w:t>
      </w:r>
    </w:p>
    <w:p w14:paraId="61060B8E" w14:textId="77777777" w:rsidR="005F1930" w:rsidRPr="005F1930" w:rsidRDefault="005F1930" w:rsidP="005F1930">
      <w:pPr>
        <w:pStyle w:val="Bibliography"/>
        <w:rPr>
          <w:rFonts w:ascii="Calibri" w:hAnsi="Calibri" w:cs="Calibri"/>
        </w:rPr>
      </w:pPr>
      <w:r w:rsidRPr="005F1930">
        <w:rPr>
          <w:rFonts w:ascii="Calibri" w:hAnsi="Calibri" w:cs="Calibri"/>
        </w:rPr>
        <w:t>29.</w:t>
      </w:r>
      <w:r w:rsidRPr="005F1930">
        <w:rPr>
          <w:rFonts w:ascii="Calibri" w:hAnsi="Calibri" w:cs="Calibri"/>
        </w:rPr>
        <w:tab/>
        <w:t xml:space="preserve">Way, R., Ives, M.C., Mealy, P., and Farmer, J.D. (2022). Empirically grounded technology forecasts and the energy transition. Joule </w:t>
      </w:r>
      <w:r w:rsidRPr="005F1930">
        <w:rPr>
          <w:rFonts w:ascii="Calibri" w:hAnsi="Calibri" w:cs="Calibri"/>
          <w:i/>
          <w:iCs/>
        </w:rPr>
        <w:t>6</w:t>
      </w:r>
      <w:r w:rsidRPr="005F1930">
        <w:rPr>
          <w:rFonts w:ascii="Calibri" w:hAnsi="Calibri" w:cs="Calibri"/>
        </w:rPr>
        <w:t>, 2057–2082. 10.1016/j.joule.2022.08.009.</w:t>
      </w:r>
    </w:p>
    <w:p w14:paraId="3FF637CE" w14:textId="77777777" w:rsidR="005F1930" w:rsidRPr="005F1930" w:rsidRDefault="005F1930" w:rsidP="005F1930">
      <w:pPr>
        <w:pStyle w:val="Bibliography"/>
        <w:rPr>
          <w:rFonts w:ascii="Calibri" w:hAnsi="Calibri" w:cs="Calibri"/>
        </w:rPr>
      </w:pPr>
      <w:r w:rsidRPr="005F1930">
        <w:rPr>
          <w:rFonts w:ascii="Calibri" w:hAnsi="Calibri" w:cs="Calibri"/>
        </w:rPr>
        <w:lastRenderedPageBreak/>
        <w:t>30.</w:t>
      </w:r>
      <w:r w:rsidRPr="005F1930">
        <w:rPr>
          <w:rFonts w:ascii="Calibri" w:hAnsi="Calibri" w:cs="Calibri"/>
        </w:rPr>
        <w:tab/>
        <w:t xml:space="preserve">Boulamanti, A., and Moya, J.A. (2017). Production costs of the chemical industry in the EU and other countries: Ammonia, methanol and light olefins. Renewable and Sustainable Energy Reviews </w:t>
      </w:r>
      <w:r w:rsidRPr="005F1930">
        <w:rPr>
          <w:rFonts w:ascii="Calibri" w:hAnsi="Calibri" w:cs="Calibri"/>
          <w:i/>
          <w:iCs/>
        </w:rPr>
        <w:t>68</w:t>
      </w:r>
      <w:r w:rsidRPr="005F1930">
        <w:rPr>
          <w:rFonts w:ascii="Calibri" w:hAnsi="Calibri" w:cs="Calibri"/>
        </w:rPr>
        <w:t>, 1205–1212. 10.1016/j.rser.2016.02.021.</w:t>
      </w:r>
    </w:p>
    <w:p w14:paraId="63C79EEB" w14:textId="77777777" w:rsidR="005F1930" w:rsidRPr="005F1930" w:rsidRDefault="005F1930" w:rsidP="005F1930">
      <w:pPr>
        <w:pStyle w:val="Bibliography"/>
        <w:rPr>
          <w:rFonts w:ascii="Calibri" w:hAnsi="Calibri" w:cs="Calibri"/>
        </w:rPr>
      </w:pPr>
      <w:r w:rsidRPr="005F1930">
        <w:rPr>
          <w:rFonts w:ascii="Calibri" w:hAnsi="Calibri" w:cs="Calibri"/>
        </w:rPr>
        <w:t>31.</w:t>
      </w:r>
      <w:r w:rsidRPr="005F1930">
        <w:rPr>
          <w:rFonts w:ascii="Calibri" w:hAnsi="Calibri" w:cs="Calibri"/>
        </w:rPr>
        <w:tab/>
        <w:t>cefic (2022). The European Chemical Industry - Facts &amp; Figures 2022.</w:t>
      </w:r>
    </w:p>
    <w:p w14:paraId="7C288957" w14:textId="77777777" w:rsidR="005F1930" w:rsidRPr="005F1930" w:rsidRDefault="005F1930" w:rsidP="005F1930">
      <w:pPr>
        <w:pStyle w:val="Bibliography"/>
        <w:rPr>
          <w:rFonts w:ascii="Calibri" w:hAnsi="Calibri" w:cs="Calibri"/>
        </w:rPr>
      </w:pPr>
      <w:r w:rsidRPr="005F1930">
        <w:rPr>
          <w:rFonts w:ascii="Calibri" w:hAnsi="Calibri" w:cs="Calibri"/>
        </w:rPr>
        <w:t>32.</w:t>
      </w:r>
      <w:r w:rsidRPr="005F1930">
        <w:rPr>
          <w:rFonts w:ascii="Calibri" w:hAnsi="Calibri" w:cs="Calibri"/>
        </w:rPr>
        <w:tab/>
        <w:t>European Commission (2021). “Fit for 55”: delivering the EU’s 2030 Climate Target on the way to climate neutrality (COM(2021) 550 final, Brussels).</w:t>
      </w:r>
    </w:p>
    <w:p w14:paraId="3A29C4FE" w14:textId="77777777" w:rsidR="005F1930" w:rsidRPr="005F1930" w:rsidRDefault="005F1930" w:rsidP="005F1930">
      <w:pPr>
        <w:pStyle w:val="Bibliography"/>
        <w:rPr>
          <w:rFonts w:ascii="Calibri" w:hAnsi="Calibri" w:cs="Calibri"/>
        </w:rPr>
      </w:pPr>
      <w:r w:rsidRPr="005F1930">
        <w:rPr>
          <w:rFonts w:ascii="Calibri" w:hAnsi="Calibri" w:cs="Calibri"/>
          <w:lang w:val="de-CH"/>
        </w:rPr>
        <w:t>33.</w:t>
      </w:r>
      <w:r w:rsidRPr="005F1930">
        <w:rPr>
          <w:rFonts w:ascii="Calibri" w:hAnsi="Calibri" w:cs="Calibri"/>
          <w:lang w:val="de-CH"/>
        </w:rPr>
        <w:tab/>
        <w:t xml:space="preserve">Klaaßen, L., and Steffen, B. (2023). </w:t>
      </w:r>
      <w:r w:rsidRPr="005F1930">
        <w:rPr>
          <w:rFonts w:ascii="Calibri" w:hAnsi="Calibri" w:cs="Calibri"/>
        </w:rPr>
        <w:t>Meta-analysis on necessary investment shifts to reach net zero pathways in Europe. Nat. Clim. Chang., 1–9. 10.1038/s41558-022-01549-5.</w:t>
      </w:r>
    </w:p>
    <w:p w14:paraId="6F771DCF" w14:textId="77777777" w:rsidR="005F1930" w:rsidRPr="005F1930" w:rsidRDefault="005F1930" w:rsidP="005F1930">
      <w:pPr>
        <w:pStyle w:val="Bibliography"/>
        <w:rPr>
          <w:rFonts w:ascii="Calibri" w:hAnsi="Calibri" w:cs="Calibri"/>
        </w:rPr>
      </w:pPr>
      <w:r w:rsidRPr="005F1930">
        <w:rPr>
          <w:rFonts w:ascii="Calibri" w:hAnsi="Calibri" w:cs="Calibri"/>
        </w:rPr>
        <w:t>34.</w:t>
      </w:r>
      <w:r w:rsidRPr="005F1930">
        <w:rPr>
          <w:rFonts w:ascii="Calibri" w:hAnsi="Calibri" w:cs="Calibri"/>
        </w:rPr>
        <w:tab/>
        <w:t xml:space="preserve">Sovacool, B.K., Ali, S.H., Bazilian, M., Radley, B., Nemery, B., Okatz, J., and Mulvaney, D. (2020). Sustainable minerals and metals for a low-carbon future. Science </w:t>
      </w:r>
      <w:r w:rsidRPr="005F1930">
        <w:rPr>
          <w:rFonts w:ascii="Calibri" w:hAnsi="Calibri" w:cs="Calibri"/>
          <w:i/>
          <w:iCs/>
        </w:rPr>
        <w:t>367</w:t>
      </w:r>
      <w:r w:rsidRPr="005F1930">
        <w:rPr>
          <w:rFonts w:ascii="Calibri" w:hAnsi="Calibri" w:cs="Calibri"/>
        </w:rPr>
        <w:t>, 30–33. 10.1126/science.aaz6003.</w:t>
      </w:r>
    </w:p>
    <w:p w14:paraId="47BF90B9" w14:textId="77777777" w:rsidR="005F1930" w:rsidRPr="005F1930" w:rsidRDefault="005F1930" w:rsidP="005F1930">
      <w:pPr>
        <w:pStyle w:val="Bibliography"/>
        <w:rPr>
          <w:rFonts w:ascii="Calibri" w:hAnsi="Calibri" w:cs="Calibri"/>
        </w:rPr>
      </w:pPr>
      <w:r w:rsidRPr="005F1930">
        <w:rPr>
          <w:rFonts w:ascii="Calibri" w:hAnsi="Calibri" w:cs="Calibri"/>
        </w:rPr>
        <w:t>35.</w:t>
      </w:r>
      <w:r w:rsidRPr="005F1930">
        <w:rPr>
          <w:rFonts w:ascii="Calibri" w:hAnsi="Calibri" w:cs="Calibri"/>
        </w:rPr>
        <w:tab/>
        <w:t>Appl, M. (2011). Ammonia - Production Processes. In Ullmann’s Encyclopedia of Industrial Chemistry (John Wiley &amp; Sons, Ltd). 10.1002/14356007.o02_o11.</w:t>
      </w:r>
    </w:p>
    <w:p w14:paraId="1B1FF33C" w14:textId="77777777" w:rsidR="005F1930" w:rsidRPr="005F1930" w:rsidRDefault="005F1930" w:rsidP="005F1930">
      <w:pPr>
        <w:pStyle w:val="Bibliography"/>
        <w:rPr>
          <w:rFonts w:ascii="Calibri" w:hAnsi="Calibri" w:cs="Calibri"/>
        </w:rPr>
      </w:pPr>
      <w:r w:rsidRPr="005F1930">
        <w:rPr>
          <w:rFonts w:ascii="Calibri" w:hAnsi="Calibri" w:cs="Calibri"/>
        </w:rPr>
        <w:t>36.</w:t>
      </w:r>
      <w:r w:rsidRPr="005F1930">
        <w:rPr>
          <w:rFonts w:ascii="Calibri" w:hAnsi="Calibri" w:cs="Calibri"/>
        </w:rPr>
        <w:tab/>
        <w:t xml:space="preserve">Bussche, K.M.V., and Froment, G.F. (1996). A Steady-State Kinetic Model for Methanol Synthesis and the Water Gas Shift Reaction on a Commercial Cu/ZnO/Al2O3Catalyst. Journal of Catalysis </w:t>
      </w:r>
      <w:r w:rsidRPr="005F1930">
        <w:rPr>
          <w:rFonts w:ascii="Calibri" w:hAnsi="Calibri" w:cs="Calibri"/>
          <w:i/>
          <w:iCs/>
        </w:rPr>
        <w:t>161</w:t>
      </w:r>
      <w:r w:rsidRPr="005F1930">
        <w:rPr>
          <w:rFonts w:ascii="Calibri" w:hAnsi="Calibri" w:cs="Calibri"/>
        </w:rPr>
        <w:t>, 1–10. 10.1006/jcat.1996.0156.</w:t>
      </w:r>
    </w:p>
    <w:p w14:paraId="33C2F919" w14:textId="77777777" w:rsidR="005F1930" w:rsidRPr="005F1930" w:rsidRDefault="005F1930" w:rsidP="005F1930">
      <w:pPr>
        <w:pStyle w:val="Bibliography"/>
        <w:rPr>
          <w:rFonts w:ascii="Calibri" w:hAnsi="Calibri" w:cs="Calibri"/>
        </w:rPr>
      </w:pPr>
      <w:r w:rsidRPr="005F1930">
        <w:rPr>
          <w:rFonts w:ascii="Calibri" w:hAnsi="Calibri" w:cs="Calibri"/>
        </w:rPr>
        <w:t>37.</w:t>
      </w:r>
      <w:r w:rsidRPr="005F1930">
        <w:rPr>
          <w:rFonts w:ascii="Calibri" w:hAnsi="Calibri" w:cs="Calibri"/>
        </w:rPr>
        <w:tab/>
        <w:t xml:space="preserve">Keith, D.W., Holmes, G., St. Angelo, D., and Heidel, K. (2018). A Process for Capturing CO2 from the Atmosphere. Joule </w:t>
      </w:r>
      <w:r w:rsidRPr="005F1930">
        <w:rPr>
          <w:rFonts w:ascii="Calibri" w:hAnsi="Calibri" w:cs="Calibri"/>
          <w:i/>
          <w:iCs/>
        </w:rPr>
        <w:t>2</w:t>
      </w:r>
      <w:r w:rsidRPr="005F1930">
        <w:rPr>
          <w:rFonts w:ascii="Calibri" w:hAnsi="Calibri" w:cs="Calibri"/>
        </w:rPr>
        <w:t>, 1573–1594. 10.1016/j.joule.2018.05.006.</w:t>
      </w:r>
    </w:p>
    <w:p w14:paraId="59DB05AD" w14:textId="77777777" w:rsidR="005F1930" w:rsidRPr="005F1930" w:rsidRDefault="005F1930" w:rsidP="005F1930">
      <w:pPr>
        <w:pStyle w:val="Bibliography"/>
        <w:rPr>
          <w:rFonts w:ascii="Calibri" w:hAnsi="Calibri" w:cs="Calibri"/>
        </w:rPr>
      </w:pPr>
      <w:r w:rsidRPr="005F1930">
        <w:rPr>
          <w:rFonts w:ascii="Calibri" w:hAnsi="Calibri" w:cs="Calibri"/>
        </w:rPr>
        <w:t>38.</w:t>
      </w:r>
      <w:r w:rsidRPr="005F1930">
        <w:rPr>
          <w:rFonts w:ascii="Calibri" w:hAnsi="Calibri" w:cs="Calibri"/>
        </w:rPr>
        <w:tab/>
        <w:t>ISO 14040:2006 Environmental management — Life cycle assessment — Principles and framework.</w:t>
      </w:r>
    </w:p>
    <w:p w14:paraId="4275B6A2" w14:textId="77777777" w:rsidR="005F1930" w:rsidRPr="005F1930" w:rsidRDefault="005F1930" w:rsidP="005F1930">
      <w:pPr>
        <w:pStyle w:val="Bibliography"/>
        <w:rPr>
          <w:rFonts w:ascii="Calibri" w:hAnsi="Calibri" w:cs="Calibri"/>
        </w:rPr>
      </w:pPr>
      <w:r w:rsidRPr="005F1930">
        <w:rPr>
          <w:rFonts w:ascii="Calibri" w:hAnsi="Calibri" w:cs="Calibri"/>
        </w:rPr>
        <w:t>39.</w:t>
      </w:r>
      <w:r w:rsidRPr="005F1930">
        <w:rPr>
          <w:rFonts w:ascii="Calibri" w:hAnsi="Calibri" w:cs="Calibri"/>
        </w:rPr>
        <w:tab/>
        <w:t>ISO 14044:2006 Environmental management — Life cycle assessment — Requirements and guidelines.</w:t>
      </w:r>
    </w:p>
    <w:p w14:paraId="38EC3733" w14:textId="77777777" w:rsidR="005F1930" w:rsidRPr="005F1930" w:rsidRDefault="005F1930" w:rsidP="005F1930">
      <w:pPr>
        <w:pStyle w:val="Bibliography"/>
        <w:rPr>
          <w:rFonts w:ascii="Calibri" w:hAnsi="Calibri" w:cs="Calibri"/>
        </w:rPr>
      </w:pPr>
      <w:r w:rsidRPr="005F1930">
        <w:rPr>
          <w:rFonts w:ascii="Calibri" w:hAnsi="Calibri" w:cs="Calibri"/>
        </w:rPr>
        <w:t>40.</w:t>
      </w:r>
      <w:r w:rsidRPr="005F1930">
        <w:rPr>
          <w:rFonts w:ascii="Calibri" w:hAnsi="Calibri" w:cs="Calibri"/>
        </w:rPr>
        <w:tab/>
        <w:t xml:space="preserve">Hellweg, S., and Milà i Canals, L. (2014). Emerging approaches, challenges and opportunities in life cycle assessment. Science </w:t>
      </w:r>
      <w:r w:rsidRPr="005F1930">
        <w:rPr>
          <w:rFonts w:ascii="Calibri" w:hAnsi="Calibri" w:cs="Calibri"/>
          <w:i/>
          <w:iCs/>
        </w:rPr>
        <w:t>344</w:t>
      </w:r>
      <w:r w:rsidRPr="005F1930">
        <w:rPr>
          <w:rFonts w:ascii="Calibri" w:hAnsi="Calibri" w:cs="Calibri"/>
        </w:rPr>
        <w:t>, 1109–1113. 10.1126/science.1248361.</w:t>
      </w:r>
    </w:p>
    <w:p w14:paraId="590E6AE7" w14:textId="77777777" w:rsidR="005F1930" w:rsidRPr="005F1930" w:rsidRDefault="005F1930" w:rsidP="005F1930">
      <w:pPr>
        <w:pStyle w:val="Bibliography"/>
        <w:rPr>
          <w:rFonts w:ascii="Calibri" w:hAnsi="Calibri" w:cs="Calibri"/>
        </w:rPr>
      </w:pPr>
      <w:r w:rsidRPr="005F1930">
        <w:rPr>
          <w:rFonts w:ascii="Calibri" w:hAnsi="Calibri" w:cs="Calibri"/>
        </w:rPr>
        <w:t>41.</w:t>
      </w:r>
      <w:r w:rsidRPr="005F1930">
        <w:rPr>
          <w:rFonts w:ascii="Calibri" w:hAnsi="Calibri" w:cs="Calibri"/>
        </w:rPr>
        <w:tab/>
        <w:t xml:space="preserve">Wernet, G., Bauer, C., Steubing, B., Reinhard, J., Moreno-Ruiz, E., and Weidema, B. (2016). The ecoinvent database version 3 (part I): overview and methodology. Int J Life Cycle Assess </w:t>
      </w:r>
      <w:r w:rsidRPr="005F1930">
        <w:rPr>
          <w:rFonts w:ascii="Calibri" w:hAnsi="Calibri" w:cs="Calibri"/>
          <w:i/>
          <w:iCs/>
        </w:rPr>
        <w:t>21</w:t>
      </w:r>
      <w:r w:rsidRPr="005F1930">
        <w:rPr>
          <w:rFonts w:ascii="Calibri" w:hAnsi="Calibri" w:cs="Calibri"/>
        </w:rPr>
        <w:t>, 1218–1230. 10.1007/s11367-016-1087-8.</w:t>
      </w:r>
    </w:p>
    <w:p w14:paraId="192815C8" w14:textId="77777777" w:rsidR="005F1930" w:rsidRPr="005F1930" w:rsidRDefault="005F1930" w:rsidP="005F1930">
      <w:pPr>
        <w:pStyle w:val="Bibliography"/>
        <w:rPr>
          <w:rFonts w:ascii="Calibri" w:hAnsi="Calibri" w:cs="Calibri"/>
        </w:rPr>
      </w:pPr>
      <w:r w:rsidRPr="005F1930">
        <w:rPr>
          <w:rFonts w:ascii="Calibri" w:hAnsi="Calibri" w:cs="Calibri"/>
        </w:rPr>
        <w:t>42.</w:t>
      </w:r>
      <w:r w:rsidRPr="005F1930">
        <w:rPr>
          <w:rFonts w:ascii="Calibri" w:hAnsi="Calibri" w:cs="Calibri"/>
        </w:rPr>
        <w:tab/>
        <w:t xml:space="preserve">Huijbregts, M.A.J., Steinmann, Z.J.N., Elshout, P.M.F., Stam, G., Verones, F., Vieira, M., Zijp, M., Hollander, A., and van Zelm, R. (2017). ReCiPe2016: a harmonised life cycle impact assessment method at midpoint and endpoint level. Int J Life Cycle Assess </w:t>
      </w:r>
      <w:r w:rsidRPr="005F1930">
        <w:rPr>
          <w:rFonts w:ascii="Calibri" w:hAnsi="Calibri" w:cs="Calibri"/>
          <w:i/>
          <w:iCs/>
        </w:rPr>
        <w:t>22</w:t>
      </w:r>
      <w:r w:rsidRPr="005F1930">
        <w:rPr>
          <w:rFonts w:ascii="Calibri" w:hAnsi="Calibri" w:cs="Calibri"/>
        </w:rPr>
        <w:t>, 138–147. 10.1007/s11367-016-1246-y.</w:t>
      </w:r>
    </w:p>
    <w:p w14:paraId="7407DDAC" w14:textId="5638934D"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2537D769" w14:textId="77777777" w:rsidR="001E7F75" w:rsidRPr="002D4245" w:rsidRDefault="001E7F75" w:rsidP="001E7F75">
      <w:pPr>
        <w:rPr>
          <w:rFonts w:cstheme="minorHAnsi"/>
        </w:rPr>
      </w:pPr>
    </w:p>
    <w:p w14:paraId="3E5E63D5" w14:textId="54E95594" w:rsidR="00671FD0" w:rsidRPr="002D4245" w:rsidRDefault="00671FD0">
      <w:pPr>
        <w:rPr>
          <w:rFonts w:cstheme="minorHAnsi"/>
        </w:rPr>
      </w:pPr>
    </w:p>
    <w:p w14:paraId="026A5C25" w14:textId="77777777" w:rsidR="001628DE" w:rsidRPr="002D4245" w:rsidRDefault="001628DE">
      <w:pPr>
        <w:rPr>
          <w:rFonts w:cstheme="minorHAnsi"/>
          <w:b/>
          <w:bCs/>
          <w:u w:val="single"/>
        </w:rPr>
      </w:pPr>
    </w:p>
    <w:p w14:paraId="35338DE4" w14:textId="77777777" w:rsidR="001628DE" w:rsidRPr="002D4245" w:rsidRDefault="001628DE">
      <w:pPr>
        <w:rPr>
          <w:rFonts w:cstheme="minorHAnsi"/>
          <w:b/>
          <w:bCs/>
          <w:u w:val="single"/>
        </w:rPr>
      </w:pPr>
    </w:p>
    <w:p w14:paraId="7D1DBE06" w14:textId="77777777" w:rsidR="001628DE" w:rsidRPr="002D4245" w:rsidRDefault="001628DE">
      <w:pPr>
        <w:rPr>
          <w:rFonts w:cstheme="minorHAnsi"/>
          <w:b/>
          <w:bCs/>
          <w:u w:val="single"/>
        </w:rPr>
      </w:pPr>
    </w:p>
    <w:p w14:paraId="710C32DE" w14:textId="77777777" w:rsidR="001628DE" w:rsidRPr="002D4245" w:rsidRDefault="001628DE">
      <w:pPr>
        <w:rPr>
          <w:rFonts w:cstheme="minorHAnsi"/>
          <w:b/>
          <w:bCs/>
          <w:u w:val="single"/>
        </w:rPr>
      </w:pPr>
    </w:p>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strate  Ioan-Robert" w:date="2023-01-09T15:08:00Z" w:initials="II">
    <w:p w14:paraId="07D8B3FD" w14:textId="7CDE8585" w:rsidR="00115912" w:rsidRDefault="00115912">
      <w:pPr>
        <w:pStyle w:val="CommentText"/>
      </w:pPr>
      <w:r>
        <w:rPr>
          <w:rStyle w:val="CommentReference"/>
        </w:rPr>
        <w:annotationRef/>
      </w:r>
      <w:r>
        <w:t>Tentative</w:t>
      </w:r>
    </w:p>
  </w:comment>
  <w:comment w:id="1" w:author="Istrate  Ioan-Robert" w:date="2023-01-18T12:46:00Z" w:initials="II">
    <w:p w14:paraId="1962F4E4" w14:textId="19D75B98" w:rsidR="00115912" w:rsidRPr="002333D4" w:rsidRDefault="00115912">
      <w:pPr>
        <w:pStyle w:val="CommentText"/>
      </w:pPr>
      <w:r>
        <w:rPr>
          <w:rStyle w:val="CommentReference"/>
        </w:rPr>
        <w:annotationRef/>
      </w:r>
      <w:r>
        <w:t>In general, we use the compound name (ammonia, hydrogen, …), but for CO</w:t>
      </w:r>
      <w:r w:rsidRPr="002333D4">
        <w:rPr>
          <w:vertAlign w:val="subscript"/>
        </w:rPr>
        <w:t>2</w:t>
      </w:r>
      <w:r>
        <w:t xml:space="preserve"> the formula looks more appropriate, at least for me</w:t>
      </w:r>
    </w:p>
  </w:comment>
  <w:comment w:id="2" w:author="Istrate  Ioan-Robert" w:date="2023-01-18T15:34:00Z" w:initials="II">
    <w:p w14:paraId="28BC0139" w14:textId="5A980F48" w:rsidR="0032541A" w:rsidRDefault="0032541A">
      <w:pPr>
        <w:pStyle w:val="CommentText"/>
      </w:pPr>
      <w:r>
        <w:rPr>
          <w:rStyle w:val="CommentReference"/>
        </w:rPr>
        <w:annotationRef/>
      </w:r>
      <w:r>
        <w:t>Now I am not sure if we should use EUR since we are talking about Europe…</w:t>
      </w:r>
    </w:p>
  </w:comment>
  <w:comment w:id="3" w:author="Istrate  Ioan-Robert" w:date="2023-01-12T16:29:00Z" w:initials="II">
    <w:p w14:paraId="05588225" w14:textId="059541C0" w:rsidR="00115912" w:rsidRDefault="00115912">
      <w:pPr>
        <w:pStyle w:val="CommentText"/>
      </w:pPr>
      <w:r>
        <w:rPr>
          <w:rStyle w:val="CommentReference"/>
        </w:rPr>
        <w:annotationRef/>
      </w:r>
      <w:r>
        <w:t>The spot price is the price that new supply contracts have to pay for gas. This means that we calculate a “production cost for fossil ammonia” using natural gas based on a new contract. If a company already has a contract, they will certainly pay less for that gas, and the production cost will also decrease. That’s why our estimates do not exactly match reports.</w:t>
      </w:r>
    </w:p>
    <w:p w14:paraId="2F73D5EC" w14:textId="77777777" w:rsidR="00115912" w:rsidRDefault="00115912">
      <w:pPr>
        <w:pStyle w:val="CommentText"/>
      </w:pPr>
    </w:p>
    <w:p w14:paraId="50F0620A" w14:textId="5B3C4E27" w:rsidR="00115912" w:rsidRDefault="00115912">
      <w:pPr>
        <w:pStyle w:val="CommentText"/>
      </w:pPr>
      <w:r>
        <w:t>Should we clarify further this concept, or perhaps saying that we use “natural gas sport prices” is enough?</w:t>
      </w:r>
    </w:p>
  </w:comment>
  <w:comment w:id="10" w:author="Istrate  Ioan-Robert" w:date="2023-01-18T11:58:00Z" w:initials="II">
    <w:p w14:paraId="1EF18607" w14:textId="786FBD87" w:rsidR="00115912" w:rsidRDefault="00115912">
      <w:pPr>
        <w:pStyle w:val="CommentText"/>
      </w:pPr>
      <w:r>
        <w:rPr>
          <w:rStyle w:val="CommentReference"/>
        </w:rPr>
        <w:annotationRef/>
      </w:r>
      <w:r>
        <w:t>This part could be (partially) moved to supporting information</w:t>
      </w:r>
    </w:p>
  </w:comment>
  <w:comment w:id="11" w:author="Istrate  Ioan-Robert" w:date="2023-01-18T12:42:00Z" w:initials="II">
    <w:p w14:paraId="7355BB9F" w14:textId="3184A683" w:rsidR="00115912" w:rsidRDefault="00115912">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D8B3FD" w15:done="0"/>
  <w15:commentEx w15:paraId="1962F4E4" w15:done="0"/>
  <w15:commentEx w15:paraId="28BC0139" w15:done="0"/>
  <w15:commentEx w15:paraId="50F0620A" w15:done="0"/>
  <w15:commentEx w15:paraId="1EF18607" w15:done="0"/>
  <w15:commentEx w15:paraId="7355BB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D8B3FD" w16cid:durableId="2766AC84"/>
  <w16cid:commentId w16cid:paraId="1962F4E4" w16cid:durableId="2772689E"/>
  <w16cid:commentId w16cid:paraId="28BC0139" w16cid:durableId="27729008"/>
  <w16cid:commentId w16cid:paraId="50F0620A" w16cid:durableId="276AB401"/>
  <w16cid:commentId w16cid:paraId="1EF18607" w16cid:durableId="27725D7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A945C" w14:textId="77777777" w:rsidR="00293C28" w:rsidRDefault="00293C28" w:rsidP="002A631C">
      <w:pPr>
        <w:spacing w:after="0" w:line="240" w:lineRule="auto"/>
      </w:pPr>
      <w:r>
        <w:separator/>
      </w:r>
    </w:p>
  </w:endnote>
  <w:endnote w:type="continuationSeparator" w:id="0">
    <w:p w14:paraId="5417EBBD" w14:textId="77777777" w:rsidR="00293C28" w:rsidRDefault="00293C28"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417495"/>
      <w:docPartObj>
        <w:docPartGallery w:val="Page Numbers (Bottom of Page)"/>
        <w:docPartUnique/>
      </w:docPartObj>
    </w:sdtPr>
    <w:sdtEndPr>
      <w:rPr>
        <w:noProof/>
      </w:rPr>
    </w:sdtEndPr>
    <w:sdtContent>
      <w:p w14:paraId="201C9ECE" w14:textId="2D298A8B" w:rsidR="00115912" w:rsidRDefault="001159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CFEED" w14:textId="77777777" w:rsidR="00115912" w:rsidRDefault="00115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6AA27" w14:textId="77777777" w:rsidR="00293C28" w:rsidRDefault="00293C28" w:rsidP="002A631C">
      <w:pPr>
        <w:spacing w:after="0" w:line="240" w:lineRule="auto"/>
      </w:pPr>
      <w:r>
        <w:separator/>
      </w:r>
    </w:p>
  </w:footnote>
  <w:footnote w:type="continuationSeparator" w:id="0">
    <w:p w14:paraId="3E9D9107" w14:textId="77777777" w:rsidR="00293C28" w:rsidRDefault="00293C28"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491500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B3"/>
    <w:rsid w:val="00001A4D"/>
    <w:rsid w:val="00001FFA"/>
    <w:rsid w:val="00002D89"/>
    <w:rsid w:val="00004810"/>
    <w:rsid w:val="00012910"/>
    <w:rsid w:val="00013B03"/>
    <w:rsid w:val="00014713"/>
    <w:rsid w:val="0001575A"/>
    <w:rsid w:val="00015CEB"/>
    <w:rsid w:val="000175F0"/>
    <w:rsid w:val="000238FA"/>
    <w:rsid w:val="00023E81"/>
    <w:rsid w:val="000247B2"/>
    <w:rsid w:val="000253EC"/>
    <w:rsid w:val="0002704D"/>
    <w:rsid w:val="000277AB"/>
    <w:rsid w:val="000279AB"/>
    <w:rsid w:val="0003077A"/>
    <w:rsid w:val="00032848"/>
    <w:rsid w:val="00032A19"/>
    <w:rsid w:val="000346FE"/>
    <w:rsid w:val="00036286"/>
    <w:rsid w:val="000366A3"/>
    <w:rsid w:val="00045B30"/>
    <w:rsid w:val="000466F2"/>
    <w:rsid w:val="00046F5B"/>
    <w:rsid w:val="000500CC"/>
    <w:rsid w:val="00051241"/>
    <w:rsid w:val="000519FC"/>
    <w:rsid w:val="000522CD"/>
    <w:rsid w:val="0006104F"/>
    <w:rsid w:val="00061AF5"/>
    <w:rsid w:val="00061CCD"/>
    <w:rsid w:val="00062363"/>
    <w:rsid w:val="00063026"/>
    <w:rsid w:val="0006430D"/>
    <w:rsid w:val="00064B3A"/>
    <w:rsid w:val="00064C9F"/>
    <w:rsid w:val="00070710"/>
    <w:rsid w:val="0007353B"/>
    <w:rsid w:val="000735AE"/>
    <w:rsid w:val="00073AC9"/>
    <w:rsid w:val="00073B40"/>
    <w:rsid w:val="0007621A"/>
    <w:rsid w:val="00077882"/>
    <w:rsid w:val="00081C68"/>
    <w:rsid w:val="000836A4"/>
    <w:rsid w:val="00085466"/>
    <w:rsid w:val="00091FFC"/>
    <w:rsid w:val="00093282"/>
    <w:rsid w:val="00094229"/>
    <w:rsid w:val="000947D3"/>
    <w:rsid w:val="000947E4"/>
    <w:rsid w:val="00094D81"/>
    <w:rsid w:val="00096143"/>
    <w:rsid w:val="00097071"/>
    <w:rsid w:val="000A0492"/>
    <w:rsid w:val="000A178B"/>
    <w:rsid w:val="000A1941"/>
    <w:rsid w:val="000A1944"/>
    <w:rsid w:val="000A1EBD"/>
    <w:rsid w:val="000A3052"/>
    <w:rsid w:val="000A4659"/>
    <w:rsid w:val="000A501C"/>
    <w:rsid w:val="000A56C5"/>
    <w:rsid w:val="000A5E68"/>
    <w:rsid w:val="000A6360"/>
    <w:rsid w:val="000A72AC"/>
    <w:rsid w:val="000A7A7A"/>
    <w:rsid w:val="000B0F25"/>
    <w:rsid w:val="000B7631"/>
    <w:rsid w:val="000C0EC0"/>
    <w:rsid w:val="000C2370"/>
    <w:rsid w:val="000C2660"/>
    <w:rsid w:val="000C30D0"/>
    <w:rsid w:val="000C35A9"/>
    <w:rsid w:val="000C3ED1"/>
    <w:rsid w:val="000C5361"/>
    <w:rsid w:val="000C5508"/>
    <w:rsid w:val="000C58D8"/>
    <w:rsid w:val="000C5D77"/>
    <w:rsid w:val="000D0B24"/>
    <w:rsid w:val="000D285D"/>
    <w:rsid w:val="000D2E36"/>
    <w:rsid w:val="000D4892"/>
    <w:rsid w:val="000D5D74"/>
    <w:rsid w:val="000E0091"/>
    <w:rsid w:val="000E03AE"/>
    <w:rsid w:val="000E0E67"/>
    <w:rsid w:val="000E29FE"/>
    <w:rsid w:val="000E2DD5"/>
    <w:rsid w:val="000E58BA"/>
    <w:rsid w:val="000E5AE6"/>
    <w:rsid w:val="000E5C33"/>
    <w:rsid w:val="000E73B0"/>
    <w:rsid w:val="000E7B3C"/>
    <w:rsid w:val="000F0BBD"/>
    <w:rsid w:val="000F0C08"/>
    <w:rsid w:val="000F1397"/>
    <w:rsid w:val="000F5616"/>
    <w:rsid w:val="000F5CDC"/>
    <w:rsid w:val="000F6B67"/>
    <w:rsid w:val="001007F1"/>
    <w:rsid w:val="00101FA4"/>
    <w:rsid w:val="001021A7"/>
    <w:rsid w:val="00102519"/>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425E"/>
    <w:rsid w:val="0012681B"/>
    <w:rsid w:val="00126B72"/>
    <w:rsid w:val="00132F0B"/>
    <w:rsid w:val="00132FB9"/>
    <w:rsid w:val="00133F22"/>
    <w:rsid w:val="00134A08"/>
    <w:rsid w:val="00135ADB"/>
    <w:rsid w:val="00135D1F"/>
    <w:rsid w:val="00136C6E"/>
    <w:rsid w:val="001373B2"/>
    <w:rsid w:val="00140FAC"/>
    <w:rsid w:val="00141891"/>
    <w:rsid w:val="00144686"/>
    <w:rsid w:val="00144D7F"/>
    <w:rsid w:val="00146020"/>
    <w:rsid w:val="00146AE2"/>
    <w:rsid w:val="00147AF5"/>
    <w:rsid w:val="00147B4D"/>
    <w:rsid w:val="00150761"/>
    <w:rsid w:val="00151657"/>
    <w:rsid w:val="00153579"/>
    <w:rsid w:val="00155243"/>
    <w:rsid w:val="00156215"/>
    <w:rsid w:val="00160741"/>
    <w:rsid w:val="00160A55"/>
    <w:rsid w:val="001625F7"/>
    <w:rsid w:val="001628DE"/>
    <w:rsid w:val="001648B9"/>
    <w:rsid w:val="00166F08"/>
    <w:rsid w:val="001677EF"/>
    <w:rsid w:val="00167A14"/>
    <w:rsid w:val="00171E3F"/>
    <w:rsid w:val="0017207B"/>
    <w:rsid w:val="00173935"/>
    <w:rsid w:val="001750AD"/>
    <w:rsid w:val="00177D33"/>
    <w:rsid w:val="00180B01"/>
    <w:rsid w:val="00181730"/>
    <w:rsid w:val="001846F7"/>
    <w:rsid w:val="00184C16"/>
    <w:rsid w:val="0018659B"/>
    <w:rsid w:val="0019276C"/>
    <w:rsid w:val="0019352F"/>
    <w:rsid w:val="00194D64"/>
    <w:rsid w:val="00196D07"/>
    <w:rsid w:val="00196E0C"/>
    <w:rsid w:val="001A1682"/>
    <w:rsid w:val="001A31CE"/>
    <w:rsid w:val="001A370C"/>
    <w:rsid w:val="001B0751"/>
    <w:rsid w:val="001B077B"/>
    <w:rsid w:val="001B0E60"/>
    <w:rsid w:val="001B2E2D"/>
    <w:rsid w:val="001B33C0"/>
    <w:rsid w:val="001B41D7"/>
    <w:rsid w:val="001B581E"/>
    <w:rsid w:val="001C1BAA"/>
    <w:rsid w:val="001C1D8A"/>
    <w:rsid w:val="001C1F1B"/>
    <w:rsid w:val="001C2091"/>
    <w:rsid w:val="001C3CF5"/>
    <w:rsid w:val="001C616B"/>
    <w:rsid w:val="001C71B3"/>
    <w:rsid w:val="001D0A9B"/>
    <w:rsid w:val="001D0AF8"/>
    <w:rsid w:val="001D2477"/>
    <w:rsid w:val="001D2B7D"/>
    <w:rsid w:val="001D3C27"/>
    <w:rsid w:val="001D53D7"/>
    <w:rsid w:val="001D58A4"/>
    <w:rsid w:val="001D7187"/>
    <w:rsid w:val="001D7691"/>
    <w:rsid w:val="001E0186"/>
    <w:rsid w:val="001E1847"/>
    <w:rsid w:val="001E2C7B"/>
    <w:rsid w:val="001E7F75"/>
    <w:rsid w:val="001F3D1E"/>
    <w:rsid w:val="001F470A"/>
    <w:rsid w:val="001F52D5"/>
    <w:rsid w:val="001F6399"/>
    <w:rsid w:val="001F760C"/>
    <w:rsid w:val="002020A2"/>
    <w:rsid w:val="00203937"/>
    <w:rsid w:val="0020429F"/>
    <w:rsid w:val="00207CE4"/>
    <w:rsid w:val="00210D1B"/>
    <w:rsid w:val="00210F39"/>
    <w:rsid w:val="002153FF"/>
    <w:rsid w:val="00216AD9"/>
    <w:rsid w:val="00216FE0"/>
    <w:rsid w:val="002176A5"/>
    <w:rsid w:val="00223E0E"/>
    <w:rsid w:val="002264D1"/>
    <w:rsid w:val="0023259B"/>
    <w:rsid w:val="002326BA"/>
    <w:rsid w:val="00233154"/>
    <w:rsid w:val="002333D4"/>
    <w:rsid w:val="002365E1"/>
    <w:rsid w:val="0023704E"/>
    <w:rsid w:val="00240B65"/>
    <w:rsid w:val="00240B68"/>
    <w:rsid w:val="00245864"/>
    <w:rsid w:val="00246254"/>
    <w:rsid w:val="00247B8C"/>
    <w:rsid w:val="00247E38"/>
    <w:rsid w:val="00250F27"/>
    <w:rsid w:val="002515EC"/>
    <w:rsid w:val="00251F8E"/>
    <w:rsid w:val="00251FB6"/>
    <w:rsid w:val="00252D13"/>
    <w:rsid w:val="002534BF"/>
    <w:rsid w:val="00260834"/>
    <w:rsid w:val="00260B78"/>
    <w:rsid w:val="0026519D"/>
    <w:rsid w:val="00267F44"/>
    <w:rsid w:val="00272928"/>
    <w:rsid w:val="0027473F"/>
    <w:rsid w:val="0027529E"/>
    <w:rsid w:val="00275F59"/>
    <w:rsid w:val="00276B54"/>
    <w:rsid w:val="00280B3C"/>
    <w:rsid w:val="002824A2"/>
    <w:rsid w:val="00284AD1"/>
    <w:rsid w:val="002869EE"/>
    <w:rsid w:val="002876FE"/>
    <w:rsid w:val="00291194"/>
    <w:rsid w:val="00293C28"/>
    <w:rsid w:val="00293DFD"/>
    <w:rsid w:val="00294F9F"/>
    <w:rsid w:val="002A4D0E"/>
    <w:rsid w:val="002A631C"/>
    <w:rsid w:val="002A71F1"/>
    <w:rsid w:val="002B0EBF"/>
    <w:rsid w:val="002B1555"/>
    <w:rsid w:val="002B1FC8"/>
    <w:rsid w:val="002B29CD"/>
    <w:rsid w:val="002B5285"/>
    <w:rsid w:val="002C2A0F"/>
    <w:rsid w:val="002C4240"/>
    <w:rsid w:val="002C43CA"/>
    <w:rsid w:val="002C572F"/>
    <w:rsid w:val="002C690E"/>
    <w:rsid w:val="002D2045"/>
    <w:rsid w:val="002D224F"/>
    <w:rsid w:val="002D2997"/>
    <w:rsid w:val="002D2EAD"/>
    <w:rsid w:val="002D3068"/>
    <w:rsid w:val="002D3AE5"/>
    <w:rsid w:val="002D4245"/>
    <w:rsid w:val="002D452C"/>
    <w:rsid w:val="002D6005"/>
    <w:rsid w:val="002E0BC0"/>
    <w:rsid w:val="002E2848"/>
    <w:rsid w:val="002E3C15"/>
    <w:rsid w:val="002E6198"/>
    <w:rsid w:val="002E6724"/>
    <w:rsid w:val="002E6830"/>
    <w:rsid w:val="002E69AD"/>
    <w:rsid w:val="002E7BB6"/>
    <w:rsid w:val="002F17B1"/>
    <w:rsid w:val="002F2054"/>
    <w:rsid w:val="002F2DCE"/>
    <w:rsid w:val="002F6EF1"/>
    <w:rsid w:val="002F74AE"/>
    <w:rsid w:val="00300F95"/>
    <w:rsid w:val="003017A1"/>
    <w:rsid w:val="0030241D"/>
    <w:rsid w:val="003037CA"/>
    <w:rsid w:val="003049C8"/>
    <w:rsid w:val="00304CB7"/>
    <w:rsid w:val="00304F55"/>
    <w:rsid w:val="003067B3"/>
    <w:rsid w:val="00307C3A"/>
    <w:rsid w:val="00307E2E"/>
    <w:rsid w:val="0031010E"/>
    <w:rsid w:val="0031146E"/>
    <w:rsid w:val="003117B3"/>
    <w:rsid w:val="00311BDD"/>
    <w:rsid w:val="003125FD"/>
    <w:rsid w:val="00314C61"/>
    <w:rsid w:val="0032053A"/>
    <w:rsid w:val="0032101F"/>
    <w:rsid w:val="00322EBB"/>
    <w:rsid w:val="00324ECA"/>
    <w:rsid w:val="0032541A"/>
    <w:rsid w:val="0032779E"/>
    <w:rsid w:val="0033078E"/>
    <w:rsid w:val="00336043"/>
    <w:rsid w:val="00337429"/>
    <w:rsid w:val="00337DDF"/>
    <w:rsid w:val="0034108D"/>
    <w:rsid w:val="00341809"/>
    <w:rsid w:val="00343FF2"/>
    <w:rsid w:val="00345C04"/>
    <w:rsid w:val="00351918"/>
    <w:rsid w:val="003533ED"/>
    <w:rsid w:val="00354C3F"/>
    <w:rsid w:val="003556F1"/>
    <w:rsid w:val="00361853"/>
    <w:rsid w:val="003623C8"/>
    <w:rsid w:val="00363BA3"/>
    <w:rsid w:val="00364248"/>
    <w:rsid w:val="003643FF"/>
    <w:rsid w:val="00364935"/>
    <w:rsid w:val="003662E1"/>
    <w:rsid w:val="00366713"/>
    <w:rsid w:val="0037284E"/>
    <w:rsid w:val="00373198"/>
    <w:rsid w:val="003764EE"/>
    <w:rsid w:val="00376A94"/>
    <w:rsid w:val="00376FD0"/>
    <w:rsid w:val="00380264"/>
    <w:rsid w:val="0038052A"/>
    <w:rsid w:val="00381EC4"/>
    <w:rsid w:val="003861A5"/>
    <w:rsid w:val="00387B9A"/>
    <w:rsid w:val="00387F50"/>
    <w:rsid w:val="00390619"/>
    <w:rsid w:val="00390D9B"/>
    <w:rsid w:val="00392796"/>
    <w:rsid w:val="00392874"/>
    <w:rsid w:val="00392A37"/>
    <w:rsid w:val="00392C64"/>
    <w:rsid w:val="0039365E"/>
    <w:rsid w:val="00393913"/>
    <w:rsid w:val="00394E6C"/>
    <w:rsid w:val="00396AC1"/>
    <w:rsid w:val="003A011B"/>
    <w:rsid w:val="003A15D9"/>
    <w:rsid w:val="003A22FD"/>
    <w:rsid w:val="003A3476"/>
    <w:rsid w:val="003A38F4"/>
    <w:rsid w:val="003A5152"/>
    <w:rsid w:val="003B10D9"/>
    <w:rsid w:val="003B1EFF"/>
    <w:rsid w:val="003B32A4"/>
    <w:rsid w:val="003B4100"/>
    <w:rsid w:val="003B515C"/>
    <w:rsid w:val="003B550A"/>
    <w:rsid w:val="003B5E6A"/>
    <w:rsid w:val="003C09B1"/>
    <w:rsid w:val="003C184A"/>
    <w:rsid w:val="003C2A85"/>
    <w:rsid w:val="003C4878"/>
    <w:rsid w:val="003D035E"/>
    <w:rsid w:val="003D12AD"/>
    <w:rsid w:val="003D374E"/>
    <w:rsid w:val="003D61B8"/>
    <w:rsid w:val="003E33DC"/>
    <w:rsid w:val="003E5363"/>
    <w:rsid w:val="003E7F9B"/>
    <w:rsid w:val="003F12EC"/>
    <w:rsid w:val="003F1A99"/>
    <w:rsid w:val="003F1E2D"/>
    <w:rsid w:val="003F2E1B"/>
    <w:rsid w:val="003F35EE"/>
    <w:rsid w:val="003F4649"/>
    <w:rsid w:val="003F50D6"/>
    <w:rsid w:val="003F6777"/>
    <w:rsid w:val="003F74CD"/>
    <w:rsid w:val="003F768C"/>
    <w:rsid w:val="00401A3D"/>
    <w:rsid w:val="004029B8"/>
    <w:rsid w:val="0040474A"/>
    <w:rsid w:val="00404E6E"/>
    <w:rsid w:val="004053B2"/>
    <w:rsid w:val="00406C04"/>
    <w:rsid w:val="00412767"/>
    <w:rsid w:val="00413BA7"/>
    <w:rsid w:val="00414BB3"/>
    <w:rsid w:val="00414FE7"/>
    <w:rsid w:val="00415BD1"/>
    <w:rsid w:val="00417EB4"/>
    <w:rsid w:val="00420CF7"/>
    <w:rsid w:val="00421742"/>
    <w:rsid w:val="00421ABD"/>
    <w:rsid w:val="00421D38"/>
    <w:rsid w:val="00430512"/>
    <w:rsid w:val="00430B9D"/>
    <w:rsid w:val="00430D02"/>
    <w:rsid w:val="004312A4"/>
    <w:rsid w:val="004351AE"/>
    <w:rsid w:val="00441286"/>
    <w:rsid w:val="004433BC"/>
    <w:rsid w:val="004436B9"/>
    <w:rsid w:val="004440D0"/>
    <w:rsid w:val="00444DDB"/>
    <w:rsid w:val="004452B4"/>
    <w:rsid w:val="00446231"/>
    <w:rsid w:val="004511FF"/>
    <w:rsid w:val="00451FCE"/>
    <w:rsid w:val="00453735"/>
    <w:rsid w:val="004539EB"/>
    <w:rsid w:val="00455D7A"/>
    <w:rsid w:val="00461772"/>
    <w:rsid w:val="00462570"/>
    <w:rsid w:val="00462ACC"/>
    <w:rsid w:val="004630C1"/>
    <w:rsid w:val="00463D5F"/>
    <w:rsid w:val="00466085"/>
    <w:rsid w:val="00467D9C"/>
    <w:rsid w:val="004702A8"/>
    <w:rsid w:val="00470EC8"/>
    <w:rsid w:val="00471E59"/>
    <w:rsid w:val="00473058"/>
    <w:rsid w:val="0047337E"/>
    <w:rsid w:val="004738C8"/>
    <w:rsid w:val="00474FC5"/>
    <w:rsid w:val="004757F3"/>
    <w:rsid w:val="00483262"/>
    <w:rsid w:val="00483983"/>
    <w:rsid w:val="00484A22"/>
    <w:rsid w:val="00485880"/>
    <w:rsid w:val="004862D6"/>
    <w:rsid w:val="00486D03"/>
    <w:rsid w:val="0048794A"/>
    <w:rsid w:val="004908FD"/>
    <w:rsid w:val="00490ACB"/>
    <w:rsid w:val="00492272"/>
    <w:rsid w:val="00493FDE"/>
    <w:rsid w:val="004972D7"/>
    <w:rsid w:val="004A0F28"/>
    <w:rsid w:val="004A1474"/>
    <w:rsid w:val="004A165B"/>
    <w:rsid w:val="004A450E"/>
    <w:rsid w:val="004A4E34"/>
    <w:rsid w:val="004A4FC7"/>
    <w:rsid w:val="004A55D2"/>
    <w:rsid w:val="004A5AD1"/>
    <w:rsid w:val="004B2DED"/>
    <w:rsid w:val="004B50EC"/>
    <w:rsid w:val="004B5784"/>
    <w:rsid w:val="004B66FC"/>
    <w:rsid w:val="004B7BA1"/>
    <w:rsid w:val="004C180B"/>
    <w:rsid w:val="004C3412"/>
    <w:rsid w:val="004C49D8"/>
    <w:rsid w:val="004C5F8B"/>
    <w:rsid w:val="004C62C5"/>
    <w:rsid w:val="004C6C41"/>
    <w:rsid w:val="004D0C12"/>
    <w:rsid w:val="004D0C8F"/>
    <w:rsid w:val="004D14FD"/>
    <w:rsid w:val="004D4929"/>
    <w:rsid w:val="004D4B9E"/>
    <w:rsid w:val="004D53EA"/>
    <w:rsid w:val="004D6D9E"/>
    <w:rsid w:val="004D750B"/>
    <w:rsid w:val="004D77EC"/>
    <w:rsid w:val="004E47F9"/>
    <w:rsid w:val="004E4BF1"/>
    <w:rsid w:val="004E4EAE"/>
    <w:rsid w:val="004E544D"/>
    <w:rsid w:val="004E6A1C"/>
    <w:rsid w:val="004E6A61"/>
    <w:rsid w:val="004E6B57"/>
    <w:rsid w:val="004E7D23"/>
    <w:rsid w:val="004F019D"/>
    <w:rsid w:val="004F144A"/>
    <w:rsid w:val="004F2A3A"/>
    <w:rsid w:val="004F3DEE"/>
    <w:rsid w:val="004F3E6A"/>
    <w:rsid w:val="004F54FA"/>
    <w:rsid w:val="004F6611"/>
    <w:rsid w:val="0050051A"/>
    <w:rsid w:val="00500964"/>
    <w:rsid w:val="00501D82"/>
    <w:rsid w:val="005023E9"/>
    <w:rsid w:val="005047B8"/>
    <w:rsid w:val="00506B71"/>
    <w:rsid w:val="00506E3C"/>
    <w:rsid w:val="005074F9"/>
    <w:rsid w:val="005125AC"/>
    <w:rsid w:val="00512718"/>
    <w:rsid w:val="00516A6B"/>
    <w:rsid w:val="00523F78"/>
    <w:rsid w:val="00524222"/>
    <w:rsid w:val="0052453D"/>
    <w:rsid w:val="005251B7"/>
    <w:rsid w:val="005260C6"/>
    <w:rsid w:val="00526139"/>
    <w:rsid w:val="005263C8"/>
    <w:rsid w:val="005306DC"/>
    <w:rsid w:val="0053268A"/>
    <w:rsid w:val="0053432C"/>
    <w:rsid w:val="0053561C"/>
    <w:rsid w:val="005370E7"/>
    <w:rsid w:val="00544823"/>
    <w:rsid w:val="0054652C"/>
    <w:rsid w:val="00547380"/>
    <w:rsid w:val="00547463"/>
    <w:rsid w:val="00547AE3"/>
    <w:rsid w:val="00550331"/>
    <w:rsid w:val="005506D0"/>
    <w:rsid w:val="00551294"/>
    <w:rsid w:val="0055145D"/>
    <w:rsid w:val="00551764"/>
    <w:rsid w:val="00551DB6"/>
    <w:rsid w:val="00552FDD"/>
    <w:rsid w:val="00553D11"/>
    <w:rsid w:val="00561841"/>
    <w:rsid w:val="00562B42"/>
    <w:rsid w:val="0056304D"/>
    <w:rsid w:val="005647DF"/>
    <w:rsid w:val="005651EB"/>
    <w:rsid w:val="0056690C"/>
    <w:rsid w:val="00567DD9"/>
    <w:rsid w:val="00571591"/>
    <w:rsid w:val="00572F40"/>
    <w:rsid w:val="00574A4B"/>
    <w:rsid w:val="005755B3"/>
    <w:rsid w:val="005766DE"/>
    <w:rsid w:val="00577438"/>
    <w:rsid w:val="00580B17"/>
    <w:rsid w:val="00580E32"/>
    <w:rsid w:val="00583583"/>
    <w:rsid w:val="00584969"/>
    <w:rsid w:val="00584FD7"/>
    <w:rsid w:val="00585AB2"/>
    <w:rsid w:val="00585DE5"/>
    <w:rsid w:val="005908B2"/>
    <w:rsid w:val="00590A44"/>
    <w:rsid w:val="00591C6B"/>
    <w:rsid w:val="005929EE"/>
    <w:rsid w:val="005953DF"/>
    <w:rsid w:val="0059699A"/>
    <w:rsid w:val="005A2C89"/>
    <w:rsid w:val="005A3607"/>
    <w:rsid w:val="005B41AC"/>
    <w:rsid w:val="005B4B73"/>
    <w:rsid w:val="005B4E24"/>
    <w:rsid w:val="005B5B16"/>
    <w:rsid w:val="005B6DEB"/>
    <w:rsid w:val="005C153A"/>
    <w:rsid w:val="005C44A2"/>
    <w:rsid w:val="005C51B8"/>
    <w:rsid w:val="005C7018"/>
    <w:rsid w:val="005D053D"/>
    <w:rsid w:val="005D3B1A"/>
    <w:rsid w:val="005D45B1"/>
    <w:rsid w:val="005D504A"/>
    <w:rsid w:val="005D733E"/>
    <w:rsid w:val="005D7ADD"/>
    <w:rsid w:val="005E0E3C"/>
    <w:rsid w:val="005E29B7"/>
    <w:rsid w:val="005E2B2D"/>
    <w:rsid w:val="005E32C2"/>
    <w:rsid w:val="005E6628"/>
    <w:rsid w:val="005F1930"/>
    <w:rsid w:val="005F33E2"/>
    <w:rsid w:val="005F429E"/>
    <w:rsid w:val="005F4BCC"/>
    <w:rsid w:val="005F5A73"/>
    <w:rsid w:val="005F5CAE"/>
    <w:rsid w:val="005F6893"/>
    <w:rsid w:val="00601C35"/>
    <w:rsid w:val="0060372C"/>
    <w:rsid w:val="00603CE6"/>
    <w:rsid w:val="006043FA"/>
    <w:rsid w:val="00606BD8"/>
    <w:rsid w:val="00607D40"/>
    <w:rsid w:val="00610A43"/>
    <w:rsid w:val="006126EE"/>
    <w:rsid w:val="00620DA7"/>
    <w:rsid w:val="006268CA"/>
    <w:rsid w:val="0063100D"/>
    <w:rsid w:val="006320CF"/>
    <w:rsid w:val="00632267"/>
    <w:rsid w:val="00633CDF"/>
    <w:rsid w:val="00633D62"/>
    <w:rsid w:val="00636D98"/>
    <w:rsid w:val="0064314B"/>
    <w:rsid w:val="006437D2"/>
    <w:rsid w:val="00643D06"/>
    <w:rsid w:val="006460A1"/>
    <w:rsid w:val="0064671F"/>
    <w:rsid w:val="00650936"/>
    <w:rsid w:val="00653D36"/>
    <w:rsid w:val="0065405E"/>
    <w:rsid w:val="00654540"/>
    <w:rsid w:val="00654F64"/>
    <w:rsid w:val="0065511D"/>
    <w:rsid w:val="0065587B"/>
    <w:rsid w:val="006568F2"/>
    <w:rsid w:val="00657E7D"/>
    <w:rsid w:val="006620D6"/>
    <w:rsid w:val="00663D16"/>
    <w:rsid w:val="00663D80"/>
    <w:rsid w:val="00667B93"/>
    <w:rsid w:val="00670969"/>
    <w:rsid w:val="00671287"/>
    <w:rsid w:val="00671945"/>
    <w:rsid w:val="00671A36"/>
    <w:rsid w:val="00671FD0"/>
    <w:rsid w:val="00673998"/>
    <w:rsid w:val="00675831"/>
    <w:rsid w:val="0067600C"/>
    <w:rsid w:val="00676CB6"/>
    <w:rsid w:val="00677698"/>
    <w:rsid w:val="0068012E"/>
    <w:rsid w:val="0068071C"/>
    <w:rsid w:val="006836B2"/>
    <w:rsid w:val="00683772"/>
    <w:rsid w:val="00683A31"/>
    <w:rsid w:val="00685F04"/>
    <w:rsid w:val="00686E9C"/>
    <w:rsid w:val="00687FD8"/>
    <w:rsid w:val="00692409"/>
    <w:rsid w:val="0069461B"/>
    <w:rsid w:val="00695AFC"/>
    <w:rsid w:val="006969E8"/>
    <w:rsid w:val="00697FB7"/>
    <w:rsid w:val="006A38A7"/>
    <w:rsid w:val="006A5352"/>
    <w:rsid w:val="006B0D02"/>
    <w:rsid w:val="006B12AB"/>
    <w:rsid w:val="006B28D3"/>
    <w:rsid w:val="006B3388"/>
    <w:rsid w:val="006B34E5"/>
    <w:rsid w:val="006B3B9A"/>
    <w:rsid w:val="006B5536"/>
    <w:rsid w:val="006B685F"/>
    <w:rsid w:val="006B7610"/>
    <w:rsid w:val="006C2C83"/>
    <w:rsid w:val="006C6AA7"/>
    <w:rsid w:val="006C71CD"/>
    <w:rsid w:val="006D1B4D"/>
    <w:rsid w:val="006D27E7"/>
    <w:rsid w:val="006D3C9F"/>
    <w:rsid w:val="006D5725"/>
    <w:rsid w:val="006D79ED"/>
    <w:rsid w:val="006E1334"/>
    <w:rsid w:val="006E1C64"/>
    <w:rsid w:val="006E35BE"/>
    <w:rsid w:val="006E454C"/>
    <w:rsid w:val="006E4A94"/>
    <w:rsid w:val="006E4D1F"/>
    <w:rsid w:val="006E7E35"/>
    <w:rsid w:val="006F16E3"/>
    <w:rsid w:val="006F1D4D"/>
    <w:rsid w:val="006F26CF"/>
    <w:rsid w:val="006F47B2"/>
    <w:rsid w:val="006F5672"/>
    <w:rsid w:val="006F7613"/>
    <w:rsid w:val="006F7DF0"/>
    <w:rsid w:val="0070003C"/>
    <w:rsid w:val="00700507"/>
    <w:rsid w:val="00703C83"/>
    <w:rsid w:val="00704063"/>
    <w:rsid w:val="007044AF"/>
    <w:rsid w:val="00704F80"/>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36A6"/>
    <w:rsid w:val="007354AE"/>
    <w:rsid w:val="00737D58"/>
    <w:rsid w:val="0074198E"/>
    <w:rsid w:val="00744D15"/>
    <w:rsid w:val="007452C9"/>
    <w:rsid w:val="00746421"/>
    <w:rsid w:val="007464D5"/>
    <w:rsid w:val="0075027C"/>
    <w:rsid w:val="00750AAB"/>
    <w:rsid w:val="00751A20"/>
    <w:rsid w:val="00751BA6"/>
    <w:rsid w:val="007520A2"/>
    <w:rsid w:val="00752565"/>
    <w:rsid w:val="007545F1"/>
    <w:rsid w:val="00757EB9"/>
    <w:rsid w:val="007631CA"/>
    <w:rsid w:val="00764256"/>
    <w:rsid w:val="00765C28"/>
    <w:rsid w:val="00765F8A"/>
    <w:rsid w:val="00767728"/>
    <w:rsid w:val="00767A96"/>
    <w:rsid w:val="0077121F"/>
    <w:rsid w:val="0077145A"/>
    <w:rsid w:val="00771A20"/>
    <w:rsid w:val="00772321"/>
    <w:rsid w:val="00775133"/>
    <w:rsid w:val="00777EA1"/>
    <w:rsid w:val="00781638"/>
    <w:rsid w:val="00781785"/>
    <w:rsid w:val="00783082"/>
    <w:rsid w:val="0078310C"/>
    <w:rsid w:val="00783407"/>
    <w:rsid w:val="00783EC1"/>
    <w:rsid w:val="00783FC5"/>
    <w:rsid w:val="00786A0D"/>
    <w:rsid w:val="007904D1"/>
    <w:rsid w:val="0079163E"/>
    <w:rsid w:val="007934B4"/>
    <w:rsid w:val="00793752"/>
    <w:rsid w:val="00794FA2"/>
    <w:rsid w:val="007971CF"/>
    <w:rsid w:val="00797FF0"/>
    <w:rsid w:val="007A0146"/>
    <w:rsid w:val="007A0312"/>
    <w:rsid w:val="007A188F"/>
    <w:rsid w:val="007A5B96"/>
    <w:rsid w:val="007A7809"/>
    <w:rsid w:val="007B23EB"/>
    <w:rsid w:val="007B5617"/>
    <w:rsid w:val="007B6114"/>
    <w:rsid w:val="007B7A85"/>
    <w:rsid w:val="007C16A1"/>
    <w:rsid w:val="007C2B3C"/>
    <w:rsid w:val="007C4873"/>
    <w:rsid w:val="007C55DF"/>
    <w:rsid w:val="007C6164"/>
    <w:rsid w:val="007D13F1"/>
    <w:rsid w:val="007D14BC"/>
    <w:rsid w:val="007D2A8A"/>
    <w:rsid w:val="007D5F2A"/>
    <w:rsid w:val="007E28C8"/>
    <w:rsid w:val="007E346A"/>
    <w:rsid w:val="007E3615"/>
    <w:rsid w:val="007E3D45"/>
    <w:rsid w:val="007E4086"/>
    <w:rsid w:val="007E5038"/>
    <w:rsid w:val="007E5E06"/>
    <w:rsid w:val="007E6C3F"/>
    <w:rsid w:val="007F1F64"/>
    <w:rsid w:val="007F2D01"/>
    <w:rsid w:val="007F312A"/>
    <w:rsid w:val="007F4F97"/>
    <w:rsid w:val="007F6970"/>
    <w:rsid w:val="007F72F9"/>
    <w:rsid w:val="00802A26"/>
    <w:rsid w:val="00802F9E"/>
    <w:rsid w:val="00804D25"/>
    <w:rsid w:val="0080576D"/>
    <w:rsid w:val="00807476"/>
    <w:rsid w:val="008079F0"/>
    <w:rsid w:val="00810246"/>
    <w:rsid w:val="00810397"/>
    <w:rsid w:val="008108EC"/>
    <w:rsid w:val="00812859"/>
    <w:rsid w:val="008129BE"/>
    <w:rsid w:val="00813D3B"/>
    <w:rsid w:val="00817228"/>
    <w:rsid w:val="008220A1"/>
    <w:rsid w:val="00822C60"/>
    <w:rsid w:val="008250B1"/>
    <w:rsid w:val="00826BFF"/>
    <w:rsid w:val="00826C5E"/>
    <w:rsid w:val="00826D74"/>
    <w:rsid w:val="0083043C"/>
    <w:rsid w:val="0083099E"/>
    <w:rsid w:val="00831C3E"/>
    <w:rsid w:val="00833D48"/>
    <w:rsid w:val="0083787A"/>
    <w:rsid w:val="008405B5"/>
    <w:rsid w:val="0084204D"/>
    <w:rsid w:val="00842240"/>
    <w:rsid w:val="008434CE"/>
    <w:rsid w:val="00843C8B"/>
    <w:rsid w:val="00844C4F"/>
    <w:rsid w:val="00846971"/>
    <w:rsid w:val="00847081"/>
    <w:rsid w:val="00847812"/>
    <w:rsid w:val="00850AE3"/>
    <w:rsid w:val="00852820"/>
    <w:rsid w:val="008543BC"/>
    <w:rsid w:val="008567F4"/>
    <w:rsid w:val="00856C16"/>
    <w:rsid w:val="0086024A"/>
    <w:rsid w:val="0086279D"/>
    <w:rsid w:val="00863EC6"/>
    <w:rsid w:val="00865740"/>
    <w:rsid w:val="00865F8E"/>
    <w:rsid w:val="00866626"/>
    <w:rsid w:val="008679DA"/>
    <w:rsid w:val="008722FD"/>
    <w:rsid w:val="00873C0E"/>
    <w:rsid w:val="0087455F"/>
    <w:rsid w:val="0088011A"/>
    <w:rsid w:val="00880B41"/>
    <w:rsid w:val="008826E3"/>
    <w:rsid w:val="00885672"/>
    <w:rsid w:val="0088645B"/>
    <w:rsid w:val="008878C5"/>
    <w:rsid w:val="00887CB2"/>
    <w:rsid w:val="00887EC3"/>
    <w:rsid w:val="00891320"/>
    <w:rsid w:val="00894BB1"/>
    <w:rsid w:val="008A4CDA"/>
    <w:rsid w:val="008A51A9"/>
    <w:rsid w:val="008A65D4"/>
    <w:rsid w:val="008B0FD0"/>
    <w:rsid w:val="008B3869"/>
    <w:rsid w:val="008B43B8"/>
    <w:rsid w:val="008B6A24"/>
    <w:rsid w:val="008C1B2C"/>
    <w:rsid w:val="008C26AA"/>
    <w:rsid w:val="008C289C"/>
    <w:rsid w:val="008C3A92"/>
    <w:rsid w:val="008C4CC9"/>
    <w:rsid w:val="008C56C5"/>
    <w:rsid w:val="008C71D6"/>
    <w:rsid w:val="008D2ED3"/>
    <w:rsid w:val="008D3ED2"/>
    <w:rsid w:val="008E242C"/>
    <w:rsid w:val="008E51E1"/>
    <w:rsid w:val="008E5A16"/>
    <w:rsid w:val="008E5A67"/>
    <w:rsid w:val="008E5E80"/>
    <w:rsid w:val="008E72A0"/>
    <w:rsid w:val="008F2654"/>
    <w:rsid w:val="008F4805"/>
    <w:rsid w:val="008F66E3"/>
    <w:rsid w:val="008F7967"/>
    <w:rsid w:val="00900478"/>
    <w:rsid w:val="00900CAA"/>
    <w:rsid w:val="009013CA"/>
    <w:rsid w:val="00902C00"/>
    <w:rsid w:val="00903F83"/>
    <w:rsid w:val="009041C9"/>
    <w:rsid w:val="00906804"/>
    <w:rsid w:val="009079AA"/>
    <w:rsid w:val="00910013"/>
    <w:rsid w:val="00910059"/>
    <w:rsid w:val="009115DA"/>
    <w:rsid w:val="00912474"/>
    <w:rsid w:val="00915C18"/>
    <w:rsid w:val="0091704E"/>
    <w:rsid w:val="0091781B"/>
    <w:rsid w:val="00917B6D"/>
    <w:rsid w:val="0092086A"/>
    <w:rsid w:val="009208C7"/>
    <w:rsid w:val="00920BBC"/>
    <w:rsid w:val="009218C4"/>
    <w:rsid w:val="00922591"/>
    <w:rsid w:val="00922686"/>
    <w:rsid w:val="00922EB0"/>
    <w:rsid w:val="00925AC9"/>
    <w:rsid w:val="00930018"/>
    <w:rsid w:val="00932B19"/>
    <w:rsid w:val="00933087"/>
    <w:rsid w:val="00936909"/>
    <w:rsid w:val="00936A76"/>
    <w:rsid w:val="00936A80"/>
    <w:rsid w:val="00940BFA"/>
    <w:rsid w:val="009412FC"/>
    <w:rsid w:val="009413A3"/>
    <w:rsid w:val="009422EA"/>
    <w:rsid w:val="00943B8F"/>
    <w:rsid w:val="0094591D"/>
    <w:rsid w:val="00945C5B"/>
    <w:rsid w:val="009500DD"/>
    <w:rsid w:val="00950F9D"/>
    <w:rsid w:val="00955351"/>
    <w:rsid w:val="00955F1A"/>
    <w:rsid w:val="00956250"/>
    <w:rsid w:val="00957296"/>
    <w:rsid w:val="00961605"/>
    <w:rsid w:val="00962849"/>
    <w:rsid w:val="0096309E"/>
    <w:rsid w:val="009649BF"/>
    <w:rsid w:val="00964D67"/>
    <w:rsid w:val="00965EF0"/>
    <w:rsid w:val="009662B0"/>
    <w:rsid w:val="0096635C"/>
    <w:rsid w:val="00966DD9"/>
    <w:rsid w:val="00966E9D"/>
    <w:rsid w:val="00967878"/>
    <w:rsid w:val="0097112C"/>
    <w:rsid w:val="00971213"/>
    <w:rsid w:val="00973154"/>
    <w:rsid w:val="00973470"/>
    <w:rsid w:val="009736BF"/>
    <w:rsid w:val="009757A3"/>
    <w:rsid w:val="009812BD"/>
    <w:rsid w:val="0098200B"/>
    <w:rsid w:val="00982B57"/>
    <w:rsid w:val="00983A99"/>
    <w:rsid w:val="00983FBF"/>
    <w:rsid w:val="009844BC"/>
    <w:rsid w:val="00987C28"/>
    <w:rsid w:val="009903FA"/>
    <w:rsid w:val="00991912"/>
    <w:rsid w:val="00991AF2"/>
    <w:rsid w:val="00993C05"/>
    <w:rsid w:val="009960D1"/>
    <w:rsid w:val="0099699F"/>
    <w:rsid w:val="00996D9A"/>
    <w:rsid w:val="009A02D1"/>
    <w:rsid w:val="009A17FE"/>
    <w:rsid w:val="009A187D"/>
    <w:rsid w:val="009A1F4E"/>
    <w:rsid w:val="009A4AAA"/>
    <w:rsid w:val="009A5E8B"/>
    <w:rsid w:val="009A73E3"/>
    <w:rsid w:val="009B13B2"/>
    <w:rsid w:val="009B3D92"/>
    <w:rsid w:val="009B5A37"/>
    <w:rsid w:val="009B7283"/>
    <w:rsid w:val="009C06A4"/>
    <w:rsid w:val="009C1D28"/>
    <w:rsid w:val="009D0181"/>
    <w:rsid w:val="009D060F"/>
    <w:rsid w:val="009D10C2"/>
    <w:rsid w:val="009D4FE3"/>
    <w:rsid w:val="009D54ED"/>
    <w:rsid w:val="009D5A7A"/>
    <w:rsid w:val="009D5B65"/>
    <w:rsid w:val="009E27CF"/>
    <w:rsid w:val="009E57C5"/>
    <w:rsid w:val="009E5BA3"/>
    <w:rsid w:val="009E69EF"/>
    <w:rsid w:val="009F1067"/>
    <w:rsid w:val="009F3AF7"/>
    <w:rsid w:val="009F4281"/>
    <w:rsid w:val="009F5230"/>
    <w:rsid w:val="009F6343"/>
    <w:rsid w:val="009F696B"/>
    <w:rsid w:val="009F7856"/>
    <w:rsid w:val="009F7E38"/>
    <w:rsid w:val="00A01693"/>
    <w:rsid w:val="00A02393"/>
    <w:rsid w:val="00A03DEE"/>
    <w:rsid w:val="00A03E0F"/>
    <w:rsid w:val="00A0473A"/>
    <w:rsid w:val="00A04E18"/>
    <w:rsid w:val="00A10583"/>
    <w:rsid w:val="00A108E5"/>
    <w:rsid w:val="00A11251"/>
    <w:rsid w:val="00A11493"/>
    <w:rsid w:val="00A138B3"/>
    <w:rsid w:val="00A14EF5"/>
    <w:rsid w:val="00A16975"/>
    <w:rsid w:val="00A1780F"/>
    <w:rsid w:val="00A2279B"/>
    <w:rsid w:val="00A23B53"/>
    <w:rsid w:val="00A27AD2"/>
    <w:rsid w:val="00A352A4"/>
    <w:rsid w:val="00A35D46"/>
    <w:rsid w:val="00A3664E"/>
    <w:rsid w:val="00A412D3"/>
    <w:rsid w:val="00A416D1"/>
    <w:rsid w:val="00A42289"/>
    <w:rsid w:val="00A42783"/>
    <w:rsid w:val="00A42AE9"/>
    <w:rsid w:val="00A441A5"/>
    <w:rsid w:val="00A4560C"/>
    <w:rsid w:val="00A45989"/>
    <w:rsid w:val="00A469B0"/>
    <w:rsid w:val="00A50B68"/>
    <w:rsid w:val="00A50C75"/>
    <w:rsid w:val="00A51C41"/>
    <w:rsid w:val="00A52885"/>
    <w:rsid w:val="00A539A0"/>
    <w:rsid w:val="00A546B5"/>
    <w:rsid w:val="00A551F8"/>
    <w:rsid w:val="00A56EE6"/>
    <w:rsid w:val="00A57D06"/>
    <w:rsid w:val="00A57EE2"/>
    <w:rsid w:val="00A60914"/>
    <w:rsid w:val="00A61B36"/>
    <w:rsid w:val="00A65009"/>
    <w:rsid w:val="00A667C7"/>
    <w:rsid w:val="00A71A81"/>
    <w:rsid w:val="00A7276F"/>
    <w:rsid w:val="00A72EA4"/>
    <w:rsid w:val="00A74663"/>
    <w:rsid w:val="00A760AC"/>
    <w:rsid w:val="00A76B16"/>
    <w:rsid w:val="00A77531"/>
    <w:rsid w:val="00A77C09"/>
    <w:rsid w:val="00A77E7B"/>
    <w:rsid w:val="00A81A60"/>
    <w:rsid w:val="00A82888"/>
    <w:rsid w:val="00A84B55"/>
    <w:rsid w:val="00A85C1C"/>
    <w:rsid w:val="00A8639C"/>
    <w:rsid w:val="00A914BC"/>
    <w:rsid w:val="00A9409D"/>
    <w:rsid w:val="00A94AA0"/>
    <w:rsid w:val="00A94E7D"/>
    <w:rsid w:val="00A95D3D"/>
    <w:rsid w:val="00A96D7D"/>
    <w:rsid w:val="00AA0E71"/>
    <w:rsid w:val="00AA2A6D"/>
    <w:rsid w:val="00AA3993"/>
    <w:rsid w:val="00AA435C"/>
    <w:rsid w:val="00AB00F5"/>
    <w:rsid w:val="00AB3124"/>
    <w:rsid w:val="00AB3ADB"/>
    <w:rsid w:val="00AB4DF6"/>
    <w:rsid w:val="00AB6673"/>
    <w:rsid w:val="00AB7515"/>
    <w:rsid w:val="00AC0C34"/>
    <w:rsid w:val="00AC1393"/>
    <w:rsid w:val="00AC3CB5"/>
    <w:rsid w:val="00AC4195"/>
    <w:rsid w:val="00AC4EF5"/>
    <w:rsid w:val="00AC7FFA"/>
    <w:rsid w:val="00AD2884"/>
    <w:rsid w:val="00AD2ADF"/>
    <w:rsid w:val="00AD325C"/>
    <w:rsid w:val="00AD3B08"/>
    <w:rsid w:val="00AD67F6"/>
    <w:rsid w:val="00AE0068"/>
    <w:rsid w:val="00AE189C"/>
    <w:rsid w:val="00AE21F8"/>
    <w:rsid w:val="00AE3356"/>
    <w:rsid w:val="00AE4D44"/>
    <w:rsid w:val="00AE4FF6"/>
    <w:rsid w:val="00AE5BD9"/>
    <w:rsid w:val="00AE5C81"/>
    <w:rsid w:val="00AE6B35"/>
    <w:rsid w:val="00AE7DFC"/>
    <w:rsid w:val="00AF0756"/>
    <w:rsid w:val="00AF161B"/>
    <w:rsid w:val="00AF1FBE"/>
    <w:rsid w:val="00AF403C"/>
    <w:rsid w:val="00AF4CB0"/>
    <w:rsid w:val="00AF51F8"/>
    <w:rsid w:val="00AF5380"/>
    <w:rsid w:val="00AF59B3"/>
    <w:rsid w:val="00AF6997"/>
    <w:rsid w:val="00AF6C19"/>
    <w:rsid w:val="00B011FB"/>
    <w:rsid w:val="00B01566"/>
    <w:rsid w:val="00B022B9"/>
    <w:rsid w:val="00B042B0"/>
    <w:rsid w:val="00B05398"/>
    <w:rsid w:val="00B06DA9"/>
    <w:rsid w:val="00B07DF2"/>
    <w:rsid w:val="00B107DB"/>
    <w:rsid w:val="00B12431"/>
    <w:rsid w:val="00B124EE"/>
    <w:rsid w:val="00B12D1E"/>
    <w:rsid w:val="00B12DF8"/>
    <w:rsid w:val="00B14625"/>
    <w:rsid w:val="00B15466"/>
    <w:rsid w:val="00B21998"/>
    <w:rsid w:val="00B2199D"/>
    <w:rsid w:val="00B21F66"/>
    <w:rsid w:val="00B224A5"/>
    <w:rsid w:val="00B226B1"/>
    <w:rsid w:val="00B22DAA"/>
    <w:rsid w:val="00B23D43"/>
    <w:rsid w:val="00B27883"/>
    <w:rsid w:val="00B30355"/>
    <w:rsid w:val="00B36B52"/>
    <w:rsid w:val="00B36CA6"/>
    <w:rsid w:val="00B37E43"/>
    <w:rsid w:val="00B40017"/>
    <w:rsid w:val="00B4014E"/>
    <w:rsid w:val="00B44723"/>
    <w:rsid w:val="00B44BEF"/>
    <w:rsid w:val="00B45021"/>
    <w:rsid w:val="00B4553F"/>
    <w:rsid w:val="00B45DFE"/>
    <w:rsid w:val="00B553BA"/>
    <w:rsid w:val="00B56324"/>
    <w:rsid w:val="00B57EA3"/>
    <w:rsid w:val="00B60042"/>
    <w:rsid w:val="00B60641"/>
    <w:rsid w:val="00B611C2"/>
    <w:rsid w:val="00B66586"/>
    <w:rsid w:val="00B66A59"/>
    <w:rsid w:val="00B705C0"/>
    <w:rsid w:val="00B72CEB"/>
    <w:rsid w:val="00B73529"/>
    <w:rsid w:val="00B7502A"/>
    <w:rsid w:val="00B75A96"/>
    <w:rsid w:val="00B76EAE"/>
    <w:rsid w:val="00B770C8"/>
    <w:rsid w:val="00B80955"/>
    <w:rsid w:val="00B82653"/>
    <w:rsid w:val="00B82911"/>
    <w:rsid w:val="00B82F09"/>
    <w:rsid w:val="00B85846"/>
    <w:rsid w:val="00B85DC3"/>
    <w:rsid w:val="00B8707C"/>
    <w:rsid w:val="00B875ED"/>
    <w:rsid w:val="00B90695"/>
    <w:rsid w:val="00B9273B"/>
    <w:rsid w:val="00B92802"/>
    <w:rsid w:val="00B936C6"/>
    <w:rsid w:val="00B94131"/>
    <w:rsid w:val="00B97867"/>
    <w:rsid w:val="00B97A03"/>
    <w:rsid w:val="00B97C36"/>
    <w:rsid w:val="00B97F35"/>
    <w:rsid w:val="00BA060C"/>
    <w:rsid w:val="00BA1447"/>
    <w:rsid w:val="00BA14CB"/>
    <w:rsid w:val="00BA43BB"/>
    <w:rsid w:val="00BA454D"/>
    <w:rsid w:val="00BA6CBB"/>
    <w:rsid w:val="00BA734E"/>
    <w:rsid w:val="00BB10A2"/>
    <w:rsid w:val="00BB2182"/>
    <w:rsid w:val="00BB2526"/>
    <w:rsid w:val="00BB3A64"/>
    <w:rsid w:val="00BB7DEC"/>
    <w:rsid w:val="00BC1C45"/>
    <w:rsid w:val="00BC1E59"/>
    <w:rsid w:val="00BC446C"/>
    <w:rsid w:val="00BC5C0A"/>
    <w:rsid w:val="00BC5EA4"/>
    <w:rsid w:val="00BD15BE"/>
    <w:rsid w:val="00BD5D5C"/>
    <w:rsid w:val="00BD7BDE"/>
    <w:rsid w:val="00BD7DB1"/>
    <w:rsid w:val="00BE41A4"/>
    <w:rsid w:val="00BE45DF"/>
    <w:rsid w:val="00BE49E3"/>
    <w:rsid w:val="00BE621F"/>
    <w:rsid w:val="00BF5C85"/>
    <w:rsid w:val="00BF5DEA"/>
    <w:rsid w:val="00BF6BC7"/>
    <w:rsid w:val="00C02D79"/>
    <w:rsid w:val="00C039B9"/>
    <w:rsid w:val="00C043B0"/>
    <w:rsid w:val="00C043E6"/>
    <w:rsid w:val="00C04947"/>
    <w:rsid w:val="00C04C04"/>
    <w:rsid w:val="00C0526F"/>
    <w:rsid w:val="00C10AFC"/>
    <w:rsid w:val="00C1177D"/>
    <w:rsid w:val="00C1318D"/>
    <w:rsid w:val="00C1423B"/>
    <w:rsid w:val="00C1424D"/>
    <w:rsid w:val="00C160E7"/>
    <w:rsid w:val="00C16F14"/>
    <w:rsid w:val="00C17968"/>
    <w:rsid w:val="00C20537"/>
    <w:rsid w:val="00C2118D"/>
    <w:rsid w:val="00C2161A"/>
    <w:rsid w:val="00C21911"/>
    <w:rsid w:val="00C23EA9"/>
    <w:rsid w:val="00C247AF"/>
    <w:rsid w:val="00C26C47"/>
    <w:rsid w:val="00C30AE5"/>
    <w:rsid w:val="00C3445A"/>
    <w:rsid w:val="00C34BA8"/>
    <w:rsid w:val="00C35A1C"/>
    <w:rsid w:val="00C35CD6"/>
    <w:rsid w:val="00C4308C"/>
    <w:rsid w:val="00C45668"/>
    <w:rsid w:val="00C46C9E"/>
    <w:rsid w:val="00C474D6"/>
    <w:rsid w:val="00C53782"/>
    <w:rsid w:val="00C543F3"/>
    <w:rsid w:val="00C543F4"/>
    <w:rsid w:val="00C5543B"/>
    <w:rsid w:val="00C554E8"/>
    <w:rsid w:val="00C56BF6"/>
    <w:rsid w:val="00C601DD"/>
    <w:rsid w:val="00C6226B"/>
    <w:rsid w:val="00C63130"/>
    <w:rsid w:val="00C64493"/>
    <w:rsid w:val="00C6480F"/>
    <w:rsid w:val="00C64B3E"/>
    <w:rsid w:val="00C66663"/>
    <w:rsid w:val="00C66B98"/>
    <w:rsid w:val="00C6763B"/>
    <w:rsid w:val="00C71DE6"/>
    <w:rsid w:val="00C728A3"/>
    <w:rsid w:val="00C72B15"/>
    <w:rsid w:val="00C72C7D"/>
    <w:rsid w:val="00C72C8B"/>
    <w:rsid w:val="00C7310E"/>
    <w:rsid w:val="00C74350"/>
    <w:rsid w:val="00C75DF0"/>
    <w:rsid w:val="00C76482"/>
    <w:rsid w:val="00C77809"/>
    <w:rsid w:val="00C81C46"/>
    <w:rsid w:val="00C828A1"/>
    <w:rsid w:val="00C839E2"/>
    <w:rsid w:val="00C85ABB"/>
    <w:rsid w:val="00C86C51"/>
    <w:rsid w:val="00C90E15"/>
    <w:rsid w:val="00C9163E"/>
    <w:rsid w:val="00C92160"/>
    <w:rsid w:val="00C94D76"/>
    <w:rsid w:val="00C9524D"/>
    <w:rsid w:val="00C96F08"/>
    <w:rsid w:val="00CA0F15"/>
    <w:rsid w:val="00CA121F"/>
    <w:rsid w:val="00CA2A49"/>
    <w:rsid w:val="00CA325E"/>
    <w:rsid w:val="00CA70EA"/>
    <w:rsid w:val="00CA7573"/>
    <w:rsid w:val="00CB0660"/>
    <w:rsid w:val="00CB0A20"/>
    <w:rsid w:val="00CB167C"/>
    <w:rsid w:val="00CB5E2B"/>
    <w:rsid w:val="00CC02F1"/>
    <w:rsid w:val="00CC1A20"/>
    <w:rsid w:val="00CC1C2F"/>
    <w:rsid w:val="00CC483F"/>
    <w:rsid w:val="00CC4C1D"/>
    <w:rsid w:val="00CC4FF6"/>
    <w:rsid w:val="00CC5212"/>
    <w:rsid w:val="00CC5BC8"/>
    <w:rsid w:val="00CC5C57"/>
    <w:rsid w:val="00CC5C9E"/>
    <w:rsid w:val="00CD0990"/>
    <w:rsid w:val="00CD406C"/>
    <w:rsid w:val="00CE29EE"/>
    <w:rsid w:val="00CE582F"/>
    <w:rsid w:val="00CE77F3"/>
    <w:rsid w:val="00CF068F"/>
    <w:rsid w:val="00CF08F9"/>
    <w:rsid w:val="00CF0FF2"/>
    <w:rsid w:val="00CF181A"/>
    <w:rsid w:val="00CF4882"/>
    <w:rsid w:val="00CF5229"/>
    <w:rsid w:val="00CF646B"/>
    <w:rsid w:val="00CF69A9"/>
    <w:rsid w:val="00D00307"/>
    <w:rsid w:val="00D00ED8"/>
    <w:rsid w:val="00D01032"/>
    <w:rsid w:val="00D01236"/>
    <w:rsid w:val="00D01AA1"/>
    <w:rsid w:val="00D034BB"/>
    <w:rsid w:val="00D045AA"/>
    <w:rsid w:val="00D05D75"/>
    <w:rsid w:val="00D07573"/>
    <w:rsid w:val="00D07A5C"/>
    <w:rsid w:val="00D07E10"/>
    <w:rsid w:val="00D11283"/>
    <w:rsid w:val="00D129DC"/>
    <w:rsid w:val="00D12A10"/>
    <w:rsid w:val="00D14002"/>
    <w:rsid w:val="00D22E21"/>
    <w:rsid w:val="00D25DE2"/>
    <w:rsid w:val="00D30B64"/>
    <w:rsid w:val="00D31D2B"/>
    <w:rsid w:val="00D33F3B"/>
    <w:rsid w:val="00D34211"/>
    <w:rsid w:val="00D35191"/>
    <w:rsid w:val="00D353BE"/>
    <w:rsid w:val="00D35AD3"/>
    <w:rsid w:val="00D37A44"/>
    <w:rsid w:val="00D41351"/>
    <w:rsid w:val="00D42A1F"/>
    <w:rsid w:val="00D42F23"/>
    <w:rsid w:val="00D441B4"/>
    <w:rsid w:val="00D45B8B"/>
    <w:rsid w:val="00D460DB"/>
    <w:rsid w:val="00D461F9"/>
    <w:rsid w:val="00D47258"/>
    <w:rsid w:val="00D51EE7"/>
    <w:rsid w:val="00D52CE0"/>
    <w:rsid w:val="00D53098"/>
    <w:rsid w:val="00D53CD5"/>
    <w:rsid w:val="00D571DA"/>
    <w:rsid w:val="00D574F2"/>
    <w:rsid w:val="00D6249F"/>
    <w:rsid w:val="00D65414"/>
    <w:rsid w:val="00D655A8"/>
    <w:rsid w:val="00D67705"/>
    <w:rsid w:val="00D73075"/>
    <w:rsid w:val="00D76293"/>
    <w:rsid w:val="00D764A8"/>
    <w:rsid w:val="00D77174"/>
    <w:rsid w:val="00D8053C"/>
    <w:rsid w:val="00D814A3"/>
    <w:rsid w:val="00D82667"/>
    <w:rsid w:val="00D826E0"/>
    <w:rsid w:val="00D83BA7"/>
    <w:rsid w:val="00D84B29"/>
    <w:rsid w:val="00D8635E"/>
    <w:rsid w:val="00D86CCB"/>
    <w:rsid w:val="00D87375"/>
    <w:rsid w:val="00D87BF1"/>
    <w:rsid w:val="00D87E90"/>
    <w:rsid w:val="00D90120"/>
    <w:rsid w:val="00D9251A"/>
    <w:rsid w:val="00D93449"/>
    <w:rsid w:val="00D96108"/>
    <w:rsid w:val="00D974DA"/>
    <w:rsid w:val="00D97643"/>
    <w:rsid w:val="00DB17AF"/>
    <w:rsid w:val="00DB1FD2"/>
    <w:rsid w:val="00DB28ED"/>
    <w:rsid w:val="00DB352C"/>
    <w:rsid w:val="00DB3ACA"/>
    <w:rsid w:val="00DB59F3"/>
    <w:rsid w:val="00DB60F7"/>
    <w:rsid w:val="00DB73AB"/>
    <w:rsid w:val="00DB7CA0"/>
    <w:rsid w:val="00DC0120"/>
    <w:rsid w:val="00DC13A3"/>
    <w:rsid w:val="00DC1595"/>
    <w:rsid w:val="00DC221A"/>
    <w:rsid w:val="00DC2B0D"/>
    <w:rsid w:val="00DC30DE"/>
    <w:rsid w:val="00DC3DB2"/>
    <w:rsid w:val="00DC4C17"/>
    <w:rsid w:val="00DC4EC5"/>
    <w:rsid w:val="00DC505D"/>
    <w:rsid w:val="00DC5138"/>
    <w:rsid w:val="00DC5458"/>
    <w:rsid w:val="00DC65F6"/>
    <w:rsid w:val="00DC749D"/>
    <w:rsid w:val="00DD24E9"/>
    <w:rsid w:val="00DD4F35"/>
    <w:rsid w:val="00DD793F"/>
    <w:rsid w:val="00DE13B4"/>
    <w:rsid w:val="00DE17F0"/>
    <w:rsid w:val="00DE263A"/>
    <w:rsid w:val="00DE2916"/>
    <w:rsid w:val="00DE2B61"/>
    <w:rsid w:val="00DE31AC"/>
    <w:rsid w:val="00DE3E54"/>
    <w:rsid w:val="00DE5A41"/>
    <w:rsid w:val="00DE5AB4"/>
    <w:rsid w:val="00DE7C3D"/>
    <w:rsid w:val="00DF015B"/>
    <w:rsid w:val="00DF0BE1"/>
    <w:rsid w:val="00DF0E77"/>
    <w:rsid w:val="00DF140D"/>
    <w:rsid w:val="00DF285E"/>
    <w:rsid w:val="00DF2B49"/>
    <w:rsid w:val="00DF2E22"/>
    <w:rsid w:val="00DF2F58"/>
    <w:rsid w:val="00DF3334"/>
    <w:rsid w:val="00DF4AB7"/>
    <w:rsid w:val="00DF52F0"/>
    <w:rsid w:val="00DF6E44"/>
    <w:rsid w:val="00E010A6"/>
    <w:rsid w:val="00E013E7"/>
    <w:rsid w:val="00E024FA"/>
    <w:rsid w:val="00E027BC"/>
    <w:rsid w:val="00E03418"/>
    <w:rsid w:val="00E07403"/>
    <w:rsid w:val="00E1063D"/>
    <w:rsid w:val="00E1194C"/>
    <w:rsid w:val="00E12826"/>
    <w:rsid w:val="00E129F5"/>
    <w:rsid w:val="00E15658"/>
    <w:rsid w:val="00E1569C"/>
    <w:rsid w:val="00E17133"/>
    <w:rsid w:val="00E20DA9"/>
    <w:rsid w:val="00E2198A"/>
    <w:rsid w:val="00E22719"/>
    <w:rsid w:val="00E22EA1"/>
    <w:rsid w:val="00E23208"/>
    <w:rsid w:val="00E23CCC"/>
    <w:rsid w:val="00E260DC"/>
    <w:rsid w:val="00E2792E"/>
    <w:rsid w:val="00E312FA"/>
    <w:rsid w:val="00E3392A"/>
    <w:rsid w:val="00E358B7"/>
    <w:rsid w:val="00E3600C"/>
    <w:rsid w:val="00E372A0"/>
    <w:rsid w:val="00E408D3"/>
    <w:rsid w:val="00E4285C"/>
    <w:rsid w:val="00E43716"/>
    <w:rsid w:val="00E43C72"/>
    <w:rsid w:val="00E45D2F"/>
    <w:rsid w:val="00E4722B"/>
    <w:rsid w:val="00E474E5"/>
    <w:rsid w:val="00E53320"/>
    <w:rsid w:val="00E54B68"/>
    <w:rsid w:val="00E55C4B"/>
    <w:rsid w:val="00E560FB"/>
    <w:rsid w:val="00E56547"/>
    <w:rsid w:val="00E569E2"/>
    <w:rsid w:val="00E5706A"/>
    <w:rsid w:val="00E60345"/>
    <w:rsid w:val="00E62088"/>
    <w:rsid w:val="00E670BB"/>
    <w:rsid w:val="00E70F3B"/>
    <w:rsid w:val="00E72D99"/>
    <w:rsid w:val="00E730C8"/>
    <w:rsid w:val="00E73EFE"/>
    <w:rsid w:val="00E77734"/>
    <w:rsid w:val="00E8291D"/>
    <w:rsid w:val="00E83F3B"/>
    <w:rsid w:val="00E84A51"/>
    <w:rsid w:val="00E90A2B"/>
    <w:rsid w:val="00E90EB8"/>
    <w:rsid w:val="00E9107D"/>
    <w:rsid w:val="00E92462"/>
    <w:rsid w:val="00E929BF"/>
    <w:rsid w:val="00E94A8C"/>
    <w:rsid w:val="00E97A75"/>
    <w:rsid w:val="00EA1F1F"/>
    <w:rsid w:val="00EA430B"/>
    <w:rsid w:val="00EA4E5D"/>
    <w:rsid w:val="00EA5415"/>
    <w:rsid w:val="00EA59A7"/>
    <w:rsid w:val="00EB0398"/>
    <w:rsid w:val="00EB2C23"/>
    <w:rsid w:val="00EB2F6C"/>
    <w:rsid w:val="00EB3EB2"/>
    <w:rsid w:val="00EB59DF"/>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4364"/>
    <w:rsid w:val="00EE0C51"/>
    <w:rsid w:val="00EE1B6F"/>
    <w:rsid w:val="00EE1E0F"/>
    <w:rsid w:val="00EE3B6F"/>
    <w:rsid w:val="00EE3BB5"/>
    <w:rsid w:val="00EE43B8"/>
    <w:rsid w:val="00EE5FA1"/>
    <w:rsid w:val="00EE6A95"/>
    <w:rsid w:val="00EE7A01"/>
    <w:rsid w:val="00EF082A"/>
    <w:rsid w:val="00EF0A2A"/>
    <w:rsid w:val="00EF1520"/>
    <w:rsid w:val="00EF398A"/>
    <w:rsid w:val="00EF3B71"/>
    <w:rsid w:val="00EF4C5B"/>
    <w:rsid w:val="00EF5522"/>
    <w:rsid w:val="00EF55A1"/>
    <w:rsid w:val="00EF6F11"/>
    <w:rsid w:val="00F01952"/>
    <w:rsid w:val="00F01A17"/>
    <w:rsid w:val="00F02982"/>
    <w:rsid w:val="00F04B3A"/>
    <w:rsid w:val="00F0761A"/>
    <w:rsid w:val="00F125E0"/>
    <w:rsid w:val="00F12996"/>
    <w:rsid w:val="00F13EA4"/>
    <w:rsid w:val="00F14F3D"/>
    <w:rsid w:val="00F20843"/>
    <w:rsid w:val="00F20FA4"/>
    <w:rsid w:val="00F21B64"/>
    <w:rsid w:val="00F23294"/>
    <w:rsid w:val="00F27D34"/>
    <w:rsid w:val="00F30BBF"/>
    <w:rsid w:val="00F30C9B"/>
    <w:rsid w:val="00F326E1"/>
    <w:rsid w:val="00F340A4"/>
    <w:rsid w:val="00F368F2"/>
    <w:rsid w:val="00F377C5"/>
    <w:rsid w:val="00F40218"/>
    <w:rsid w:val="00F4051B"/>
    <w:rsid w:val="00F4098D"/>
    <w:rsid w:val="00F446D1"/>
    <w:rsid w:val="00F44FB1"/>
    <w:rsid w:val="00F46343"/>
    <w:rsid w:val="00F46C5A"/>
    <w:rsid w:val="00F46C69"/>
    <w:rsid w:val="00F47F78"/>
    <w:rsid w:val="00F5056A"/>
    <w:rsid w:val="00F5118D"/>
    <w:rsid w:val="00F51ACB"/>
    <w:rsid w:val="00F55B0C"/>
    <w:rsid w:val="00F60ED9"/>
    <w:rsid w:val="00F6402D"/>
    <w:rsid w:val="00F64696"/>
    <w:rsid w:val="00F66A13"/>
    <w:rsid w:val="00F71857"/>
    <w:rsid w:val="00F72173"/>
    <w:rsid w:val="00F73E6A"/>
    <w:rsid w:val="00F75DE1"/>
    <w:rsid w:val="00F7763F"/>
    <w:rsid w:val="00F81CAD"/>
    <w:rsid w:val="00F83166"/>
    <w:rsid w:val="00F8320E"/>
    <w:rsid w:val="00F83DE6"/>
    <w:rsid w:val="00F84833"/>
    <w:rsid w:val="00F860CF"/>
    <w:rsid w:val="00F92011"/>
    <w:rsid w:val="00F92CEA"/>
    <w:rsid w:val="00F9383A"/>
    <w:rsid w:val="00F96286"/>
    <w:rsid w:val="00FA06E5"/>
    <w:rsid w:val="00FA5B02"/>
    <w:rsid w:val="00FA6209"/>
    <w:rsid w:val="00FA7648"/>
    <w:rsid w:val="00FA770F"/>
    <w:rsid w:val="00FB0F4D"/>
    <w:rsid w:val="00FB2FF2"/>
    <w:rsid w:val="00FB307B"/>
    <w:rsid w:val="00FB3C66"/>
    <w:rsid w:val="00FB41CC"/>
    <w:rsid w:val="00FB4670"/>
    <w:rsid w:val="00FB65AA"/>
    <w:rsid w:val="00FB6DC3"/>
    <w:rsid w:val="00FB7A17"/>
    <w:rsid w:val="00FC11F8"/>
    <w:rsid w:val="00FC1F2C"/>
    <w:rsid w:val="00FC36C5"/>
    <w:rsid w:val="00FC4BEC"/>
    <w:rsid w:val="00FC575D"/>
    <w:rsid w:val="00FC7231"/>
    <w:rsid w:val="00FD0BF1"/>
    <w:rsid w:val="00FD1FBF"/>
    <w:rsid w:val="00FD3CFC"/>
    <w:rsid w:val="00FE3104"/>
    <w:rsid w:val="00FE31E3"/>
    <w:rsid w:val="00FE5BB2"/>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24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styleId="UnresolvedMention">
    <w:name w:val="Unresolved Mention"/>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09161873-313B-49CF-8FC5-2828D06EF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21377</Words>
  <Characters>121850</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2350</cp:revision>
  <dcterms:created xsi:type="dcterms:W3CDTF">2022-12-16T15:08:00Z</dcterms:created>
  <dcterms:modified xsi:type="dcterms:W3CDTF">2023-01-18T17:35:00Z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id="hiN4TtVU"/&gt;&lt;style id="http://www.zotero.org/styles/joule" hasBibliography="1" bibliographyStyleHasBeenSet="1"/&gt;&lt;prefs&gt;&lt;pref name="fieldType" value="Field"/&gt;&lt;/prefs&gt;&lt;/data&gt;</vt:lpwstr>
  </property>
</Properties>
</file>