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AEE90" w14:textId="77777777" w:rsidR="00E15608" w:rsidRPr="002D4245" w:rsidRDefault="00E15608" w:rsidP="00577897">
      <w:pPr>
        <w:pStyle w:val="Heading1"/>
        <w:spacing w:before="0" w:after="160"/>
        <w:rPr>
          <w:rFonts w:asciiTheme="minorHAnsi" w:hAnsiTheme="minorHAnsi" w:cstheme="minorHAnsi"/>
          <w:lang w:val="en-US"/>
        </w:rPr>
      </w:pPr>
      <w:bookmarkStart w:id="0" w:name="_Hlk128129518"/>
      <w:r>
        <w:rPr>
          <w:rFonts w:asciiTheme="minorHAnsi" w:hAnsiTheme="minorHAnsi" w:cstheme="minorHAnsi"/>
          <w:lang w:val="en-US"/>
        </w:rPr>
        <w:t>Energy</w:t>
      </w:r>
      <w:r w:rsidRPr="002D4245">
        <w:rPr>
          <w:rFonts w:asciiTheme="minorHAnsi" w:hAnsiTheme="minorHAnsi" w:cstheme="minorHAnsi"/>
          <w:lang w:val="en-US"/>
        </w:rPr>
        <w:t xml:space="preserve"> crisis in Europe revamps </w:t>
      </w:r>
      <w:r>
        <w:rPr>
          <w:rFonts w:asciiTheme="minorHAnsi" w:hAnsiTheme="minorHAnsi" w:cstheme="minorHAnsi"/>
          <w:lang w:val="en-US"/>
        </w:rPr>
        <w:t>the economic competitiveness</w:t>
      </w:r>
      <w:r w:rsidRPr="001F470A">
        <w:rPr>
          <w:rFonts w:asciiTheme="minorHAnsi" w:hAnsiTheme="minorHAnsi" w:cstheme="minorHAnsi"/>
          <w:lang w:val="en-US"/>
        </w:rPr>
        <w:t xml:space="preserve"> </w:t>
      </w:r>
      <w:r>
        <w:rPr>
          <w:rFonts w:asciiTheme="minorHAnsi" w:hAnsiTheme="minorHAnsi" w:cstheme="minorHAnsi"/>
          <w:lang w:val="en-US"/>
        </w:rPr>
        <w:t xml:space="preserve">of </w:t>
      </w:r>
      <w:r w:rsidRPr="002D4245">
        <w:rPr>
          <w:rFonts w:asciiTheme="minorHAnsi" w:hAnsiTheme="minorHAnsi" w:cstheme="minorHAnsi"/>
          <w:lang w:val="en-US"/>
        </w:rPr>
        <w:t>green chemicals</w:t>
      </w:r>
    </w:p>
    <w:p w14:paraId="592EF276" w14:textId="77777777" w:rsidR="00E15608" w:rsidRPr="00E15608" w:rsidRDefault="00E15608" w:rsidP="00577897">
      <w:pPr>
        <w:jc w:val="both"/>
        <w:rPr>
          <w:rFonts w:cstheme="minorHAnsi"/>
          <w:vertAlign w:val="superscript"/>
          <w:lang w:val="en-US"/>
        </w:rPr>
      </w:pPr>
      <w:r w:rsidRPr="00E15608">
        <w:rPr>
          <w:rFonts w:cstheme="minorHAnsi"/>
          <w:lang w:val="en-US"/>
        </w:rPr>
        <w:t>Abhinandan Nabera, Ioan</w:t>
      </w:r>
      <w:r w:rsidRPr="00E15608">
        <w:rPr>
          <w:rFonts w:cstheme="minorHAnsi"/>
          <w:lang w:val="en-US"/>
        </w:rPr>
        <w:noBreakHyphen/>
        <w:t xml:space="preserve">Robert Istrate, </w:t>
      </w:r>
      <w:r w:rsidRPr="00E15608">
        <w:rPr>
          <w:lang w:val="en-US"/>
        </w:rPr>
        <w:t xml:space="preserve">Antonio José Martín, </w:t>
      </w:r>
      <w:r w:rsidRPr="00E15608">
        <w:rPr>
          <w:rFonts w:cstheme="minorHAnsi"/>
          <w:lang w:val="en-US"/>
        </w:rPr>
        <w:t>Javier Pérez</w:t>
      </w:r>
      <w:r w:rsidRPr="00E15608">
        <w:rPr>
          <w:rFonts w:cstheme="minorHAnsi"/>
          <w:lang w:val="en-US"/>
        </w:rPr>
        <w:noBreakHyphen/>
        <w:t>Ramírez</w:t>
      </w:r>
      <w:r w:rsidRPr="00E15608">
        <w:rPr>
          <w:rFonts w:cstheme="minorHAnsi"/>
          <w:vertAlign w:val="superscript"/>
          <w:lang w:val="en-US"/>
        </w:rPr>
        <w:t>*</w:t>
      </w:r>
      <w:r w:rsidRPr="00E15608">
        <w:rPr>
          <w:rFonts w:cstheme="minorHAnsi"/>
          <w:lang w:val="en-US"/>
        </w:rPr>
        <w:t xml:space="preserve"> and Gonzalo Guillén</w:t>
      </w:r>
      <w:r w:rsidRPr="00E15608">
        <w:rPr>
          <w:rFonts w:cstheme="minorHAnsi"/>
          <w:lang w:val="en-US"/>
        </w:rPr>
        <w:noBreakHyphen/>
        <w:t>Gosálbez</w:t>
      </w:r>
      <w:r w:rsidRPr="00E15608">
        <w:rPr>
          <w:rFonts w:cstheme="minorHAnsi"/>
          <w:vertAlign w:val="superscript"/>
          <w:lang w:val="en-US"/>
        </w:rPr>
        <w:t>*</w:t>
      </w:r>
    </w:p>
    <w:p w14:paraId="79188523" w14:textId="77777777" w:rsidR="00E15608" w:rsidRPr="00E15608" w:rsidRDefault="00E15608" w:rsidP="00577897">
      <w:pPr>
        <w:jc w:val="both"/>
        <w:rPr>
          <w:rFonts w:cstheme="minorHAnsi"/>
          <w:sz w:val="20"/>
          <w:szCs w:val="20"/>
          <w:lang w:val="en-US"/>
        </w:rPr>
      </w:pPr>
      <w:r w:rsidRPr="00E15608">
        <w:rPr>
          <w:rFonts w:cstheme="minorHAnsi"/>
          <w:sz w:val="20"/>
          <w:szCs w:val="20"/>
          <w:lang w:val="en-US"/>
        </w:rPr>
        <w:t>Institute for Chemical and Bioengineering, Department of Chemistry and Applied Biosciences, ETH Zürich, Vladimir</w:t>
      </w:r>
      <w:r w:rsidRPr="00E15608">
        <w:rPr>
          <w:rFonts w:cstheme="minorHAnsi"/>
          <w:sz w:val="20"/>
          <w:szCs w:val="20"/>
          <w:lang w:val="en-US"/>
        </w:rPr>
        <w:noBreakHyphen/>
        <w:t>Prelog</w:t>
      </w:r>
      <w:r w:rsidRPr="00E15608">
        <w:rPr>
          <w:rFonts w:cstheme="minorHAnsi"/>
          <w:sz w:val="20"/>
          <w:szCs w:val="20"/>
          <w:lang w:val="en-US"/>
        </w:rPr>
        <w:noBreakHyphen/>
        <w:t>Weg 1, Zürich 8093, Switzerland</w:t>
      </w:r>
    </w:p>
    <w:p w14:paraId="3CB87B9D" w14:textId="77777777" w:rsidR="00E15608" w:rsidRPr="00E15608" w:rsidRDefault="00E15608" w:rsidP="00577897">
      <w:pPr>
        <w:jc w:val="both"/>
        <w:rPr>
          <w:rFonts w:cstheme="minorHAnsi"/>
          <w:sz w:val="20"/>
          <w:szCs w:val="20"/>
          <w:lang w:val="en-US"/>
        </w:rPr>
      </w:pPr>
      <w:r w:rsidRPr="00E15608">
        <w:rPr>
          <w:rFonts w:cstheme="minorHAnsi"/>
          <w:sz w:val="20"/>
          <w:szCs w:val="20"/>
          <w:lang w:val="en-US"/>
        </w:rPr>
        <w:t>*Corresponding authors:</w:t>
      </w:r>
      <w:r w:rsidRPr="00E15608">
        <w:rPr>
          <w:rStyle w:val="Hyperlink"/>
          <w:rFonts w:cstheme="minorHAnsi"/>
          <w:sz w:val="20"/>
          <w:szCs w:val="20"/>
          <w:lang w:val="en-US"/>
        </w:rPr>
        <w:t xml:space="preserve"> </w:t>
      </w:r>
      <w:proofErr w:type="gramStart"/>
      <w:r w:rsidRPr="00E15608">
        <w:rPr>
          <w:rStyle w:val="Hyperlink"/>
          <w:rFonts w:cstheme="minorHAnsi"/>
          <w:sz w:val="20"/>
          <w:szCs w:val="20"/>
          <w:lang w:val="en-US"/>
        </w:rPr>
        <w:t>jpr@chem.ethz.ch</w:t>
      </w:r>
      <w:r w:rsidRPr="00E15608">
        <w:rPr>
          <w:rFonts w:cstheme="minorHAnsi"/>
          <w:sz w:val="20"/>
          <w:szCs w:val="20"/>
          <w:lang w:val="en-US"/>
        </w:rPr>
        <w:t xml:space="preserve"> ;</w:t>
      </w:r>
      <w:proofErr w:type="gramEnd"/>
      <w:r w:rsidRPr="00E15608">
        <w:rPr>
          <w:rFonts w:cstheme="minorHAnsi"/>
          <w:sz w:val="20"/>
          <w:szCs w:val="20"/>
          <w:lang w:val="en-US"/>
        </w:rPr>
        <w:t xml:space="preserve"> </w:t>
      </w:r>
      <w:hyperlink r:id="rId6" w:history="1">
        <w:r w:rsidRPr="00E15608">
          <w:rPr>
            <w:rStyle w:val="Hyperlink"/>
            <w:rFonts w:cstheme="minorHAnsi"/>
            <w:sz w:val="20"/>
            <w:szCs w:val="20"/>
            <w:lang w:val="en-US"/>
          </w:rPr>
          <w:t>gonzalo.guillen.gosalbez@chem.ethz.ch</w:t>
        </w:r>
      </w:hyperlink>
      <w:r w:rsidRPr="00E15608">
        <w:rPr>
          <w:rStyle w:val="Hyperlink"/>
          <w:rFonts w:cstheme="minorHAnsi"/>
          <w:sz w:val="20"/>
          <w:szCs w:val="20"/>
          <w:lang w:val="en-US"/>
        </w:rPr>
        <w:t xml:space="preserve">  </w:t>
      </w:r>
    </w:p>
    <w:p w14:paraId="0C6AFF18" w14:textId="77777777" w:rsidR="00E15608" w:rsidRPr="009C0F11" w:rsidRDefault="00E15608" w:rsidP="00577897">
      <w:pPr>
        <w:pStyle w:val="Heading2"/>
        <w:jc w:val="both"/>
        <w:rPr>
          <w:rFonts w:cstheme="minorHAnsi"/>
        </w:rPr>
      </w:pPr>
      <w:r>
        <w:rPr>
          <w:rFonts w:cstheme="minorHAnsi"/>
        </w:rPr>
        <w:t>Abstract</w:t>
      </w:r>
    </w:p>
    <w:p w14:paraId="7FC8F303" w14:textId="5499AF0A" w:rsidR="00E15608" w:rsidRPr="00E15608" w:rsidRDefault="00E15608" w:rsidP="00577897">
      <w:pPr>
        <w:jc w:val="both"/>
        <w:rPr>
          <w:lang w:val="en-US"/>
        </w:rPr>
      </w:pPr>
      <w:r w:rsidRPr="00E15608">
        <w:rPr>
          <w:lang w:val="en-US"/>
        </w:rPr>
        <w:t>Ammonia and methanol are versatile platform chemicals heavily relying on natural gas as feedstock and energy sources, resulting in vulnerability to supply disruption and a large share of CO</w:t>
      </w:r>
      <w:r w:rsidRPr="00E15608">
        <w:rPr>
          <w:vertAlign w:val="subscript"/>
          <w:lang w:val="en-US"/>
        </w:rPr>
        <w:t>2</w:t>
      </w:r>
      <w:r w:rsidRPr="00E15608">
        <w:rPr>
          <w:lang w:val="en-US"/>
        </w:rPr>
        <w:t xml:space="preserve"> emissions within the chemical industry. Extensive research has been conducted to identify alternative production routes based on renewable feedstocks, but the relatively higher costs </w:t>
      </w:r>
      <w:r w:rsidR="00680DC1">
        <w:rPr>
          <w:lang w:val="en-US"/>
        </w:rPr>
        <w:t>act as</w:t>
      </w:r>
      <w:r w:rsidRPr="00E15608">
        <w:rPr>
          <w:lang w:val="en-US"/>
        </w:rPr>
        <w:t xml:space="preserve"> bottlenecks. Here, we show how an unprecedented crisis of soaring energy prices in Europe could radically change the current landscape and improve the economic competitiveness of green ammonia and methanol. For example, the production cost of green ammonia </w:t>
      </w:r>
      <w:r w:rsidRPr="00E15608">
        <w:rPr>
          <w:i/>
          <w:iCs/>
          <w:lang w:val="en-US"/>
        </w:rPr>
        <w:t>via</w:t>
      </w:r>
      <w:r w:rsidRPr="00E15608">
        <w:rPr>
          <w:lang w:val="en-US"/>
        </w:rPr>
        <w:t> wind electrolysis has been competitive with the fossil counterpart for six months since December 2021. This unexpected turn of events may represent the chance for Europe to lead the renewable transition in the chemical industry upon a joint action of the academy, industry, and policymakers.</w:t>
      </w:r>
    </w:p>
    <w:p w14:paraId="5B1FBC3D" w14:textId="77777777" w:rsidR="00E15608" w:rsidRPr="00E15608" w:rsidRDefault="00E15608" w:rsidP="00577897">
      <w:pPr>
        <w:jc w:val="both"/>
        <w:rPr>
          <w:lang w:val="en-US"/>
        </w:rPr>
      </w:pPr>
      <w:r w:rsidRPr="00E15608">
        <w:rPr>
          <w:rFonts w:cstheme="minorHAnsi"/>
          <w:b/>
          <w:u w:val="single"/>
          <w:lang w:val="en-US"/>
        </w:rPr>
        <w:t>Introduction</w:t>
      </w:r>
    </w:p>
    <w:p w14:paraId="6B855DA1" w14:textId="42206732" w:rsidR="00E15608" w:rsidRPr="00E15608" w:rsidRDefault="00E15608" w:rsidP="00577897">
      <w:pPr>
        <w:jc w:val="both"/>
        <w:rPr>
          <w:rFonts w:cstheme="minorHAnsi"/>
          <w:lang w:val="en-US"/>
        </w:rPr>
      </w:pPr>
      <w:r w:rsidRPr="00E15608">
        <w:rPr>
          <w:rFonts w:cstheme="minorHAnsi"/>
          <w:lang w:val="en-US"/>
        </w:rPr>
        <w:t>The chemical industry is the industrial sector with the highest energy demand due to its strong reliance on fossil fuels as feedstock and heating utilities. About 14% and 8% of global oil and gas, respectively, are consumed by the chemical industry</w:t>
      </w:r>
      <w:r>
        <w:rPr>
          <w:rFonts w:cstheme="minorHAnsi"/>
        </w:rPr>
        <w:fldChar w:fldCharType="begin"/>
      </w:r>
      <w:r w:rsidRPr="00E15608">
        <w:rPr>
          <w:rFonts w:cstheme="minorHAnsi"/>
          <w:lang w:val="en-US"/>
        </w:rPr>
        <w:instrText xml:space="preserve"> ADDIN ZOTERO_ITEM CSL_CITATION {"citationID":"pltcfBP0","properties":{"formattedCitation":"\\super 1\\nosupersub{}","plainCitation":"1","noteIndex":0},"citationItems":[{"id":26013,"uris":["http://zotero.org/users/9157291/items/T22NA9KH"],"itemData":{"id":26013,"type":"report","language":"en","page":"132","publisher":"International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w:t>
      </w:r>
      <w:r>
        <w:rPr>
          <w:rFonts w:cstheme="minorHAnsi"/>
        </w:rPr>
        <w:fldChar w:fldCharType="end"/>
      </w:r>
      <w:r w:rsidRPr="00E15608">
        <w:rPr>
          <w:rFonts w:cstheme="minorHAnsi"/>
          <w:lang w:val="en-US"/>
        </w:rPr>
        <w:t>, which is also responsible for 5.6 Gt CO</w:t>
      </w:r>
      <w:r w:rsidRPr="00E15608">
        <w:rPr>
          <w:rFonts w:cstheme="minorHAnsi"/>
          <w:vertAlign w:val="subscript"/>
          <w:lang w:val="en-US"/>
        </w:rPr>
        <w:t>2</w:t>
      </w:r>
      <w:r w:rsidRPr="00E15608">
        <w:rPr>
          <w:rFonts w:cstheme="minorHAnsi"/>
          <w:lang w:val="en-US"/>
        </w:rPr>
        <w:t>-eq yr</w:t>
      </w:r>
      <w:r w:rsidRPr="00F62A8C">
        <w:rPr>
          <w:vertAlign w:val="superscript"/>
          <w:lang w:val="en-US"/>
        </w:rPr>
        <w:t>−1</w:t>
      </w:r>
      <w:r w:rsidRPr="00E15608">
        <w:rPr>
          <w:rFonts w:cstheme="minorHAnsi"/>
          <w:lang w:val="en-US"/>
        </w:rPr>
        <w:t xml:space="preserve"> (including direct and indirect emissions), equivalent to roughly 10% of global anthropogenic greenhouse gas (GHG) emissions</w:t>
      </w:r>
      <w:r>
        <w:rPr>
          <w:rFonts w:cstheme="minorHAnsi"/>
        </w:rPr>
        <w:fldChar w:fldCharType="begin"/>
      </w:r>
      <w:r w:rsidRPr="00E15608">
        <w:rPr>
          <w:rFonts w:cstheme="minorHAnsi"/>
          <w:lang w:val="en-US"/>
        </w:rPr>
        <w:instrText xml:space="preserve"> ADDIN ZOTERO_ITEM CSL_CITATION {"citationID":"y29xtEap","properties":{"formattedCitation":"\\super 2,3\\nosupersub{}","plainCitation":"2,3","noteIndex":0},"citationItems":[{"id":25858,"uris":["http://zotero.org/users/9157291/items/PW4PTV2I"],"itemData":{"id":25858,"type":"article-journal","abstract":"Chemicals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Engineering","DOI":"10.1016/j.coche.2022.100881","ISSN":"2211-3398","journalAbbreviation":"Current Opinion in Chemical Engineering","language":"en","page":"100881","source":"ScienceDirect","title":"Mapping GHG emissions and prospects for renewable energy in the chemical industry","volume":"39","author":[{"family":"Bauer","given":"Fredric"},{"family":"Tilsted","given":"Joachim P"},{"family":"Pfister","given":"Stephan"},{"family":"Oberschelp","given":"Christopher"},{"family":"Kulionis","given":"Viktoras"}],"issued":{"date-parts":[["2023",3,1]]}}},{"id":26002,"uris":["http://zotero.org/users/9157291/items/8IVAJAL9"],"itemData":{"id":26002,"type":"report","abstract":"With the risk of climate breakdown becoming ever more pressing as the world is on track for 2.7 degrees warming, pressure is increasing on all sectors of the economy to break with fossil fuel depe</w:instrText>
      </w:r>
      <w:r>
        <w:rPr>
          <w:rFonts w:cstheme="minorHAnsi"/>
        </w:rPr>
        <w:instrText xml:space="preserve">ndence and reduce greenhouse gas (GHG) emissions. In this context, the chemical industry and the production of important basic chemicals is a key sector to consider. Although historically a driver of economic development, the sector is highly dependent on fossil resources for use as both feedstock and fuel in the production of as well organic as inorganic chemicals. The chemical industry demands both petroleum fractions and natural gas. Petroleum fractions such as naphtha and petroleum gases are used as feedstocks for building block chemicals and polymers (e.g., benzene and polyethylene), while natural gas is used for methanol and ammonia. Indeed, the sector is associated with both large process emissions as well as energy related emissions. Our results demonstrate that in 2020 direct GHG emissions from the petrochemical sector amounted to 1.8 Gt CO2eq which is equivalent to 4% of global GHG emissions. Indirect GHG emissions resulting from the activities in other industries supplying inputs for the petrochemical industry accounted for another 3.8 Gt CO2eq. The petrochemical industry is thus associated with a total of 5.6Gt CO2eq of GHG emissions, equivalent to ~10% of global emissions. Over the past 25 years, emissions associated with petrochemicals have doubled and the sector is the third most GHG emitting industry. This increase is fueled by large growth of petrochemicals production as well as growth in regions with high indirect emissions, i.e., in energy systems with high dependence on coal and other fossil fuels. Over the past decades, the industry has grown rapidly in the Asia-Pacific region especially in China which in 2020 was the source for about 47% of global GHG emissions associated with petrochemicals. USA accounts for 6% of the emissions from the industry and Europe for 5%. The BRIC group of countries, which except for China also includes Brazil, India, and Russia, currently accounts for 57% of GHG emissions from petrochemicals, showing that the emissions from this sector are more geographically clustered in these countries than emissions from other sectors.Proper disaggregated and comparative analyses of key products is currently not possible. Data confidentiality and a high reliance on proxy data limit the reliability of LCA and stands in the way of mapping climate impacts. A strong demand of chemicals life cycle inventory (LCI) data for environmental footprinting has resulted in a general increase of chemicals data in many LCI databases, but the energy demands both for heat and electricity are typically not well-documented for production processes outside the main bulk chemicals. If incinerated at end-of-life plastics and other chemical products will emit embodied carbon as CO2 and if landfilled there is a risk of slow degradation with associated methane emissions. Global estimates based on most LCA datasets will thus significantly underestimate emissions from the chemical industry.The multitude of value chains dependent on the petrochemical industry makes it an important contribution to life cycle emissions in many sectors of the economy. Petrochemicals are used as an intermediate input in many industries and the emissions associated with them thus propagate through the economy, with final demand in manufacturing industries and services being associated with the largest shares of emissions from chemicals. The impacts and emissions downstream in value chains is however poorly understood and disclosure by petrochemical producers is lacking and insufficient. While disclosure of emissions in the industry has increased over the past decades, it remains partial and shows inconsistencies over time. This is due to issues such as different reporting standards, large discrepancies in the extent of disclosure as well as various other gaps and inconsistencies in reporting. This holds for all scopes, although Scope 1 emissions are better covered. Only some firms disclose information about downstream Scope 3 emissions including end-of-life for final products. Emission targets set by firms in the industry do not correspond to the challenge of large and rapid emission reductions. Many targets include only parts of operations and transparent, standardized target-setting is lacking. Reported emission reduction initiatives to achieve targets are far from sufficient focusing mainly on efficiency improvements or insubstantial parts of the operation. Shifting to renewable energy is a key for rapid emission reductions in the industry, yet few firms report strategic targets for this shift. As the industry has historically been closely linked to and integrated with the energy sector it holds a great potential for engaging with the deployment and adoption of renewable energy, although this implies a transformation of the knowledge base and resource allocation in the industry which is still focused on fossil fuels. Roadmaps and scenario analyses show that apart from a shift to renewable energy, a transformation of the industry relies on the deployment of key technologies which are not yet fully developed. This includes new technologies for hydrogen production, e.g., electrolytic (green) hydrogen or hydrogen produced with carbon capture and storage (CCS). New chemical synthesis pathways </w:instrText>
      </w:r>
      <w:r w:rsidRPr="00E15608">
        <w:rPr>
          <w:rFonts w:cstheme="minorHAnsi"/>
          <w:lang w:val="en-US"/>
        </w:rPr>
        <w:instrText xml:space="preserve">based on captured carbon, so called carbon capture and utilization (CCU) is also highlighted, but the massive demand for renewable energy associated with this pathway is a significant barrier to its adoption in the near term. The report shows how efficiency improvements continues to be the main focus for reducing the climate impact of petrochemicals, but that this is a completely inadequate approach for achieving the emissions reductions necessary in the coming decades. Breakthrough technologies are unlikely to be deployed at a rate consistent with international climate targets, and there is a great risk in relying on the promises of technologies which are yet to be proven at scale. The large knowledge gaps that remain are key barriers for effective governance of the transition.","event-place":"Lund","publisher":"Lund University","publisher-place":"Lund","source":"Lund University","title":"Petrochemicals and Climate Change: Tracing Globally Growing Emissions and Key Blind Spots in a Fossil-Based Industry","title-short":"Petrochemicals and Climate Change","author":[{"family":"Bauer","given":"Fredric"},{"family":"Kulionis","given":"Viktoras"},{"family":"Oberschelp","given":"Christopher"},{"family":"Pfister","given":"Stephan"},{"family":"Tilsted","given":"Joachim Peter"},{"family":"Finkill","given":"Guy David"},{"family":"Fjäll","given":"Stephanie"}],"issued":{"date-parts":[["2022"]]}}}],"schema":"https://github.com/citation-style-language/schema/raw/master/csl-citation.json"}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2,3</w:t>
      </w:r>
      <w:r>
        <w:rPr>
          <w:rFonts w:cstheme="minorHAnsi"/>
        </w:rPr>
        <w:fldChar w:fldCharType="end"/>
      </w:r>
      <w:r w:rsidRPr="00E15608">
        <w:rPr>
          <w:rFonts w:cstheme="minorHAnsi"/>
          <w:lang w:val="en-US"/>
        </w:rPr>
        <w:t>. Ammonia, methanol, ethylene, and propylene are the primary building blocks of the chemical industry, which are further used as raw materials for the production of a myriad of valuable products in a wide range of applications. Ammonia, in particular, is a critical feedstock for nitrogen fertilizers, which are essential to ensure global food security</w:t>
      </w:r>
      <w:r>
        <w:rPr>
          <w:rFonts w:cstheme="minorHAnsi"/>
        </w:rPr>
        <w:fldChar w:fldCharType="begin"/>
      </w:r>
      <w:r w:rsidRPr="00E15608">
        <w:rPr>
          <w:rFonts w:cstheme="minorHAnsi"/>
          <w:lang w:val="en-US"/>
        </w:rPr>
        <w:instrText xml:space="preserve"> ADDIN ZOTERO_ITEM CSL_CITATION {"citationID":"yNeX2kju","properties":{"formattedCitation":"\\super 4,5\\nosupersub{}","plainCitation":"4,5","noteIndex":0},"citationItems":[{"id":26332,"uris":["http://zotero.org/users/9157291/items/IIB456LG"],"itemData":{"id":26332,"type":"article-journal","abstract":"On 13 October 1908, Fritz Haber filed his patent on the “synthesis of ammonia from its elements” for which he was later awarded the 1918 Nobel Prize in Chemistry. A hundred years on we live in a world transformed by and highly dependent upon Haber–Bosch nitrogen.","container-title":"Nature Geoscience","DOI":"10.1038/ngeo325","ISSN":"1752-0908","issue":"10","journalAbbreviation":"Nature Geosci","language":"en","license":"2008 Nature Publishing Group","note":"number: 10\npublisher: Nature Publishing Group","page":"636-639","source":"www.nature.com","title":"How a century of ammonia synthesis changed the world","volume":"1","author":[{"family":"Erisman","given":"Jan Willem"},{"family":"Sutton","given":"Mark A."},{"family":"Galloway","given":"James"},{"family":"Klimont","given":"Zbigniew"},{"family":"Winiwarter","given":"Wilfried"}],"issued":{"date-parts":[["2008",10]]}}},{"id":27526,"uris":["http://zotero.org/users/9157291/items/UV7GWX94"],"itemData":{"id":27526,"type":"article-journal","abstract":"By synthetically producing nitrogen fertilizers from ammonia </w:instrText>
      </w:r>
      <w:r>
        <w:rPr>
          <w:rFonts w:cstheme="minorHAnsi"/>
        </w:rPr>
        <w:instrText>(NH3),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w:instrText>
      </w:r>
      <w:r w:rsidRPr="00E15608">
        <w:rPr>
          <w:rFonts w:cstheme="minorHAnsi"/>
          <w:lang w:val="en-US"/>
        </w:rPr>
        <w:instrText xml:space="preserv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4,5</w:t>
      </w:r>
      <w:r>
        <w:rPr>
          <w:rFonts w:cstheme="minorHAnsi"/>
        </w:rPr>
        <w:fldChar w:fldCharType="end"/>
      </w:r>
      <w:r w:rsidRPr="00E15608">
        <w:rPr>
          <w:rFonts w:cstheme="minorHAnsi"/>
          <w:lang w:val="en-US"/>
        </w:rPr>
        <w:t>. Similarly, methanol is used as building block in formic acid, acetic acid, dimethyl ether, and methylamine, among others, and can serve in turn as an intermediate to olefins and aromatics</w:t>
      </w:r>
      <w:r>
        <w:rPr>
          <w:rFonts w:cstheme="minorHAnsi"/>
        </w:rPr>
        <w:fldChar w:fldCharType="begin"/>
      </w:r>
      <w:r w:rsidRPr="00E15608">
        <w:rPr>
          <w:rFonts w:cstheme="minorHAnsi"/>
          <w:lang w:val="en-US"/>
        </w:rPr>
        <w:instrText xml:space="preserve"> ADDIN ZOTERO_ITEM CSL_CITATION {"citationID":"HRf3s6LA","properties":{"formattedCitation":"\\super 1,6\\nosupersub{}","plainCitation":"1,6","noteIndex":0},"citationItems":[{"id":26013,"uris":["http://zotero.org/users/9157291/items/T22NA9KH"],"itemData":{"id":26013,"type":"report","language":"en","page":"132","publisher":"International Energy Agency","source":"Zotero","title":"The Future of Petrochemicals: Towards more sustainable plastics and fertilisers","URL":"www.iea.org","author":[{"family":"IEA","given":""}],"issued":{"date-parts":[["2018"]]}}},{"id":26329,"uris":["http://zotero.org/users/9157291/items/RURRENJ6"],"itemData":{"id":26329,"type":"article-journal","abstract":"Methanol, a convenient liquid fuel and raw material for synthetic hydrocarbons, offers an alternative to depleting sources of fossil fuels and can be produced, for example, by reacting H2 with CO2 from industrial effluents or the atmosphere—good news with regards to global-warming concerns. This Essay discusses various aspects of current and alternative energy sources, with a particular focus on the “methanol economy” (see scheme).","container-title":"Angewandte Chemie International Edition","DOI":"10.1002/anie.200462121","ISSN":"1521-3773","issue":"18","note":"_eprint: https://onlinelibrary.wiley.com/doi/pdf/10.1002/anie.200462121","page":"2636-2639","source":"Wiley Online Library","title":"Beyond Oil and Gas: The Methanol Economy","title-short":"Beyond Oil and Gas","volume":"44","author":[{"family":"Olah","given":"George A."}],"issued":{"date-parts":[["2005"]]}}}],"schema":"https://github.com/citation-style-language/schema/raw/master/csl-citation.json"}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1,6</w:t>
      </w:r>
      <w:r>
        <w:rPr>
          <w:rFonts w:cstheme="minorHAnsi"/>
        </w:rPr>
        <w:fldChar w:fldCharType="end"/>
      </w:r>
      <w:r w:rsidRPr="00E15608">
        <w:rPr>
          <w:rFonts w:cstheme="minorHAnsi"/>
          <w:lang w:val="en-US"/>
        </w:rPr>
        <w:t xml:space="preserve">. Nowadays, ammonia and methanol production are based on syngas (a mixture of carbon monoxide and hydrogen with variable composition) mostly obtained from steam reforming of natural gas. Hydrogen is combined with nitrogen typically over an Fe-based catalyst to produce ammonia </w:t>
      </w:r>
      <w:r w:rsidRPr="00E15608">
        <w:rPr>
          <w:rFonts w:cstheme="minorHAnsi"/>
          <w:i/>
          <w:lang w:val="en-US"/>
        </w:rPr>
        <w:t>via</w:t>
      </w:r>
      <w:r w:rsidRPr="00E15608">
        <w:rPr>
          <w:rFonts w:cstheme="minorHAnsi"/>
          <w:lang w:val="en-US"/>
        </w:rPr>
        <w:t xml:space="preserve"> the energy-intensive Haber-Bosch process at high pressure and temperature (&gt;200 bar and &gt;400 °C)</w:t>
      </w:r>
      <w:r>
        <w:rPr>
          <w:rFonts w:cstheme="minorHAnsi"/>
        </w:rPr>
        <w:fldChar w:fldCharType="begin"/>
      </w:r>
      <w:r w:rsidRPr="00E15608">
        <w:rPr>
          <w:rFonts w:cstheme="minorHAnsi"/>
          <w:lang w:val="en-US"/>
        </w:rPr>
        <w:instrText xml:space="preserve"> ADDIN ZOTERO_ITEM CSL_CITATION {"citationID":"S0Zv0Qse","properties":{"formattedCitation":"\\super 7\\nosupersub{}","plainCitation":"7","noteIndex":0},"citationItems":[{"id":31759,"uris":["http://zotero.org/users/9157291/items/A2US8TDS"],"itemData":{"id":31759,"type":"article-journal","abstract":"Due to its essential use as a fertilizer, ammonia synthesis from nitrogen and hydrogen is considered to be one of the most important chemical processes of the last 100 years. Since then, an enormous amount of work has been undertaken to investigate and develop effective catalysts for this process. Although the catalytic synthesis of ammonia has been extensively studied in the last century, many new catalysts are still currently being developed to reduce the operating temperature and pressure of the process and to improve the conversion of reactants to ammonia. New catalysts for the Haber–Bosch process are the key to achieving green ammonia production in the foreseeable future. Herein, the history of ammonia synthesis catalyst development is briefly described as well as recent progress in catalyst development with the aim of building an overview of the current state of ammonia synthesis catalysts for the Haber–Bosch process. The new emerging ammonia synthesis catalysts, including electride, hydride, amide, perovskite oxide hydride/oxynitride hydride, nitride, and oxide promoted metals such as Fe, Co, and Ni, are promising alternatives to the conventional fused-Fe and promoted-Ru catalysts for existing ammonia synthesis plants and future distributed green ammonia synthesis based on the Haber–Bosch process.","container-title":"Advanced Energy and Sustainability Research","DOI":"10.1002/aesr.202000043","ISSN":"2699-9412","issue":"1","language":"en","note":"_eprint: https://onlinelibrary.wiley.com/doi/pdf/10.1002/aesr.202000043","page":"2000043","source":"Wiley Online Library","title":"Development and Recent Progress on Ammonia Synthesis Catalysts for Haber–Bosch Process","volume":"2","author":[{"family":"Humphreys","given":"John"},{"family":"Lan","given":"Rong"},{"family":"Tao","given":"Shanwen"}],"issued":{"date-parts":[["2021"]]}}}],"schema":"https://github.com/citation-style-language/schema/raw/master/csl-citation.json"}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7</w:t>
      </w:r>
      <w:r>
        <w:rPr>
          <w:rFonts w:cstheme="minorHAnsi"/>
        </w:rPr>
        <w:fldChar w:fldCharType="end"/>
      </w:r>
      <w:r w:rsidRPr="00E15608">
        <w:rPr>
          <w:rFonts w:cstheme="minorHAnsi"/>
          <w:lang w:val="en-US"/>
        </w:rPr>
        <w:t xml:space="preserve">. In fact, about 70% of global ammonia production uses natural gas as feedstock and energy source, absorbing about 20% of the industrial natural gas demand and releasing </w:t>
      </w:r>
      <w:r w:rsidRPr="00E15608">
        <w:rPr>
          <w:rFonts w:cstheme="minorHAnsi"/>
          <w:i/>
          <w:lang w:val="en-US"/>
        </w:rPr>
        <w:t xml:space="preserve">ca. </w:t>
      </w:r>
      <w:r w:rsidR="008C6FD3">
        <w:rPr>
          <w:rFonts w:cstheme="minorHAnsi"/>
          <w:lang w:val="en-US"/>
        </w:rPr>
        <w:t>0.5</w:t>
      </w:r>
      <w:r>
        <w:rPr>
          <w:rFonts w:cstheme="minorHAnsi"/>
          <w:lang w:val="en-US"/>
        </w:rPr>
        <w:t> </w:t>
      </w:r>
      <w:r w:rsidR="003B742D">
        <w:rPr>
          <w:rFonts w:cstheme="minorHAnsi"/>
          <w:lang w:val="en-US"/>
        </w:rPr>
        <w:t>G</w:t>
      </w:r>
      <w:r w:rsidRPr="00E15608">
        <w:rPr>
          <w:rFonts w:cstheme="minorHAnsi"/>
          <w:lang w:val="en-US"/>
        </w:rPr>
        <w:t>t</w:t>
      </w:r>
      <w:r>
        <w:rPr>
          <w:rFonts w:cstheme="minorHAnsi"/>
          <w:lang w:val="en-US"/>
        </w:rPr>
        <w:t> </w:t>
      </w:r>
      <w:r w:rsidRPr="00E15608">
        <w:rPr>
          <w:rFonts w:cstheme="minorHAnsi"/>
          <w:lang w:val="en-US"/>
        </w:rPr>
        <w:t>CO</w:t>
      </w:r>
      <w:r w:rsidRPr="00E15608">
        <w:rPr>
          <w:rFonts w:cstheme="minorHAnsi"/>
          <w:vertAlign w:val="subscript"/>
          <w:lang w:val="en-US"/>
        </w:rPr>
        <w:t>2</w:t>
      </w:r>
      <w:r>
        <w:rPr>
          <w:rFonts w:cstheme="minorHAnsi"/>
          <w:lang w:val="en-US"/>
        </w:rPr>
        <w:noBreakHyphen/>
      </w:r>
      <w:r w:rsidRPr="00E15608">
        <w:rPr>
          <w:rFonts w:cstheme="minorHAnsi"/>
          <w:lang w:val="en-US"/>
        </w:rPr>
        <w:t>eq</w:t>
      </w:r>
      <w:r>
        <w:rPr>
          <w:rFonts w:cstheme="minorHAnsi"/>
          <w:lang w:val="en-US"/>
        </w:rPr>
        <w:t> </w:t>
      </w:r>
      <w:r w:rsidRPr="00E15608">
        <w:rPr>
          <w:rFonts w:cstheme="minorHAnsi"/>
          <w:lang w:val="en-US"/>
        </w:rPr>
        <w:t>yr</w:t>
      </w:r>
      <w:r w:rsidRPr="00F62A8C">
        <w:rPr>
          <w:vertAlign w:val="superscript"/>
          <w:lang w:val="en-US"/>
        </w:rPr>
        <w:t>−1</w:t>
      </w:r>
      <w:r>
        <w:rPr>
          <w:lang w:val="en-US"/>
        </w:rPr>
        <w:t xml:space="preserve"> </w:t>
      </w:r>
      <w:r>
        <w:rPr>
          <w:lang w:val="en-US"/>
        </w:rPr>
        <w:t>(</w:t>
      </w:r>
      <w:r w:rsidR="00960709">
        <w:rPr>
          <w:lang w:val="en-US"/>
        </w:rPr>
        <w:t>9</w:t>
      </w:r>
      <w:r w:rsidR="00DE1099">
        <w:rPr>
          <w:lang w:val="en-US"/>
        </w:rPr>
        <w:t>.3</w:t>
      </w:r>
      <w:r w:rsidR="006E19C6">
        <w:rPr>
          <w:lang w:val="en-US"/>
        </w:rPr>
        <w:t>% of the chemical sector</w:t>
      </w:r>
      <w:r>
        <w:rPr>
          <w:lang w:val="en-US"/>
        </w:rPr>
        <w:t xml:space="preserve">) </w:t>
      </w:r>
      <w:r>
        <w:rPr>
          <w:lang w:val="en-US"/>
        </w:rPr>
        <w:t>over the life cycle</w:t>
      </w:r>
      <w:r>
        <w:rPr>
          <w:rFonts w:cstheme="minorHAnsi"/>
        </w:rPr>
        <w:fldChar w:fldCharType="begin"/>
      </w:r>
      <w:r w:rsidRPr="00E15608">
        <w:rPr>
          <w:rFonts w:cstheme="minorHAnsi"/>
          <w:lang w:val="en-US"/>
        </w:rPr>
        <w:instrText xml:space="preserve"> ADDIN ZOTERO_ITEM CSL_CITATION {"citationID":"V02EbNMd","properties":{"formattedCitation":"\\super 8\\nosupersub{}","plainCitation":"8","noteIndex":0},"citationItems":[{"id":27548,"uris":["http://zotero.org/users/9157291/items/U2JU5DYJ"],"itemData":{"id":27548,"type":"report","language":"en","note":"DOI: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8</w:t>
      </w:r>
      <w:r>
        <w:rPr>
          <w:rFonts w:cstheme="minorHAnsi"/>
        </w:rPr>
        <w:fldChar w:fldCharType="end"/>
      </w:r>
      <w:r>
        <w:rPr>
          <w:lang w:val="en-US"/>
        </w:rPr>
        <w:t>.</w:t>
      </w:r>
      <w:r>
        <w:rPr>
          <w:rFonts w:cstheme="minorHAnsi"/>
          <w:lang w:val="en-US"/>
        </w:rPr>
        <w:t xml:space="preserve"> The standard process for methanol production requires hydrogenation of CO and CO</w:t>
      </w:r>
      <w:r w:rsidRPr="008B11E7">
        <w:rPr>
          <w:rFonts w:cstheme="minorHAnsi"/>
          <w:vertAlign w:val="subscript"/>
          <w:lang w:val="en-US"/>
        </w:rPr>
        <w:t>2</w:t>
      </w:r>
      <w:r>
        <w:rPr>
          <w:rFonts w:cstheme="minorHAnsi"/>
          <w:lang w:val="en-US"/>
        </w:rPr>
        <w:t xml:space="preserve"> at high pressure and relatively mild temperature (&gt;35 bar and &gt;200 °C) over a Cu-Zn-Al catalyst</w:t>
      </w:r>
      <w:r>
        <w:rPr>
          <w:rFonts w:cstheme="minorHAnsi"/>
          <w:lang w:val="en-US"/>
        </w:rPr>
        <w:fldChar w:fldCharType="begin"/>
      </w:r>
      <w:r>
        <w:rPr>
          <w:rFonts w:cstheme="minorHAnsi"/>
          <w:lang w:val="en-US"/>
        </w:rPr>
        <w:instrText xml:space="preserve"> ADDIN ZOTERO_ITEM CSL_CITATION {"citationID":"yD0gL3Xb","properties":{"formattedCitation":"\\super 9\\nosupersub{}","plainCitation":"9","noteIndex":0},"citationItems":[{"id":31762,"uris":["http://zotero.org/users/9157291/items/DPZPTWUU"],"itemData":{"id":31762,"type":"article-journal","abstract":"CO hydrogenation, CO2 hydrogenation, and water–gas shift (WGS) reactions have been simultaneously investigated over industry-like catalysts based on Cu–ZnO–Al2O3, under methanol synthesis conditions (513 K, 5.0 MPa). For this, a novel methodology has been applied: the concentration of carbon dioxide in the syngas feed was consecutively increased (R = CO2:(CO + CO2) = 0–100) resulting in a volcano-type plot of the rate of methanol formation and forming a hysteresis loop when decreasing the CO2 concentration again. H2O co-feeding experiments revealed that the enhancement of activity can be correlated with the WGS activity linking both hydrogenation paths of CO and CO2. On the other hand, excessive amounts of surface hydroxyls seem to inhibit methanol production, explaining the drop in activity at high CO2 concentrations. An investigation of the catalytic performance was accompanied by an extensive characterisation of the fresh and used catalytic materials by X-ray diffraction, temperature-programmed reduction by H2, N2O pulse chemisorption, X-ray photoelectron spectroscopy, and Auger electron spectroscopy. It was shown that the copper surface area affects the CO2 hydrogenation; however, this parameter is unambiguously not the key descriptor for CO2-promoted methanol synthesis, which is a consequence of the synergistic interaction of zinc oxide and copper. This structural feature is further promoted by Al2O3 through stabilisation of the surface. The position of the activity maximum is determined by the surface ratio Cu : Zn. The hysteresis behaviour is a result of the continuous decrease of Cu dispersion and the fixation of copper species in its monovalent oxidation state, both detrimental for CO2 hydrogenation. CO hydrogenation is strongly affected by the Cu : Zn bulk ratio and thus the reducibility of the catalyst. These facts could be substantiated by the use of impregnated model catalysts.","container-title":"Catalysis Science &amp; Technology","DOI":"10.1039/C3CY00573A","ISSN":"2044-4761","issue":"12","journalAbbreviation":"Catal. Sci. Technol.","language":"en","note":"publisher: The Royal Society of Chemistry","page":"3343-3352","source":"pubs.rsc.org","title":"New and revisited insights into the promotion of methanol synthesis catalysts by CO2","volume":"3","author":[{"family":"Martin","given":"Oliver"},{"family":"Pérez-Ramírez","given":"Javier"}],"issued":{"date-parts":[["2013",11,12]]}}}],"schema":"https://github.com/citation-style-language/schema/raw/master/csl-citation.json"} </w:instrText>
      </w:r>
      <w:r>
        <w:rPr>
          <w:rFonts w:cstheme="minorHAnsi"/>
          <w:lang w:val="en-US"/>
        </w:rPr>
        <w:fldChar w:fldCharType="separate"/>
      </w:r>
      <w:r w:rsidRPr="00E15608">
        <w:rPr>
          <w:rFonts w:ascii="Calibri" w:hAnsi="Calibri" w:cs="Calibri"/>
          <w:szCs w:val="24"/>
          <w:vertAlign w:val="superscript"/>
          <w:lang w:val="en-US"/>
        </w:rPr>
        <w:t>9</w:t>
      </w:r>
      <w:r>
        <w:rPr>
          <w:rFonts w:cstheme="minorHAnsi"/>
          <w:lang w:val="en-US"/>
        </w:rPr>
        <w:fldChar w:fldCharType="end"/>
      </w:r>
      <w:r>
        <w:rPr>
          <w:rFonts w:cstheme="minorHAnsi"/>
          <w:lang w:val="en-US"/>
        </w:rPr>
        <w:t xml:space="preserve">. Similarly to ammonia, </w:t>
      </w:r>
      <w:r w:rsidRPr="00E15608">
        <w:rPr>
          <w:rFonts w:cstheme="minorHAnsi"/>
          <w:lang w:val="en-US"/>
        </w:rPr>
        <w:t>65% of global methanol relies on natural gas as feedstock</w:t>
      </w:r>
      <w:r>
        <w:rPr>
          <w:rFonts w:cstheme="minorHAnsi"/>
        </w:rPr>
        <w:fldChar w:fldCharType="begin"/>
      </w:r>
      <w:r w:rsidRPr="00E15608">
        <w:rPr>
          <w:rFonts w:cstheme="minorHAnsi"/>
          <w:lang w:val="en-US"/>
        </w:rPr>
        <w:instrText xml:space="preserve"> ADDIN ZOTERO_ITEM CSL_CITATION {"citationID":"i1Yu5aBj","properties":{"formattedCitation":"\\super 10\\nosupersub{}","plainCitation":"10","noteIndex":0},"citationItems":[{"id":14174,"uris":["http://zotero.org/users/9157291/items/897KTRXK"],"itemData":{"id":14174,"type":"report","language":"en","page":"124","source":"Zotero","title":"Innovation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10</w:t>
      </w:r>
      <w:r>
        <w:rPr>
          <w:rFonts w:cstheme="minorHAnsi"/>
        </w:rPr>
        <w:fldChar w:fldCharType="end"/>
      </w:r>
      <w:r w:rsidRPr="00E15608">
        <w:rPr>
          <w:rFonts w:cstheme="minorHAnsi"/>
          <w:lang w:val="en-US"/>
        </w:rPr>
        <w:t>, while the life cycle GHG emissions from global production</w:t>
      </w:r>
      <w:r>
        <w:rPr>
          <w:rFonts w:cstheme="minorHAnsi"/>
        </w:rPr>
        <w:fldChar w:fldCharType="begin"/>
      </w:r>
      <w:r w:rsidRPr="00E15608">
        <w:rPr>
          <w:rFonts w:cstheme="minorHAnsi"/>
          <w:lang w:val="en-US"/>
        </w:rPr>
        <w:instrText xml:space="preserve"> ADDIN ZOTERO_ITEM CSL_CITATION {"citationID":"EQG4Rf4i","properties":{"formattedCitation":"\\super 10\\nosupersub{}","plainCitation":"10","noteIndex":0},"citationItems":[{"id":14174,"uris":["http://zotero.org/users/9157291/items/897KTRXK"],"itemData":{"id":14174,"type":"report","language":"en","page":"124","source":"Zotero","title":"Innovation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10</w:t>
      </w:r>
      <w:r>
        <w:rPr>
          <w:rFonts w:cstheme="minorHAnsi"/>
        </w:rPr>
        <w:fldChar w:fldCharType="end"/>
      </w:r>
      <w:r w:rsidRPr="00E15608">
        <w:rPr>
          <w:rFonts w:cstheme="minorHAnsi"/>
          <w:lang w:val="en-US"/>
        </w:rPr>
        <w:t xml:space="preserve"> are around </w:t>
      </w:r>
      <w:r w:rsidR="00303986">
        <w:rPr>
          <w:rFonts w:cstheme="minorHAnsi"/>
          <w:lang w:val="en-US"/>
        </w:rPr>
        <w:t>0.3</w:t>
      </w:r>
      <w:r w:rsidRPr="00E15608">
        <w:rPr>
          <w:rFonts w:cstheme="minorHAnsi"/>
          <w:lang w:val="en-US"/>
        </w:rPr>
        <w:t xml:space="preserve"> </w:t>
      </w:r>
      <w:r w:rsidR="003B742D">
        <w:rPr>
          <w:rFonts w:cstheme="minorHAnsi"/>
          <w:lang w:val="en-US"/>
        </w:rPr>
        <w:t>G</w:t>
      </w:r>
      <w:r w:rsidRPr="00E15608">
        <w:rPr>
          <w:rFonts w:cstheme="minorHAnsi"/>
          <w:lang w:val="en-US"/>
        </w:rPr>
        <w:t>t CO</w:t>
      </w:r>
      <w:r w:rsidRPr="00E15608">
        <w:rPr>
          <w:rFonts w:cstheme="minorHAnsi"/>
          <w:vertAlign w:val="subscript"/>
          <w:lang w:val="en-US"/>
        </w:rPr>
        <w:t>2</w:t>
      </w:r>
      <w:r w:rsidRPr="00E15608">
        <w:rPr>
          <w:rFonts w:cstheme="minorHAnsi"/>
          <w:lang w:val="en-US"/>
        </w:rPr>
        <w:t>-eq yr</w:t>
      </w:r>
      <w:r w:rsidRPr="00F62A8C">
        <w:rPr>
          <w:vertAlign w:val="superscript"/>
          <w:lang w:val="en-US"/>
        </w:rPr>
        <w:t>−1</w:t>
      </w:r>
      <w:r w:rsidR="009758DC">
        <w:rPr>
          <w:vertAlign w:val="superscript"/>
          <w:lang w:val="en-US"/>
        </w:rPr>
        <w:t xml:space="preserve"> </w:t>
      </w:r>
      <w:r w:rsidR="009758DC">
        <w:rPr>
          <w:lang w:val="en-US"/>
        </w:rPr>
        <w:t>(</w:t>
      </w:r>
      <w:r w:rsidR="007272CE">
        <w:rPr>
          <w:lang w:val="en-US"/>
        </w:rPr>
        <w:t>5.4</w:t>
      </w:r>
      <w:r w:rsidR="009758DC">
        <w:rPr>
          <w:lang w:val="en-US"/>
        </w:rPr>
        <w:t xml:space="preserve">% </w:t>
      </w:r>
      <w:r w:rsidR="006E19C6">
        <w:rPr>
          <w:lang w:val="en-US"/>
        </w:rPr>
        <w:t>of</w:t>
      </w:r>
      <w:r w:rsidR="009758DC">
        <w:rPr>
          <w:lang w:val="en-US"/>
        </w:rPr>
        <w:t xml:space="preserve"> </w:t>
      </w:r>
      <w:r w:rsidR="00721B94">
        <w:rPr>
          <w:lang w:val="en-US"/>
        </w:rPr>
        <w:t xml:space="preserve">the </w:t>
      </w:r>
      <w:r w:rsidR="009758DC">
        <w:rPr>
          <w:lang w:val="en-US"/>
        </w:rPr>
        <w:t xml:space="preserve">chemical </w:t>
      </w:r>
      <w:r w:rsidR="000772EB">
        <w:rPr>
          <w:lang w:val="en-US"/>
        </w:rPr>
        <w:t>sector</w:t>
      </w:r>
      <w:r w:rsidR="009758DC">
        <w:rPr>
          <w:lang w:val="en-US"/>
        </w:rPr>
        <w:t>)</w:t>
      </w:r>
      <w:r>
        <w:rPr>
          <w:lang w:val="en-US"/>
        </w:rPr>
        <w:t>, despite the involvement of CO</w:t>
      </w:r>
      <w:r w:rsidRPr="00E25E40">
        <w:rPr>
          <w:vertAlign w:val="subscript"/>
          <w:lang w:val="en-US"/>
        </w:rPr>
        <w:t>2</w:t>
      </w:r>
      <w:r>
        <w:rPr>
          <w:lang w:val="en-US"/>
        </w:rPr>
        <w:t xml:space="preserve"> in the reaction</w:t>
      </w:r>
      <w:r w:rsidRPr="00E15608">
        <w:rPr>
          <w:rFonts w:cstheme="minorHAnsi"/>
          <w:lang w:val="en-US"/>
        </w:rPr>
        <w:t>.</w:t>
      </w:r>
      <w:r w:rsidRPr="00E15608" w:rsidDel="0015737E">
        <w:rPr>
          <w:rFonts w:cstheme="minorHAnsi"/>
          <w:lang w:val="en-US"/>
        </w:rPr>
        <w:t xml:space="preserve"> </w:t>
      </w:r>
    </w:p>
    <w:p w14:paraId="7665D1C9" w14:textId="77777777" w:rsidR="00E15608" w:rsidRPr="00E15608" w:rsidRDefault="00E15608" w:rsidP="00577897">
      <w:pPr>
        <w:jc w:val="both"/>
        <w:rPr>
          <w:rFonts w:cstheme="minorHAnsi"/>
          <w:lang w:val="en-US"/>
        </w:rPr>
      </w:pPr>
      <w:r w:rsidRPr="00E15608">
        <w:rPr>
          <w:rFonts w:cstheme="minorHAnsi"/>
          <w:lang w:val="en-US"/>
        </w:rPr>
        <w:t>Incumbent ammonia and methanol production routes are significant obstacles to meet climate goals and the planetary boundary for climate change</w:t>
      </w:r>
      <w:r>
        <w:rPr>
          <w:rFonts w:cstheme="minorHAnsi"/>
        </w:rPr>
        <w:fldChar w:fldCharType="begin"/>
      </w:r>
      <w:r w:rsidRPr="00E15608">
        <w:rPr>
          <w:rFonts w:cstheme="minorHAnsi"/>
          <w:lang w:val="en-US"/>
        </w:rPr>
        <w:instrText xml:space="preserve"> ADDIN ZOTERO_ITEM CSL_CITATION {"citationID":"C8DRQ09Q","properties":{"formattedCitation":"\\super 11,12\\nosupersub{}","plainCitation":"11,12","noteIndex":0},"citationItems":[{"id":3860,"uris":["http://zotero.org/users/9157291/items/AFKW7KRC"],"itemData":{"id":3860,"type":"article-journal","abstract":"At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w:instrText>
      </w:r>
      <w:r>
        <w:rPr>
          <w:rFonts w:cstheme="minorHAnsi"/>
        </w:rPr>
        <w:instrText>ﬁ</w:instrText>
      </w:r>
      <w:r w:rsidRPr="00E15608">
        <w:rPr>
          <w:rFonts w:cstheme="minorHAnsi"/>
          <w:lang w:val="en-US"/>
        </w:rPr>
        <w:instrText>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w:instrText>
      </w:r>
      <w:r>
        <w:rPr>
          <w:rFonts w:cstheme="minorHAnsi"/>
        </w:rPr>
        <w:instrText>ﬁ</w:instrText>
      </w:r>
      <w:r w:rsidRPr="00E15608">
        <w:rPr>
          <w:rFonts w:cstheme="minorHAnsi"/>
          <w:lang w:val="en-US"/>
        </w:rPr>
        <w:instrText xml:space="preserve">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w:instrText>
      </w:r>
      <w:r>
        <w:rPr>
          <w:rFonts w:cstheme="minorHAnsi"/>
        </w:rPr>
        <w:instrText>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w:instrText>
      </w:r>
      <w:r w:rsidRPr="00E15608">
        <w:rPr>
          <w:rFonts w:cstheme="minorHAnsi"/>
          <w:lang w:val="en-US"/>
        </w:rPr>
        <w:instrText xml:space="preserve">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w:t>
      </w:r>
      <w:r>
        <w:rPr>
          <w:rFonts w:cstheme="minorHAnsi"/>
        </w:rPr>
        <w:fldChar w:fldCharType="end"/>
      </w:r>
      <w:r w:rsidRPr="00E15608">
        <w:rPr>
          <w:rFonts w:cstheme="minorHAnsi"/>
          <w:lang w:val="en-US"/>
        </w:rPr>
        <w:t>. These two compounds are labelled as hard-to-abate commodities primarily due to their mentioned dependence on fossil carbon in the form of natural gas</w:t>
      </w:r>
      <w:r>
        <w:rPr>
          <w:rFonts w:cstheme="minorHAnsi"/>
        </w:rPr>
        <w:fldChar w:fldCharType="begin"/>
      </w:r>
      <w:r w:rsidRPr="00E15608">
        <w:rPr>
          <w:rFonts w:cstheme="minorHAnsi"/>
          <w:lang w:val="en-US"/>
        </w:rPr>
        <w:instrText xml:space="preserve"> ADDIN ZOTERO_ITEM CSL_CITATION {"citationID":"dxYuhHe8","properties":{"formattedCitation":"\\super 13,14\\nosupersub{}","plainCitation":"13,14","noteIndex":0},"citationItems":[{"id":16183,"uris":["http://zotero.org/users/9157291/items/8ISWY7WE"],"itemData":{"id":16183,"type":"article-journal","abstract":"Zachary Schiffer is currently a doctoral student in the Chemical Engineering Department at MIT. An NSF Graduate Research Fellow and an MIT Presidential Fellow, he is studying applications of electrochemistry to the nitrogen cycle in the Manthiram Lab. Zachary received a B.S.E. from Princeton University in Chemical and Biological Engineering with minors in applications of computing and materials science. As an undergraduate, he worked in Dr. Craig Arnold's lab studying the coupling of mechanics and electrochemistry in lithium ion batteries.  Karthish Manthiram is an Assistant Professor of Chemical Engineering at MIT. The Manthiram Lab develops technologies that enable modular and sustainable transformations of molecules. The lab is currently focused on the conversion of distributed feedstocks, such as air, water, carbon dioxide, and renewable electricity, into molecules that have an impact on our everyday lives. Examples include catalytic technologies through which farmers in developing countries can produce their own ammonia fe</w:instrText>
      </w:r>
      <w:r>
        <w:rPr>
          <w:rFonts w:cstheme="minorHAnsi"/>
        </w:rPr>
        <w:instrText>rtilizers and conversion of carbon dioxide into methanol to mitigate emissions that would otherwise contribute to global warming. Karthish received his bachelor's degree from Stanford University in 2010 and his Ph.D. from UC Berkeley in 2015, both in Chemical Engineering. Most recently, he was a postdoctoral researcher at the California Institute of Technology.","container-title":"Joule","DOI":"10.1016/j.joule.2017.07.008","ISSN":"2542-4351","issue":"1","journalAbbreviation":"Joule","language":"en","page":"10-14","source":"ScienceDirect","title":"Electrification and Decarbonization of the Chemical Industry","volume":"1","author":[{"family":"Schiffer","given":"Zachary J."},{"family":"Manthiram","given":"Karthish"}],"issued":{"date-parts":[["2017",9,6]]}}},{"id":14350,"uris":["http://zotero.org/users/9157291/items/DJ8S6JBW"],"itemData":{"id":14350,"type":"article-journal","abstract":"The petrochemical industry grew to become one of the world's largest industries during the 20th century. It is expected that it will continue to grow, as the world's population gets wealthier, social dynamics change and people demand more affordable and useful materials. The industry recognises that the Earth's carrying capacity is limited. It is adapting to seek to become a truly sustainable ‘carbo’-chemical industry. This paper will address the three main challenges of this transition: shifting hydrocarbon stock, climate change and circular economy. As the energy sector transitions from oil, coal and eventually natural gas, it is expected that the chemical industry will have access to abundant hydrocarbon stocks for which it can find valuable uses. But rising CO2 prices and increasing upgrading costs will likely encourage greater use of alternative, low-carbon feedstocks. In particular, there may be a development of biomass for manufacturing oxygenated chemical intermediates and bio-based materials. To help tackle climate change, the industry will need to reduce the CO2 emissions of its processes and utilities (energy sources). Ways to achieve this will include efficiency impro</w:instrText>
      </w:r>
      <w:r w:rsidRPr="00E15608">
        <w:rPr>
          <w:rFonts w:cstheme="minorHAnsi"/>
          <w:lang w:val="en-US"/>
        </w:rPr>
        <w:instrText xml:space="preserve">vements, electrification of utilities and processes and switching to renewable H2; upgrading by-products to chemicals; and CO2 capture and storage or utilisation (CCS/CCU). The issue of plastic waste pollution is combining with the challenges discussed above to push society and governments towards a more circular economy. Customer demand for sustainable products is growing. New regulations (and technologies) are being rolled out for waste collection, sorting and recycling. In addition, the industry is making pledges to produce and use more sustainably. However, it is expected that fresh carbon will still have to enter the material cycle. It will be needed to feed the growth of the chemical industry and to compensate for inevitable recycling losses. For a truly circular industry, this fresh carbon would come from a renewable source, i.e. from atmospheric CO2, initially via biomass and later possibly from direct CO2 capture and utilisation (CCU).","container-title":"Energy &amp; Environmental Science","DOI":"10.1039/D1EE00532D","ISSN":"1754-5706","issue":"8","journalAbbreviation":"Energy Environ. Sci.","language":"en","note":"publisher: The Royal Society of Chemistry","page":"4358-4376","source":"pubs.rsc.org","title":"Towards circular carbo-chemicals – the metamorphosis of petrochemicals","volume":"14","author":[{"family":"Lange","given":"J.-P."}],"issued":{"date-parts":[["2021",8,11]]}}}],"schema":"https://github.com/citation-style-language/schema/raw/master/csl-citation.json"}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13,14</w:t>
      </w:r>
      <w:r>
        <w:rPr>
          <w:rFonts w:cstheme="minorHAnsi"/>
        </w:rPr>
        <w:fldChar w:fldCharType="end"/>
      </w:r>
      <w:r w:rsidRPr="00E15608">
        <w:rPr>
          <w:rFonts w:cstheme="minorHAnsi"/>
          <w:lang w:val="en-US"/>
        </w:rPr>
        <w:t>. Low-carbon production of ammonia could be realized by feeding the Haber-Bosch process with hydrogen produced from water electrolysis powered by renewable energy sources like wind or solar (green Haber-Bosch)</w:t>
      </w:r>
      <w:r>
        <w:rPr>
          <w:rFonts w:cstheme="minorHAnsi"/>
        </w:rPr>
        <w:fldChar w:fldCharType="begin"/>
      </w:r>
      <w:r w:rsidRPr="00E15608">
        <w:rPr>
          <w:rFonts w:cstheme="minorHAnsi"/>
          <w:lang w:val="en-US"/>
        </w:rPr>
        <w:instrText xml:space="preserve"> ADDIN ZOTERO_ITEM CSL_CITATION {"citationID":"zsRcaa2G","properties":{"formattedCitation":"\\super 8,15\\nosupersub{}","plainCitation":"8,15","noteIndex":0},"citationItems":[{"id":27548,"uris":["http://zotero.org/users/9157291/items/U2JU5DYJ"],"itemData":{"id":27548,"type":"report","language":"en","note":"DOI: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8,15</w:t>
      </w:r>
      <w:r>
        <w:rPr>
          <w:rFonts w:cstheme="minorHAnsi"/>
        </w:rPr>
        <w:fldChar w:fldCharType="end"/>
      </w:r>
      <w:r w:rsidRPr="00E15608">
        <w:rPr>
          <w:rFonts w:cstheme="minorHAnsi"/>
          <w:lang w:val="en-US"/>
        </w:rPr>
        <w:t>. This hybrid electro-thermocatalytic scheme is under intense development and has been claimed to be the first implementable low carbon alternative</w:t>
      </w:r>
      <w:r w:rsidRPr="00E15608">
        <w:rPr>
          <w:rFonts w:cstheme="minorHAnsi"/>
          <w:lang w:val="en-US"/>
        </w:rPr>
        <w:fldChar w:fldCharType="begin"/>
      </w:r>
      <w:r w:rsidRPr="00E15608">
        <w:rPr>
          <w:rFonts w:cstheme="minorHAnsi"/>
          <w:lang w:val="en-US"/>
        </w:rPr>
        <w:instrText xml:space="preserve"> ADDIN ZOTERO_ITEM CSL_CITATION {"citationID":"ex5E9pap","properties":{"formattedCitation":"\\super 16\\nosupersub{}","plainCitation":"16","noteIndex":0},"citationItems":[{"id":31765,"uris":["http://zotero.org/users/9157291/items/DLIJZIUV"],"itemData":{"id":31765,"type":"article-journal","abstract":"Most of the global production of ammonia requires fossil fuels and is associated with considerable greenhouse gas emissions. Replacing fossil fuel ammonia with green or zero-carbon ammonia is a major focus for academia, industry and governments. Ammonia is a key component in fertiliser\nbut is also attracting increasing interest as a carbon-free fuel for the maritime sector and as a hydrogen vector. This review describes the use of green (electrolysed) hydrogen in conventional Haber-Bosch plants and predicts adoption of the technology by 2030. Further into the future, direct\ngreen ammonia synthesis by electrocatalytic and photocatalytic means may present a cost-effective alternative to the Haber-Bosch process. Electrocatalytic and photocatalytic routes to ammonia are reviewed, the catalytic systems are compared and their potential for meeting the likely demand\nand cost for ammonia considered.","container-title":"Johnson Matthey Technology Review","DOI":"10.1595/205651322X16334238659301","issue":"3","journalAbbreviation":"Johnson Matthey Technology Review","page":"230-244","source":"IngentaConnect","title":"Review of Recent Progress in Green Ammonia Synthesis : Decarbonisation of fertiliser and fuels via green synthesis","title-short":"Review of Recent Progress in Green Ammonia Synthesis","volume":"66","author":[{"family":"Smart","given":"Katie"}],"issued":{"date-parts":[["2022",7,12]]}}}],"schema":"https://github.com/citation-style-language/schema/raw/master/csl-citation.json"}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16</w:t>
      </w:r>
      <w:r w:rsidRPr="00E15608">
        <w:rPr>
          <w:rFonts w:cstheme="minorHAnsi"/>
          <w:lang w:val="en-US"/>
        </w:rPr>
        <w:fldChar w:fldCharType="end"/>
      </w:r>
      <w:r w:rsidRPr="00E15608">
        <w:rPr>
          <w:rFonts w:cstheme="minorHAnsi"/>
          <w:lang w:val="en-US"/>
        </w:rPr>
        <w:t>. A longer-term option such as direct electrocatalytic reduction of nitrogen at large or small scale is highly attractive due to its straightforward connection to renewable electricity sources, but it is currently limited to laboratory scale. As for methanol, the required conversion of CO</w:t>
      </w:r>
      <w:r w:rsidRPr="00E15608">
        <w:rPr>
          <w:rFonts w:cstheme="minorHAnsi"/>
          <w:vertAlign w:val="subscript"/>
          <w:lang w:val="en-US"/>
        </w:rPr>
        <w:t>2</w:t>
      </w:r>
      <w:r w:rsidRPr="00E15608">
        <w:rPr>
          <w:rFonts w:cstheme="minorHAnsi"/>
          <w:lang w:val="en-US"/>
        </w:rPr>
        <w:t xml:space="preserve"> into CO via the reverse water gas shift reaction is a highly optimized technology. Nevertheless, recent breakthrough discoveries of catalytic materials such as promoted indium oxide</w:t>
      </w:r>
      <w:r w:rsidRPr="00E15608">
        <w:rPr>
          <w:rFonts w:cstheme="minorHAnsi"/>
          <w:lang w:val="en-US"/>
        </w:rPr>
        <w:fldChar w:fldCharType="begin"/>
      </w:r>
      <w:r w:rsidRPr="00E15608">
        <w:rPr>
          <w:rFonts w:cstheme="minorHAnsi"/>
          <w:lang w:val="en-US"/>
        </w:rPr>
        <w:instrText xml:space="preserve"> ADDIN ZOTERO_ITEM CSL_CITATION {"citationID":"q8kb5qW2","properties":{"formattedCitation":"\\super 17,18\\nosupersub{}","plainCitation":"17,18","noteIndex":0},"citationItems":[{"id":31767,"uris":["http://zotero.org/users/9157291/items/BU8CS79N"],"itemData":{"id":31767,"type":"article-journal","abstract":"Methanol synthesis by CO2 hydrogenation is attractive in view of avoiding the environmental implications associated with the production of the traditional syngas feedstock and mitigating global warming. However, there still is a lack of efficient catalysts for such alternative processes. Herein, we unveil the high activity, 100 % selectivity, and remarkable stability for 1000 h on stream of In2O3 supported on ZrO2 under industrially relevant conditions. This strongly contrasts to the benchmark Cu-ZnO-Al2O3 catalyst, which is unselective and experiences rapid deactivation. In-depth characterization of the In2O3-based materials points towards a mechanism rooted in the creation and annihilation of oxygen vacancies as active sites, whose amount can be modulated in situ by co-feeding CO and boosted through electronic interactions with the zirconia carrier. These results constitute a promising basis for the design of a prospective technology for sustainable methanol production.","container-title":"Angewandte Chemie","DOI":"10.1002/ange.201600943","ISSN":"1521-3757","issue":"21","language":"en","note":"_eprint: https://onlinelibrary.wiley.com/doi/pdf/10.1002/ange.201600943","page":"6369-6373","source":"Wiley Online Library","title":"Indium Oxide as a Superior Catalyst for Methanol Synthesis by CO2 Hydrogenation","volume":"128","author":[{"family":"Martin","given":"Oliver"},{"family":"Martín","given":"Antonio J."},{"family":"Mondelli","given":"Cecilia"},{"family":"Mitchell","given":"Sharon"},{"family":"Segawa","given":"Takuya F."},{"family":"Hauert","given":"Roland"},{"family":"Drouilly","given":"Charlotte"},{"family":"Curulla-Ferré","given":"Daniel"},{"family":"Pérez-Ramírez","given":"Javier"}],"issued":{"date-parts":[["2016"]]}}},{"id":31770,"uris":["http://zotero.org/users/9157291/items/DUJ2VT33"],"itemData":{"id":31770,"type":"article-journal","abstract":"Palladium promotion and deposition on monoclinic zirconia are effective strategies to boost the performance of bulk In2O3 in CO2-to-methanol and could unlock superior reactivity if well integrated into a single catalytic system. However, harnessing synergic effects of the individual components is crucial and very challenging as it requires precise control over their assembly. Herein, we present ternary Pd-In2O3-ZrO2 catalysts prepared by flame spray pyrolysis (FSP) with remarkable methanol productivity and improved metal utilization, surpassing their binary counterparts. Unlike established impregnation and co-precipitation methods, FSP produces materials combining low-nuclearity palladium species associated with In2O3 monolayers highly dispersed on the ZrO2 carrier, whose surface partially transforms from a tetragonal into a monoclinic-like structure upon reaction. A pioneering protocol developed to quantify oxygen vacancies using in situ electron paramagnetic resonance spectroscopy reveals their enhanced generation because of this unique catalyst architecture, thereby rationalizing its high and sustained methanol productivity.","container-title":"Nature Communications","DOI":"10.1038/s41467-022-33391-w","ISSN":"2041-1723","issue":"1","journalAbbreviation":"Nat Commun","language":"en","license":"2022 The Author(s)","note":"number: 1\npublisher: Nature Publishing Group","page":"5610","source":"www.nature.com","title":"Flame-made ternary Pd-In2O3-ZrO2 catalyst with enhanced oxygen vacancy generation for CO2 hydrogenation to methanol","volume":"13","author":[{"family":"Pinheiro Araújo","given":"Thaylan"},{"family":"Mondelli","given":"Cecilia"},{"family":"Agrachev","given":"Mikhail"},{"family":"Zou","given":"Tangsheng"},{"family":"Willi","given":"Patrik O."},{"family":"Engel","given":"Konstantin M."},{"family":"Grass","given":"Robert N."},{"family":"Stark","given":"Wendelin J."},{"family":"Safonova","given":"Olga V."},{"family":"Jeschke","given":"Gunnar"},{"family":"Mitchell","given":"Sharon"},{"family":"Pérez-Ramírez","given":"Javier"}],"issued":{"date-parts":[["2022",9,24]]}}}],"schema":"https://github.com/citation-style-language/schema/raw/master/csl-citation.json"}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17,18</w:t>
      </w:r>
      <w:r w:rsidRPr="00E15608">
        <w:rPr>
          <w:rFonts w:cstheme="minorHAnsi"/>
          <w:lang w:val="en-US"/>
        </w:rPr>
        <w:fldChar w:fldCharType="end"/>
      </w:r>
      <w:r w:rsidRPr="00E15608">
        <w:rPr>
          <w:rFonts w:cstheme="minorHAnsi"/>
          <w:lang w:val="en-US"/>
        </w:rPr>
        <w:t xml:space="preserve"> or zinc-zirconium oxide</w:t>
      </w:r>
      <w:r w:rsidRPr="00E15608">
        <w:rPr>
          <w:rFonts w:cstheme="minorHAnsi"/>
          <w:lang w:val="en-US"/>
        </w:rPr>
        <w:fldChar w:fldCharType="begin"/>
      </w:r>
      <w:r w:rsidRPr="00E15608">
        <w:rPr>
          <w:rFonts w:cstheme="minorHAnsi"/>
          <w:lang w:val="en-US"/>
        </w:rPr>
        <w:instrText xml:space="preserve"> ADDIN ZOTERO_ITEM CSL_CITATION {"citationID":"tZ4iLRHP","properties":{"formattedCitation":"\\super 19\\nosupersub{}","plainCitation":"19","noteIndex":0},"citationItems":[{"id":31772,"uris":["http://zotero.org/users/9157291/items/GSWCS3NY"],"itemData":{"id":31772,"type":"article-journal","abstract":"Although methanol synthesis via CO hydrogenation has been industrialized, CO2 hydrogenation to methanol still confronts great obstacles of low methanol selectivity and poor stability, particularly for supported metal catalysts under industrial conditions. We report a binary metal oxide, ZnO-ZrO2 solid solution catalyst, which can achieve methanol selectivity of up to 86 to 91% with CO2 single-pass conversion of more than 10% under reaction conditions of 5.0 MPa, 24,000 ml/(g hour), H2/CO2 = 3:1 to 4:1, 320° to 315°C. Experimental and theoretical results indicate that the synergetic effect between Zn and Zr sites results in the excellent performance. The ZnO-ZrO2 solid solution catalyst shows high stability for at least 500 hours on stream and is also resistant to sintering at higher temperatures. Moreover, no deactivation is observed in the presence of 50 ppm SO2 or H2S in the reaction stream.","container-title":"Science Advances","DOI":"10.1126/sciadv.1701290","issue":"10","note":"publisher: American Association for the Advancement of Science","page":"e1701290","source":"science.org (Atypon)","title":"A highly selective and stable ZnO-ZrO2 solid solution catalyst for CO2 hydrogenation to methanol","volume":"3","author":[{"family":"Wang","given":"Jijie"},{"family":"Li","given":"Guanna"},{"family":"Li","given":"Zelong"},{"family":"Tang","given":"Chizhou"},{"family":"Feng","given":"Zhaochi"},{"family":"An","given":"Hongyu"},{"family":"Liu","given":"Hailong"},{"family":"Liu","given":"Taifeng"},{"family":"Li","given":"Can"}],"issued":{"date-parts":[["2017",10,6]]}}}],"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19</w:t>
      </w:r>
      <w:r w:rsidRPr="00E15608">
        <w:rPr>
          <w:rFonts w:cstheme="minorHAnsi"/>
          <w:lang w:val="en-US"/>
        </w:rPr>
        <w:fldChar w:fldCharType="end"/>
      </w:r>
      <w:r w:rsidRPr="00E15608">
        <w:rPr>
          <w:rFonts w:cstheme="minorHAnsi"/>
          <w:lang w:val="en-US"/>
        </w:rPr>
        <w:t xml:space="preserve"> have opened the door to</w:t>
      </w:r>
      <w:r w:rsidRPr="00E15608" w:rsidDel="00B10C75">
        <w:rPr>
          <w:rFonts w:cstheme="minorHAnsi"/>
          <w:lang w:val="en-US"/>
        </w:rPr>
        <w:t xml:space="preserve"> </w:t>
      </w:r>
      <w:r w:rsidRPr="00E15608">
        <w:rPr>
          <w:rFonts w:cstheme="minorHAnsi"/>
          <w:lang w:val="en-US"/>
        </w:rPr>
        <w:t>directly hydrogenate CO</w:t>
      </w:r>
      <w:r w:rsidRPr="00E15608">
        <w:rPr>
          <w:rFonts w:cstheme="minorHAnsi"/>
          <w:vertAlign w:val="subscript"/>
          <w:lang w:val="en-US"/>
        </w:rPr>
        <w:t>2</w:t>
      </w:r>
      <w:r w:rsidRPr="00E15608">
        <w:rPr>
          <w:rFonts w:cstheme="minorHAnsi"/>
          <w:lang w:val="en-US"/>
        </w:rPr>
        <w:t xml:space="preserve"> into methanol. These catalytic technologies, in combination with carbon capture and production </w:t>
      </w:r>
      <w:r w:rsidRPr="00E15608">
        <w:rPr>
          <w:rFonts w:cstheme="minorHAnsi"/>
          <w:lang w:val="en-US"/>
        </w:rPr>
        <w:lastRenderedPageBreak/>
        <w:t>of low carbon hydrogen</w:t>
      </w:r>
      <w:r w:rsidRPr="00E15608">
        <w:rPr>
          <w:rFonts w:cstheme="minorHAnsi"/>
          <w:lang w:val="en-US"/>
        </w:rPr>
        <w:fldChar w:fldCharType="begin"/>
      </w:r>
      <w:r w:rsidRPr="00E15608">
        <w:rPr>
          <w:rFonts w:cstheme="minorHAnsi"/>
          <w:lang w:val="en-US"/>
        </w:rPr>
        <w:instrText xml:space="preserve"> ADDIN ZOTERO_ITEM CSL_CITATION {"citationID":"xE4lTznH","properties":{"formattedCitation":"\\super 10\\nosupersub{}","plainCitation":"10","noteIndex":0},"citationItems":[{"id":14174,"uris":["http://zotero.org/users/9157291/items/897KTRXK"],"itemData":{"id":14174,"type":"report","language":"en","page":"124","source":"Zotero","title":"Innovation Outlook: Renewable Methanol","author":[{"family":"IRENA","given":""}],"issued":{"date-parts":[["2021"]]}}}],"schema":"https://github.com/citation-style-language/schema/raw/master/csl-citation.json"}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10</w:t>
      </w:r>
      <w:r w:rsidRPr="00E15608">
        <w:rPr>
          <w:rFonts w:cstheme="minorHAnsi"/>
          <w:lang w:val="en-US"/>
        </w:rPr>
        <w:fldChar w:fldCharType="end"/>
      </w:r>
      <w:r w:rsidRPr="00E15608">
        <w:rPr>
          <w:rFonts w:cstheme="minorHAnsi"/>
          <w:lang w:val="en-US"/>
        </w:rPr>
        <w:t>, can sustain a greener methanol production. Regarding the electrocatalytic route, methanol remains as a minor product in the direct electrocatalytic conversion of CO</w:t>
      </w:r>
      <w:r w:rsidRPr="00E15608">
        <w:rPr>
          <w:rFonts w:cstheme="minorHAnsi"/>
          <w:vertAlign w:val="subscript"/>
          <w:lang w:val="en-US"/>
        </w:rPr>
        <w:t>2</w:t>
      </w:r>
      <w:r w:rsidRPr="00E15608">
        <w:rPr>
          <w:rFonts w:cstheme="minorHAnsi"/>
          <w:lang w:val="en-US"/>
        </w:rPr>
        <w:t>, and has thus not yet signaled promise for upscaling</w:t>
      </w:r>
      <w:r w:rsidRPr="00E15608">
        <w:rPr>
          <w:rFonts w:cstheme="minorHAnsi"/>
          <w:lang w:val="en-US"/>
        </w:rPr>
        <w:fldChar w:fldCharType="begin"/>
      </w:r>
      <w:r w:rsidRPr="00E15608">
        <w:rPr>
          <w:rFonts w:cstheme="minorHAnsi"/>
          <w:lang w:val="en-US"/>
        </w:rPr>
        <w:instrText xml:space="preserve"> ADDIN ZOTERO_ITEM CSL_CITATION {"citationID":"txTPOE0x","properties":{"formattedCitation":"\\super 20\\nosupersub{}","plainCitation":"20","noteIndex":0},"citationItems":[{"id":31774,"uris":["http://zotero.org/users/9157291/items/L7BUP9ZA"],"itemData":{"id":31774,"type":"article-journal","abstract":"To date, copper is the only heterogeneous catalyst that has shown a propensity to produce valuable hydrocarbons and alcohols, such as ethylene and ethanol, from electrochemical CO2 reduction (CO2R). There are variety of factors that impact CO2R activity and selectivity, including the catalyst surface structure, morphology, composition, the choice of electrolyte ions and pH, and the electrochemical cell design. Many of these factors are often intertwined, which can complicate catalyst discovery and design efforts. Here we take a broad and historical view of these different aspects and their complex interplay in CO2R catalysis on Cu, with the purpose of providing new insights, critical evaluations, and guidance to the field with regard to research directions and best practices. First, we describe the various experimental probes and complementary theoretical methods that have been used to discern the mechanisms by which products are formed, and next we present our current understanding of the complex reaction networks for CO2R on Cu. We then analyze two key methods that have been used in attempts to alter the activity and selectivity of Cu: nanostructuring and the formation of bimetallic electrodes. Finally, we offer some perspectives on the future outlook for electrochemical CO2R.","container-title":"Chemical Reviews","DOI":"10.1021/acs.chemrev.8b00705","ISSN":"0009-2665","issue":"12","journalAbbreviation":"Chem. Rev.","note":"publisher: American Chemical Society","page":"7610-7672","source":"ACS Publications","title":"Progress and Perspectives of Electrochemical CO2 Reduction on Copper in Aqueous Electrolyte","volume":"119","author":[{"family":"Nitopi","given":"Stephanie"},{"family":"Bertheussen","given":"Erlend"},{"family":"Scott","given":"Soren B."},{"family":"Liu","given":"Xinyan"},{"family":"Engstfeld","given":"Albert K."},{"family":"Horch","given":"Sebastian"},{"family":"Seger","given":"Brian"},{"family":"Stephens","given":"Ifan E. L."},{"family":"Chan","given":"Karen"},{"family":"Hahn","given":"Christopher"},{"family":"Nørskov","given":"Jens K."},{"family":"Jaramillo","given":"Thomas F."},{"family":"Chorkendorff","given":"Ib"}],"issued":{"date-parts":[["2019",6,26]]}}}],"schema":"https://github.com/citation-style-language/schema/raw/master/csl-citation.json"}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20</w:t>
      </w:r>
      <w:r w:rsidRPr="00E15608">
        <w:rPr>
          <w:rFonts w:cstheme="minorHAnsi"/>
          <w:lang w:val="en-US"/>
        </w:rPr>
        <w:fldChar w:fldCharType="end"/>
      </w:r>
      <w:r w:rsidRPr="00E15608">
        <w:rPr>
          <w:rFonts w:cstheme="minorHAnsi"/>
          <w:lang w:val="en-US"/>
        </w:rPr>
        <w:t xml:space="preserve">. </w:t>
      </w:r>
    </w:p>
    <w:p w14:paraId="3B2E063A" w14:textId="78045583" w:rsidR="00E15608" w:rsidRDefault="00E15608" w:rsidP="00577897">
      <w:pPr>
        <w:jc w:val="both"/>
        <w:rPr>
          <w:rFonts w:cstheme="minorHAnsi"/>
          <w:lang w:val="en-US"/>
        </w:rPr>
      </w:pPr>
      <w:r w:rsidRPr="00E15608">
        <w:rPr>
          <w:rFonts w:cstheme="minorHAnsi"/>
          <w:lang w:val="en-US"/>
        </w:rPr>
        <w:t>Overall, prior works have demonstrated the technical feasibility</w:t>
      </w:r>
      <w:r w:rsidRPr="00E15608">
        <w:rPr>
          <w:rFonts w:cstheme="minorHAnsi"/>
          <w:lang w:val="en-US"/>
        </w:rPr>
        <w:fldChar w:fldCharType="begin"/>
      </w:r>
      <w:r w:rsidRPr="00E15608">
        <w:rPr>
          <w:rFonts w:cstheme="minorHAnsi"/>
          <w:lang w:val="en-US"/>
        </w:rPr>
        <w:instrText xml:space="preserve"> ADDIN ZOTERO_ITEM CSL_CITATION {"citationID":"WRVksAsW","properties":{"formattedCitation":"\\super 8,15,21,22\\nosupersub{}","plainCitation":"8,15,21,22","noteIndex":0},"citationItems":[{"id":27548,"uris":["http://zotero.org/users/9157291/items/U2JU5DYJ"],"itemData":{"id":27548,"type":"report","language":"en","note":"DOI: 10.1787/f6daa4a0-en","publisher":"OECD","source":"DOI.org (Crossref)","title":"Ammonia Technology Roadmap: Towards more sustainable nitrogen fertiliser production","title-short":"Ammonia Technology Roadmap","URL":"https://www.oecd-ilibrary.org/energy/ammonia-technology-roadmap_f6daa4a0-en","author":[{"literal":"IEA"}],"accessed":{"date-parts":[["2022",12,19]]},"issued":{"date-parts":[["2021",10,18]]}}},{"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Fernanda"}],"accessed":{"date-parts":[["2022",12,9]]},"issued":{"date-parts":[["2022"]]}}},{"id":7397,"uris":["http://zotero.org/users/9157291/items/VCI52L9Z"],"itemData":{"id":7397,"type":"report","language":"en","page":"60","publisher":"International Energy Agency","source":"Zotero","title":"Technology Roadmap Energy and GHG Reductions in the Chemical Industry via Catalytic Processes","author":[{"family":"IEA","given":""}],"issued":{"date-parts":[["2013"]]}}},{"id":27289,"uris":["http://zotero.org/users/9157291/items/27ZU9RRM"],"itemData":{"id":27289,"type":"article-journal","abstract":"Carbon capture, utilization and storage (CCUS) have been projected by the power and industrial sectors to play a vital role towards net-zero greenhouse gas emissions. In this study, we aim to explore the feasibility of a global chemical industry that fully relies on CO2 as its carbon source in 2050. We project the global annual CO2 demand as chemical feedstock to be 2.2–3.1 gigatonnes (Gt), well within the possible range of supply (5.2–13.9 Gt) from the power, cement, steel, and kraft pulp sectors. Hence, feedstock availability is not a constraint factor for the transition towards a fully CO2-based chemical industry on the global basis, with the exception of few regions that could face local supply shortages, such as the Middle East. We further conduct life cycle assessment to examine the environmental benefits on climate change and the trade-offs of particulate matter-related health impacts induced by carbon capture. We conclude that CO2 captured from solid biomass-fired power plants and kraft pulp mills in Europe would have the least environmental and health impacts, and that India and China should prioritize low-impact regional electricity supply before a large-scale deployment of CCUS. Finally, two bottom-up case studies of China and the Middle East illustrate how the total regional environmental and health impacts from carbon capture can be minimized by optimizing its supply sources and transport, requiring cross-sectoral cooperation and early planning of infrastructure. Overall, capture and utilization of unabatable industrial waste CO2 as chemical feedstock can be a feasible way for the net-zero transition of the industry, while concerted efforts are yet needed to build up the carbon-capture-and-utilization value chain around the world.","container-title":"Green Chemistry","DOI":"10.1039/D2GC03047K","ISSN":"1463-9270","journalAbbreviation":"Green Chem.","language":"en","note":"publisher: The Royal Society of Chemistry","page":"415-430","source":"pubs.rsc.org","title":"Net-zero transition of the global chemical industry with CO2-feedstock by 2050: feasible yet challenging","title-short":"Net-zero transition of the global chemical industry with CO2-feedstock by 2050","volume":"25","author":[{"family":"Huo","given":"Jing"},{"family":"Wang","given":"Zhanyun"},{"family":"Oberschelp","given":"Christopher"},{"family":"Guillén-Gosálbez","given":"Gonzalo"},{"family":"Hellweg","given":"Stefanie"}],"issued":{"date-parts":[["2023"]]}}}],"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8,15,21,22</w:t>
      </w:r>
      <w:r w:rsidRPr="00E15608">
        <w:rPr>
          <w:rFonts w:cstheme="minorHAnsi"/>
          <w:lang w:val="en-US"/>
        </w:rPr>
        <w:fldChar w:fldCharType="end"/>
      </w:r>
      <w:r w:rsidRPr="00E15608">
        <w:rPr>
          <w:rFonts w:cstheme="minorHAnsi"/>
          <w:lang w:val="en-US"/>
        </w:rPr>
        <w:t xml:space="preserve"> and potential climate benefits</w:t>
      </w:r>
      <w:r w:rsidRPr="00E15608">
        <w:rPr>
          <w:rFonts w:cstheme="minorHAnsi"/>
          <w:lang w:val="en-US"/>
        </w:rPr>
        <w:fldChar w:fldCharType="begin"/>
      </w:r>
      <w:r w:rsidRPr="00E15608">
        <w:rPr>
          <w:rFonts w:cstheme="minorHAnsi"/>
          <w:lang w:val="en-US"/>
        </w:rPr>
        <w:instrText xml:space="preserve"> ADDIN ZOTERO_ITEM CSL_CITATION {"citationID":"4uxQQGaL","properties":{"formattedCitation":"\\super 11,23\\uc0\\u8211{}25\\nosupersub{}","plainCitation":"11,23–25","noteIndex":0},"citationItems":[{"id":3860,"uris":["http://zotero.org/users/9157291/items/AFKW7KRC"],"itemData":{"id":3860,"type":"article-journal","abstract":"At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id":19313,"uris":["http://zotero.org/users/9157291/items/9MFRQVYI"],"itemData":{"id":19313,"type":"article-journal","abstract":"Carbon capture and utilisation (CCU) provides an appealing framework to turn carbon emissions into valuable fuels and chemicals. However, given the vast energy required to activate the CO2 molecule, CCU may have implications on sustainable development that are still poorly understood due to the narrow scope of current carbon footprint-oriented assessments lacking absolute sustainability thresholds. To bridge this gap, we developed a power-chemicals nexus model to look into the future and understand how we could produce 22 net-zero bulk chemicals of crucial importance in a sustainable manner by integrating fossil, CCU routes and power technologies, often assessed separately. We evaluated the environmental performance of these technologies in terms of their contribution to 5 Sustainable Development Goals (SDGs), using 16 life cycle assessment metrics and 9 planetary boundaries (PB) to quantify and interpret the impact values. We found that fossil chemicals could hamper the attainment of SDG 3 on good health and well-being and SDG 13 on climate change. CCU could help meet SDG 13 but would damage other SDGs due to burden-shifting to human health, water scarcity, and minerals and metals depletion impacts. The collateral damage could be mitigated by judiciously combining fossil and CCU routes with carbon-negative power sources guided by optimisation models incorporating SDGs-based performance criteria explicitly. Our work highlights the importance of embracing the SDGs in technology development to sensibly support the low-carbon energy and chemicals transition.","container-title":"Energy &amp; Environmental Science","DOI":"10.1039/D2EE01153K","ISSN":"1754-5706","journalAbbreviation":"Energy Environ. Sci.","language":"en","note":"publisher: The Royal Society of Chemistry","source":"pubs.rsc.org","title":"Trade-offs between Sustainable Development Goals in carbon capture and utilisation","URL":"https://pubs.rsc.org/en/content/articlelanding/2022/ee/d2ee01153k","author":[{"family":"Ioannou","given":"Iasonas"},{"family":"Galán-Martín","given":"Ángel"},{"family":"Pérez-Ramírez","given":"Javier"},{"family":"Guillén-Gosálbez","given":"Gonzalo"}],"accessed":{"date-parts":[["2022",9,19]]},"issued":{"date-parts":[["2022",8,31]]}}},{"id":3571,"uris":["http://zotero.org/users/9157291/items/F2TCR293"],"itemData":{"id":3571,"type":"article-journal","container-title":"Proceedings of the National Academy of Sciences","DOI":"10.1073/pnas.1821029116","issue":"23","note":"publisher: Proceedings of the National Academy of Sciences","page":"11187-11194","source":"pnas.org (Atypon)","title":"Climate change mitigation potential of carbon capture and utilization in the chemical industry","volume":"116","author":[{"family":"Kätelhön","given":"Arne"},{"family":"Meys","given":"Raoul"},{"family":"Deutz","given":"Sarah"},{"family":"Suh","given":"Sangwon"},{"family":"Bardow","given":"André"}],"issued":{"date-parts":[["2019",6,4]]}}}],"schema":"https://github.com/citation-style-language/schema/raw/master/csl-citation.json"} </w:instrText>
      </w:r>
      <w:r w:rsidRPr="00E15608">
        <w:rPr>
          <w:rFonts w:cstheme="minorHAnsi"/>
          <w:lang w:val="en-US"/>
        </w:rPr>
        <w:fldChar w:fldCharType="separate"/>
      </w:r>
      <w:r w:rsidRPr="00E15608">
        <w:rPr>
          <w:rFonts w:ascii="Calibri" w:hAnsi="Calibri" w:cs="Calibri"/>
          <w:szCs w:val="24"/>
          <w:vertAlign w:val="superscript"/>
          <w:lang w:val="en-US"/>
        </w:rPr>
        <w:t>11,23–25</w:t>
      </w:r>
      <w:r w:rsidRPr="00E15608">
        <w:rPr>
          <w:rFonts w:cstheme="minorHAnsi"/>
          <w:lang w:val="en-US"/>
        </w:rPr>
        <w:fldChar w:fldCharType="end"/>
      </w:r>
      <w:r w:rsidRPr="00E15608">
        <w:rPr>
          <w:rFonts w:cstheme="minorHAnsi"/>
          <w:vertAlign w:val="superscript"/>
          <w:lang w:val="en-US"/>
        </w:rPr>
        <w:t xml:space="preserve"> </w:t>
      </w:r>
      <w:r w:rsidRPr="00E15608">
        <w:rPr>
          <w:rFonts w:cstheme="minorHAnsi"/>
          <w:lang w:val="en-US"/>
        </w:rPr>
        <w:t>of most developed options for low carbon chemicals. Unfortunately, another common denominator is the prediction of production costs at least doubling those attainable by fossil-based technologies</w:t>
      </w:r>
      <w:r>
        <w:rPr>
          <w:rFonts w:cstheme="minorHAnsi"/>
        </w:rPr>
        <w:fldChar w:fldCharType="begin"/>
      </w:r>
      <w:r w:rsidRPr="00E15608">
        <w:rPr>
          <w:rFonts w:cstheme="minorHAnsi"/>
          <w:lang w:val="en-US"/>
        </w:rPr>
        <w:instrText xml:space="preserve"> ADDIN ZOTERO_ITEM CSL_CITATION {"citationID":"sPb4ycfd","properties":{"formattedCitation":"\\super 11,12,26\\nosupersub{}","plainCitation":"11,12,26","noteIndex":0},"citationItems":[{"id":4242,"uris":["http://zotero.org/users/9157291/items/69SKN82T"],"itemData":{"id":4242,"type":"article-journal","abstract":"The capture and use of carbon dioxide to create valuable products might lower the net costs of reducing emissions or removing carbon dioxide from the atmosphere. Here we review ten pathways for the utilization of carbon dioxide. Pathways that involve chemicals, fuels and microalgae might reduce emissions of carbon dioxide but have limited potential for its removal, whereas pathways that involve construction materials can both utilize and remove carbon dioxide. Land-based pathways can increase agricultural output and remove carbon dioxide. Our assessment suggests that each pathway could scale to over 0.5 gigatonnes of carbon dioxide utilization annually. However, barriers to implementation remain substantial and resource constraints prevent the simultaneous deployment of all pathways.","container-title":"Nature","DOI":"10.1038/s41586-019-1681-6","ISSN":"1476-4687","issue":"7781","language":"en","license":"2019 Springer Nature Limited","note":"number: 7781\npublisher: Nature Publishing Group","page":"87-97","source":"www.nature.com</w:instrText>
      </w:r>
      <w:r>
        <w:rPr>
          <w:rFonts w:cstheme="minorHAnsi"/>
        </w:rPr>
        <w:instrText>","title":"The technological and economic prospects for CO2 utilization and removal","volume":"575","author":[{"family":"Hepburn","given":"Cameron"},{"family":"Adlen","given":"Ella"},{"family":"Beddington","given":"John"},{"family":"Carter","given":"Emily A."},{"family":"Fuss","given":"Sabine"},{"family":"Mac Dowell","given":"Niall"},{"family":"Minx","given":"Jan C."},{"family":"Smith","given":"Pete"},{"family":"Williams","given":"Charlotte K."}],"issued":{"date-parts":[["2019",11]]}}},{"id":3860,"uris":["http://zotero.org/users/9157291/items/AFKW7KRC"],"itemData":{"id":3860,"type":"article-journal","abstract":"At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w:instrText>
      </w:r>
      <w:r w:rsidRPr="00E15608">
        <w:rPr>
          <w:rFonts w:cstheme="minorHAnsi"/>
          <w:lang w:val="en-US"/>
        </w:rPr>
        <w:instrText xml:space="preserve">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11,12,26</w:t>
      </w:r>
      <w:r>
        <w:rPr>
          <w:rFonts w:cstheme="minorHAnsi"/>
        </w:rPr>
        <w:fldChar w:fldCharType="end"/>
      </w:r>
      <w:r w:rsidRPr="00E15608">
        <w:rPr>
          <w:rFonts w:cstheme="minorHAnsi"/>
          <w:lang w:val="en-US"/>
        </w:rPr>
        <w:t>. This is a consequence of the historically higher costs of renewable feedstocks (</w:t>
      </w:r>
      <w:r w:rsidRPr="00E15608">
        <w:rPr>
          <w:rFonts w:cstheme="minorHAnsi"/>
          <w:i/>
          <w:iCs/>
          <w:lang w:val="en-US"/>
        </w:rPr>
        <w:t>i.e.</w:t>
      </w:r>
      <w:r w:rsidRPr="00E15608">
        <w:rPr>
          <w:rFonts w:cstheme="minorHAnsi"/>
          <w:lang w:val="en-US"/>
        </w:rPr>
        <w:t>, renewable hydrogen</w:t>
      </w:r>
      <w:r w:rsidRPr="00E15608">
        <w:rPr>
          <w:rFonts w:cstheme="minorHAnsi"/>
          <w:vertAlign w:val="subscript"/>
          <w:lang w:val="en-US"/>
        </w:rPr>
        <w:t xml:space="preserve"> </w:t>
      </w:r>
      <w:r w:rsidRPr="00E15608">
        <w:rPr>
          <w:rFonts w:cstheme="minorHAnsi"/>
          <w:lang w:val="en-US"/>
        </w:rPr>
        <w:t>and captured CO</w:t>
      </w:r>
      <w:r w:rsidRPr="00E15608">
        <w:rPr>
          <w:rFonts w:cstheme="minorHAnsi"/>
          <w:vertAlign w:val="subscript"/>
          <w:lang w:val="en-US"/>
        </w:rPr>
        <w:t>2</w:t>
      </w:r>
      <w:r w:rsidRPr="00E15608">
        <w:rPr>
          <w:rFonts w:cstheme="minorHAnsi"/>
          <w:lang w:val="en-US"/>
        </w:rPr>
        <w:t>) compared with natural gas</w:t>
      </w:r>
      <w:r>
        <w:rPr>
          <w:rFonts w:cstheme="minorHAnsi"/>
        </w:rPr>
        <w:fldChar w:fldCharType="begin"/>
      </w:r>
      <w:r w:rsidRPr="00E15608">
        <w:rPr>
          <w:rFonts w:cstheme="minorHAnsi"/>
          <w:lang w:val="en-US"/>
        </w:rPr>
        <w:instrText xml:space="preserve"> ADDIN ZOTERO_ITEM CSL_CITATION {"citationID":"WvOX4aq3","properties":{"formattedCitation":"\\super 11,12\\nosupersub{}","plainCitation":"11,12","noteIndex":0},"citationItems":[{"id":3860,"uris":["http://zotero.org/users/9157291/items/AFKW7KRC"],"itemData":{"id":3860,"type":"article-journal","abstract":"At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w:instrText>
      </w:r>
      <w:r>
        <w:rPr>
          <w:rFonts w:cstheme="minorHAnsi"/>
        </w:rPr>
        <w:instrText>ﬁ</w:instrText>
      </w:r>
      <w:r w:rsidRPr="00E15608">
        <w:rPr>
          <w:rFonts w:cstheme="minorHAnsi"/>
          <w:lang w:val="en-US"/>
        </w:rPr>
        <w:instrText>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w:instrText>
      </w:r>
      <w:r>
        <w:rPr>
          <w:rFonts w:cstheme="minorHAnsi"/>
        </w:rPr>
        <w:instrText>ﬁ</w:instrText>
      </w:r>
      <w:r w:rsidRPr="00E15608">
        <w:rPr>
          <w:rFonts w:cstheme="minorHAnsi"/>
          <w:lang w:val="en-US"/>
        </w:rPr>
        <w:instrText>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w:instrText>
      </w:r>
      <w:r>
        <w:rPr>
          <w:rFonts w:cstheme="minorHAnsi"/>
        </w:rPr>
        <w:instrText xml:space="preserve">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w:instrText>
      </w:r>
      <w:r w:rsidRPr="00E15608">
        <w:rPr>
          <w:rFonts w:cstheme="minorHAnsi"/>
          <w:lang w:val="en-US"/>
        </w:rPr>
        <w:instrText xml:space="preserve">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11,12</w:t>
      </w:r>
      <w:r>
        <w:rPr>
          <w:rFonts w:cstheme="minorHAnsi"/>
        </w:rPr>
        <w:fldChar w:fldCharType="end"/>
      </w:r>
      <w:r w:rsidRPr="00E15608">
        <w:rPr>
          <w:rFonts w:cstheme="minorHAnsi"/>
          <w:lang w:val="en-US"/>
        </w:rPr>
        <w:t>. However, this picture has abruptly changed since natural gas has experienced a sharp increase in prices over the last two years, primarily d</w:t>
      </w:r>
      <w:commentRangeStart w:id="1"/>
      <w:commentRangeStart w:id="2"/>
      <w:r w:rsidRPr="00E15608">
        <w:rPr>
          <w:rFonts w:cstheme="minorHAnsi"/>
          <w:lang w:val="en-US"/>
        </w:rPr>
        <w:t>ue to the COVID-19 pandemic</w:t>
      </w:r>
      <w:commentRangeEnd w:id="1"/>
      <w:r>
        <w:rPr>
          <w:rStyle w:val="CommentReference"/>
        </w:rPr>
        <w:commentReference w:id="1"/>
      </w:r>
      <w:commentRangeEnd w:id="2"/>
      <w:r>
        <w:rPr>
          <w:rStyle w:val="CommentReference"/>
          <w:lang w:val="en-GB"/>
        </w:rPr>
        <w:commentReference w:id="2"/>
      </w:r>
      <w:r w:rsidRPr="00E15608">
        <w:rPr>
          <w:rFonts w:cstheme="minorHAnsi"/>
          <w:lang w:val="en-US"/>
        </w:rPr>
        <w:t>, skyrocketing inflation, and the global energy crisis caused by the Russian invasion of Ukraine. Energy supply disruption as a result of the new geopolitical scenario has severely affected Europe, where monthly average natural gas spot prices (</w:t>
      </w:r>
      <w:r w:rsidRPr="00E15608">
        <w:rPr>
          <w:rFonts w:cstheme="minorHAnsi"/>
          <w:i/>
          <w:iCs/>
          <w:lang w:val="en-US"/>
        </w:rPr>
        <w:t>i.e.</w:t>
      </w:r>
      <w:r w:rsidRPr="00E15608">
        <w:rPr>
          <w:rFonts w:cstheme="minorHAnsi"/>
          <w:lang w:val="en-US"/>
        </w:rPr>
        <w:t>, trading prices at the Title Transfer Facility (TTF) hub in the Netherlands, the most important in Europe</w:t>
      </w:r>
      <w:r>
        <w:rPr>
          <w:rFonts w:cstheme="minorHAnsi"/>
        </w:rPr>
        <w:fldChar w:fldCharType="begin"/>
      </w:r>
      <w:r w:rsidRPr="00E15608">
        <w:rPr>
          <w:rFonts w:cstheme="minorHAnsi"/>
          <w:lang w:val="en-US"/>
        </w:rPr>
        <w:instrText xml:space="preserve"> ADDIN ZOTERO_ITEM CSL_CITATION {"citationID":"kPw6OVGI","properties":{"formattedCitation":"\\super 27\\nosupersub{}","plainCitation":"27","noteIndex":0},"citationItems":[{"id":31546,"uris":["http://zotero.org/users/9157291/items/KY7YU3FE"],"itemData":{"id":31546,"type":"report","language":"en","publisher":"The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27</w:t>
      </w:r>
      <w:r>
        <w:rPr>
          <w:rFonts w:cstheme="minorHAnsi"/>
        </w:rPr>
        <w:fldChar w:fldCharType="end"/>
      </w:r>
      <w:r w:rsidRPr="00E15608">
        <w:rPr>
          <w:rFonts w:cstheme="minorHAnsi"/>
          <w:lang w:val="en-US"/>
        </w:rPr>
        <w:t>) have increased from 560 USD t</w:t>
      </w:r>
      <w:r w:rsidRPr="00F62A8C">
        <w:rPr>
          <w:vertAlign w:val="superscript"/>
          <w:lang w:val="en-US"/>
        </w:rPr>
        <w:t>−</w:t>
      </w:r>
      <w:r w:rsidRPr="00E15608">
        <w:rPr>
          <w:rFonts w:cstheme="minorHAnsi"/>
          <w:vertAlign w:val="superscript"/>
          <w:lang w:val="en-US"/>
        </w:rPr>
        <w:t>1</w:t>
      </w:r>
      <w:r w:rsidRPr="00E15608">
        <w:rPr>
          <w:rFonts w:cstheme="minorHAnsi"/>
          <w:lang w:val="en-US"/>
        </w:rPr>
        <w:t xml:space="preserve"> in July 2021 to 2,300 USD t</w:t>
      </w:r>
      <w:r w:rsidRPr="00F62A8C">
        <w:rPr>
          <w:vertAlign w:val="superscript"/>
          <w:lang w:val="en-US"/>
        </w:rPr>
        <w:t>−</w:t>
      </w:r>
      <w:r w:rsidRPr="00E15608">
        <w:rPr>
          <w:rFonts w:cstheme="minorHAnsi"/>
          <w:vertAlign w:val="superscript"/>
          <w:lang w:val="en-US"/>
        </w:rPr>
        <w:t>1</w:t>
      </w:r>
      <w:r w:rsidRPr="00E15608">
        <w:rPr>
          <w:rFonts w:cstheme="minorHAnsi"/>
          <w:lang w:val="en-US"/>
        </w:rPr>
        <w:t xml:space="preserve"> as of July 2022, while the price of grid electricity has </w:t>
      </w:r>
      <w:r w:rsidR="00F24E46">
        <w:rPr>
          <w:rFonts w:cstheme="minorHAnsi"/>
          <w:lang w:val="en-US"/>
        </w:rPr>
        <w:t xml:space="preserve">increased from </w:t>
      </w:r>
      <w:r w:rsidR="00DB527E">
        <w:rPr>
          <w:rFonts w:cstheme="minorHAnsi"/>
          <w:lang w:val="en-US"/>
        </w:rPr>
        <w:t>81 USD MWh</w:t>
      </w:r>
      <w:r w:rsidR="00DB527E" w:rsidRPr="00DB527E">
        <w:rPr>
          <w:rFonts w:cstheme="minorHAnsi"/>
          <w:vertAlign w:val="superscript"/>
          <w:lang w:val="en-US"/>
        </w:rPr>
        <w:t>-1</w:t>
      </w:r>
      <w:r w:rsidR="00DB527E">
        <w:rPr>
          <w:rFonts w:cstheme="minorHAnsi"/>
          <w:lang w:val="en-US"/>
        </w:rPr>
        <w:t xml:space="preserve"> to 315 USD MWh</w:t>
      </w:r>
      <w:r w:rsidR="00DB527E" w:rsidRPr="00DB527E">
        <w:rPr>
          <w:rFonts w:cstheme="minorHAnsi"/>
          <w:vertAlign w:val="superscript"/>
          <w:lang w:val="en-US"/>
        </w:rPr>
        <w:t>-1</w:t>
      </w:r>
      <w:r w:rsidR="00DB527E">
        <w:rPr>
          <w:rFonts w:cstheme="minorHAnsi"/>
          <w:lang w:val="en-US"/>
        </w:rPr>
        <w:t xml:space="preserve"> </w:t>
      </w:r>
      <w:r w:rsidR="00CA3E0C">
        <w:rPr>
          <w:rFonts w:cstheme="minorHAnsi"/>
          <w:lang w:val="en-US"/>
        </w:rPr>
        <w:t>within the same period</w:t>
      </w:r>
      <w:r>
        <w:rPr>
          <w:rFonts w:cstheme="minorHAnsi"/>
        </w:rPr>
        <w:fldChar w:fldCharType="begin"/>
      </w:r>
      <w:r w:rsidRPr="00E15608">
        <w:rPr>
          <w:rFonts w:cstheme="minorHAnsi"/>
          <w:lang w:val="en-US"/>
        </w:rPr>
        <w:instrText xml:space="preserve"> ADDIN ZOTERO_ITEM CSL_CITATION {"citationID":"OU7CFv9C","properties":{"formattedCitation":"\\super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28</w:t>
      </w:r>
      <w:r>
        <w:rPr>
          <w:rFonts w:cstheme="minorHAnsi"/>
        </w:rPr>
        <w:fldChar w:fldCharType="end"/>
      </w:r>
      <w:r w:rsidRPr="00E15608">
        <w:rPr>
          <w:rFonts w:cstheme="minorHAnsi"/>
          <w:lang w:val="en-US"/>
        </w:rPr>
        <w:t>. This drastic change has had severe consequences for the European chemical industry</w:t>
      </w:r>
      <w:r>
        <w:rPr>
          <w:rFonts w:cstheme="minorHAnsi"/>
        </w:rPr>
        <w:fldChar w:fldCharType="begin"/>
      </w:r>
      <w:r w:rsidRPr="00E15608">
        <w:rPr>
          <w:rFonts w:cstheme="minorHAnsi"/>
          <w:lang w:val="en-US"/>
        </w:rPr>
        <w:instrText xml:space="preserve"> ADDIN ZOTERO_ITEM CSL_CITATION {"citationID":"zYSz1A3k","properties":{"formattedCitation":"\\super 29\\nosupersub{}","plainCitation":"29","noteIndex":0},"citationItems":[{"id":29871,"uris":["http://zotero.org/users/9157291/items/3FV7ZVAG"],"itemData":{"id":29871,"type":"report","publisher":"European Chemical Industry Council","title":"Chemical Monthly Report (CMR) - High energy prices and economic uncertainty continue to drive down the chemicals output in the EU27 area","URL":"https://cefic.org/app/uploads/2022/12/EU27-Chemicals-Business-Monthly-Briefings-Nov-2022.pdf","author":[{"family":"cefic","given":""}],"accessed":{"date-parts":[["2023",1,12]]},"issued":{"date-parts":[["2022",12,2]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29</w:t>
      </w:r>
      <w:r>
        <w:rPr>
          <w:rFonts w:cstheme="minorHAnsi"/>
        </w:rPr>
        <w:fldChar w:fldCharType="end"/>
      </w:r>
      <w:r w:rsidRPr="00E15608">
        <w:rPr>
          <w:rFonts w:cstheme="minorHAnsi"/>
          <w:lang w:val="en-US"/>
        </w:rPr>
        <w:t>. For example, more than half of Europe’s ammonia production capacity (</w:t>
      </w:r>
      <w:r w:rsidR="00E351AF">
        <w:rPr>
          <w:rFonts w:cstheme="minorHAnsi"/>
          <w:lang w:val="en-US"/>
        </w:rPr>
        <w:t xml:space="preserve">around </w:t>
      </w:r>
      <w:r w:rsidR="00DC5D33">
        <w:rPr>
          <w:rFonts w:cstheme="minorHAnsi"/>
          <w:lang w:val="en-US"/>
        </w:rPr>
        <w:t>8</w:t>
      </w:r>
      <w:r w:rsidR="00B47402">
        <w:rPr>
          <w:rFonts w:cstheme="minorHAnsi"/>
          <w:lang w:val="en-US"/>
        </w:rPr>
        <w:t xml:space="preserve">% of </w:t>
      </w:r>
      <w:r w:rsidR="00541701">
        <w:rPr>
          <w:rFonts w:cstheme="minorHAnsi"/>
          <w:lang w:val="en-US"/>
        </w:rPr>
        <w:t xml:space="preserve">the </w:t>
      </w:r>
      <w:r w:rsidR="00B47402">
        <w:rPr>
          <w:rFonts w:cstheme="minorHAnsi"/>
          <w:lang w:val="en-US"/>
        </w:rPr>
        <w:t xml:space="preserve">global </w:t>
      </w:r>
      <w:r w:rsidR="00E60736">
        <w:rPr>
          <w:rFonts w:cstheme="minorHAnsi"/>
          <w:lang w:val="en-US"/>
        </w:rPr>
        <w:t>production</w:t>
      </w:r>
      <w:r w:rsidRPr="00E15608">
        <w:rPr>
          <w:rFonts w:cstheme="minorHAnsi"/>
          <w:lang w:val="en-US"/>
        </w:rPr>
        <w:t>)</w:t>
      </w:r>
      <w:r>
        <w:rPr>
          <w:rFonts w:cstheme="minorHAnsi"/>
        </w:rPr>
        <w:fldChar w:fldCharType="begin"/>
      </w:r>
      <w:r w:rsidRPr="00E15608">
        <w:rPr>
          <w:rFonts w:cstheme="minorHAnsi"/>
          <w:lang w:val="en-US"/>
        </w:rPr>
        <w:instrText xml:space="preserve"> ADDIN ZOTERO_ITEM CSL_CITATION {"citationID":"oeRqOW4i","properties":{"formattedCitation":"\\super 15\\nosupersub{}","plainCitation":"15","noteIndex":0},"citationItems":[{"id":26343,"uris":["http://zotero.org/users/9157291/items/86IUUBD4"],"itemData":{"id":26343,"type":"report","publisher":"DECHEMA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15</w:t>
      </w:r>
      <w:r>
        <w:rPr>
          <w:rFonts w:cstheme="minorHAnsi"/>
        </w:rPr>
        <w:fldChar w:fldCharType="end"/>
      </w:r>
      <w:r w:rsidRPr="00E15608">
        <w:rPr>
          <w:rFonts w:cstheme="minorHAnsi"/>
          <w:lang w:val="en-US"/>
        </w:rPr>
        <w:t xml:space="preserve"> was paused during 2022 due to gas prices</w:t>
      </w:r>
      <w:r>
        <w:rPr>
          <w:rFonts w:cstheme="minorHAnsi"/>
        </w:rPr>
        <w:fldChar w:fldCharType="begin"/>
      </w:r>
      <w:r w:rsidRPr="00E15608">
        <w:rPr>
          <w:rFonts w:cstheme="minorHAnsi"/>
          <w:lang w:val="en-US"/>
        </w:rPr>
        <w:instrText xml:space="preserve"> ADDIN ZOTERO_ITEM CSL_CITATION {"citationID":"OFI4q7zf","properties":{"formattedCitation":"\\super 30,31\\nosupersub{}","plainCitation":"30,31","noteIndex":0},"citationItems":[{"id":26351,"uris":["http://zotero.org/users/9157291/items/ZNIINMHR"],"itemData":{"id":26351,"type":"article-newspaper","abstract":"Europe’s fertilizer crunch tightened after Yara International ASA cut output in the face of soaring gas prices, putting more pressure on food supplies as a cost-of-living crisis intensifies.","container-title":"Bloomberg.com","language":"en","source":"www.bloomberg.com","title":"Europe’s Widening Fertilizer Crisis Threatens Food Supplies","URL":"https://www.bloomberg.com/news/articles/2022-08-25/yara-to-further-cut-european-ammonia-production-due-to-gas-spike","author":[{"family":"Sousa","given":"Agnieszka","non-dropping-particle":"de"},{"family":"Gebre","given":"Samuel"},{"family":"Treloar","given":"Stephen"}],"accessed":{"date-parts":[["2022",12,9]]},"issued":{"date-parts":[["2022",8,25]]}}},{"id":26353,"uris":["http://zotero.org/users/9157291/items/J9GLHR82"],"itemData":{"id":26353,"type":"post-weblog","abstract":"Individual news pages","container-title":"ICIS Explore","language":"en-US","title":"EPCA ’22: European shut ammonia production unlikely to return - analyst","title-short":"EPCA ’22","URL":"https://www.icis.com/explore/resources/news/2022/10/04/10811649/epca-22-european-shut-ammonia-production-unlikely-to-return-analyst","author":[{"family":"Lopez","given":"Jonathan"}],"accessed":{"date-parts":[["2022",12,9]]},"issued":{"date-parts":[["2022",11,4]]}}}],"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30,31</w:t>
      </w:r>
      <w:r>
        <w:rPr>
          <w:rFonts w:cstheme="minorHAnsi"/>
        </w:rPr>
        <w:fldChar w:fldCharType="end"/>
      </w:r>
      <w:r w:rsidRPr="00E15608">
        <w:rPr>
          <w:rFonts w:cstheme="minorHAnsi"/>
          <w:lang w:val="en-US"/>
        </w:rPr>
        <w:t>. This new scenario in Europe could, in principle, improve the economic competitiveness of green ammonia and methanol while accelerating the renewable transition in the European chemical industry. The question of whether green chemicals may show both environmental and economic superiority in the present state of affairs has yet to be explored</w:t>
      </w:r>
      <w:r w:rsidRPr="002D4245">
        <w:rPr>
          <w:rFonts w:cstheme="minorHAnsi"/>
          <w:lang w:val="en-US"/>
        </w:rPr>
        <w:t xml:space="preserve">. </w:t>
      </w:r>
    </w:p>
    <w:p w14:paraId="6FB1C2CC" w14:textId="04E48A31" w:rsidR="00E15608" w:rsidRPr="00002D89" w:rsidRDefault="00E15608" w:rsidP="00577897">
      <w:pPr>
        <w:jc w:val="both"/>
        <w:rPr>
          <w:rFonts w:cstheme="minorHAnsi"/>
          <w:lang w:val="en-US"/>
        </w:rPr>
      </w:pPr>
      <w:r>
        <w:rPr>
          <w:rFonts w:cstheme="minorHAnsi"/>
          <w:lang w:val="en-US"/>
        </w:rPr>
        <w:t>We fill this critical research gap by estimating</w:t>
      </w:r>
      <w:r w:rsidRPr="002D4245">
        <w:rPr>
          <w:rFonts w:cstheme="minorHAnsi"/>
          <w:lang w:val="en-US"/>
        </w:rPr>
        <w:t xml:space="preserve"> the production costs fo</w:t>
      </w:r>
      <w:r>
        <w:rPr>
          <w:rFonts w:cstheme="minorHAnsi"/>
          <w:lang w:val="en-US"/>
        </w:rPr>
        <w:t xml:space="preserve">r fossil </w:t>
      </w:r>
      <w:r w:rsidRPr="002D4245">
        <w:rPr>
          <w:rFonts w:cstheme="minorHAnsi"/>
          <w:lang w:val="en-US"/>
        </w:rPr>
        <w:t>and green ammonia and methanol in Europe</w:t>
      </w:r>
      <w:r>
        <w:rPr>
          <w:rFonts w:cstheme="minorHAnsi"/>
          <w:lang w:val="en-US"/>
        </w:rPr>
        <w:t xml:space="preserve"> applying techno-economic assessments based on detailed process simulations </w:t>
      </w:r>
      <w:r w:rsidRPr="002D4245">
        <w:rPr>
          <w:rFonts w:cstheme="minorHAnsi"/>
          <w:lang w:val="en-US"/>
        </w:rPr>
        <w:t xml:space="preserve">considering </w:t>
      </w:r>
      <w:r>
        <w:rPr>
          <w:rFonts w:cstheme="minorHAnsi"/>
          <w:lang w:val="en-US"/>
        </w:rPr>
        <w:t>the monthly fluctuation in natural gas and electricity</w:t>
      </w:r>
      <w:r w:rsidRPr="002D4245">
        <w:rPr>
          <w:rFonts w:cstheme="minorHAnsi"/>
          <w:lang w:val="en-US"/>
        </w:rPr>
        <w:t xml:space="preserve"> price</w:t>
      </w:r>
      <w:r>
        <w:rPr>
          <w:rFonts w:cstheme="minorHAnsi"/>
          <w:lang w:val="en-US"/>
        </w:rPr>
        <w:t>s</w:t>
      </w:r>
      <w:r w:rsidRPr="002D4245">
        <w:rPr>
          <w:rFonts w:cstheme="minorHAnsi"/>
          <w:lang w:val="en-US"/>
        </w:rPr>
        <w:t>.</w:t>
      </w:r>
      <w:r w:rsidRPr="00E15608">
        <w:rPr>
          <w:rFonts w:cstheme="minorHAnsi"/>
          <w:lang w:val="en-US"/>
        </w:rPr>
        <w:t xml:space="preserve"> For ammonia production, we investigate the Haber-Bosch process considering four typical hydrogen sources</w:t>
      </w:r>
      <w:r>
        <w:rPr>
          <w:rFonts w:cstheme="minorHAnsi"/>
        </w:rPr>
        <w:fldChar w:fldCharType="begin"/>
      </w:r>
      <w:r w:rsidRPr="00E15608">
        <w:rPr>
          <w:rFonts w:cstheme="minorHAnsi"/>
          <w:lang w:val="en-US"/>
        </w:rPr>
        <w:instrText xml:space="preserve"> ADDIN ZOTERO_ITEM CSL_CITATION {"citationID":"WotvQdaP","properties":{"formattedCitation":"\\super 15\\nosupersub{}","plainCitation":"15","noteIndex":0},"citationItems":[{"id":26343,"uris":["http://zotero.org/users/9157291/items/86IUUBD4"],"itemData":{"id":26343,"type":"report","publisher":"DECHEMA Gesellschaft für Chemische Technik und Biotechnologie e.V","title":"Technology options for CO2-emission reduction of hydrogen feedstock in ammonia production","URL":"https://dechema.de/dechema_media/Downloads/Positionspapiere/Studie+Ammoniak.pdf","author":[{"family":"Ausfelder","given":"Florian"},{"family":"Herrman","given":"Eghe Oze"},{"family":"López González","given":"Luisa Fernanda"}],"accessed":{"date-parts":[["2022",12,9]]},"issued":{"date-parts":[["2022"]]}}}],"schema":"https://github.com/citation-style-language/schema/raw/master/csl-citation.json"}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15</w:t>
      </w:r>
      <w:r>
        <w:rPr>
          <w:rFonts w:cstheme="minorHAnsi"/>
        </w:rPr>
        <w:fldChar w:fldCharType="end"/>
      </w:r>
      <w:r w:rsidRPr="00E15608">
        <w:rPr>
          <w:rFonts w:cstheme="minorHAnsi"/>
          <w:lang w:val="en-US"/>
        </w:rPr>
        <w:t xml:space="preserve">: i) grey hydrogen from steam methane reforming (SMR) using natural gas, ii) green hydrogen from water electrolysis using on-shore wind electricity, iii) green hydrogen from water electrolysis using solar photovoltaic (PV) electricity, and iv) blue hydrogen from </w:t>
      </w:r>
      <w:r w:rsidRPr="002D4245">
        <w:rPr>
          <w:rFonts w:cstheme="minorHAnsi"/>
          <w:lang w:val="en-US"/>
        </w:rPr>
        <w:t>SMR coupled with carbon capture and storage (CCS)</w:t>
      </w:r>
      <w:r>
        <w:rPr>
          <w:rFonts w:cstheme="minorHAnsi"/>
          <w:lang w:val="en-US"/>
        </w:rPr>
        <w:t>. Similarly, we compare four alternative production routes for methanol: i) conventional synthesis from natural gas, ii) 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wind-based electrolytic hydrogen, iii) </w:t>
      </w:r>
      <w:r>
        <w:rPr>
          <w:rFonts w:cstheme="minorHAnsi"/>
          <w:lang w:val="en-US"/>
        </w:rPr>
        <w:t>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solar PV-based electrolytic hydrogen, and iv) </w:t>
      </w:r>
      <w:r>
        <w:rPr>
          <w:rFonts w:cstheme="minorHAnsi"/>
          <w:lang w:val="en-US"/>
        </w:rPr>
        <w:t>synthesis from captured CO</w:t>
      </w:r>
      <w:r w:rsidRPr="00A412D3">
        <w:rPr>
          <w:rFonts w:cstheme="minorHAnsi"/>
          <w:vertAlign w:val="subscript"/>
          <w:lang w:val="en-US"/>
        </w:rPr>
        <w:t>2</w:t>
      </w:r>
      <w:r>
        <w:rPr>
          <w:rFonts w:cstheme="minorHAnsi"/>
          <w:lang w:val="en-US"/>
        </w:rPr>
        <w:t xml:space="preserve"> and </w:t>
      </w:r>
      <w:r w:rsidRPr="00E15608">
        <w:rPr>
          <w:rFonts w:cstheme="minorHAnsi"/>
          <w:lang w:val="en-US"/>
        </w:rPr>
        <w:t xml:space="preserve">blue hydrogen </w:t>
      </w:r>
      <w:r w:rsidRPr="002D4245">
        <w:rPr>
          <w:rFonts w:cstheme="minorHAnsi"/>
          <w:lang w:val="en-US"/>
        </w:rPr>
        <w:t>–</w:t>
      </w:r>
      <w:r w:rsidRPr="00E15608">
        <w:rPr>
          <w:rFonts w:cstheme="minorHAnsi"/>
          <w:lang w:val="en-US"/>
        </w:rPr>
        <w:t>SMR coupled with CCS</w:t>
      </w:r>
      <w:r w:rsidRPr="002D4245">
        <w:rPr>
          <w:rFonts w:cstheme="minorHAnsi"/>
          <w:lang w:val="en-US"/>
        </w:rPr>
        <w:t>–</w:t>
      </w:r>
      <w:r w:rsidRPr="00E15608">
        <w:rPr>
          <w:rFonts w:cstheme="minorHAnsi"/>
          <w:lang w:val="en-US"/>
        </w:rPr>
        <w:t>. In all cases, we consider that CO</w:t>
      </w:r>
      <w:r w:rsidRPr="00E15608">
        <w:rPr>
          <w:rFonts w:cstheme="minorHAnsi"/>
          <w:vertAlign w:val="subscript"/>
          <w:lang w:val="en-US"/>
        </w:rPr>
        <w:t>2</w:t>
      </w:r>
      <w:r w:rsidRPr="00E15608">
        <w:rPr>
          <w:rFonts w:cstheme="minorHAnsi"/>
          <w:lang w:val="en-US"/>
        </w:rPr>
        <w:t xml:space="preserve"> is captured from the atmosphere by direct air capture (DAC) due to its high potential to reduce GHG emissions with reduced risk of burdens shifting</w:t>
      </w:r>
      <w:r>
        <w:rPr>
          <w:rFonts w:cstheme="minorHAnsi"/>
        </w:rPr>
        <w:fldChar w:fldCharType="begin"/>
      </w:r>
      <w:r w:rsidRPr="00E15608">
        <w:rPr>
          <w:rFonts w:cstheme="minorHAnsi"/>
          <w:lang w:val="en-US"/>
        </w:rPr>
        <w:instrText xml:space="preserve"> ADDIN ZOTERO_ITEM CSL_CITATION {"citationID":"flt1PZ4A","properties":{"formattedCitation":"\\super 23\\nosupersub{}","plainCitation":"23","noteIndex":0},"citationItems":[{"id":117,"uris":["http://zotero.org/users/9157291/items/VK4IQBHF"],"itemData":{"id":117,"type":"article-journal","abstract":"The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Earth","DOI":"10.1016/j.oneear.2021.04.001","ISSN":"2590-3322","issue":"4","journalAbbreviation":"One Earth","language":"en","page":"565-583","source":"ScienceDirect","title":"Sustainability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4,23]]}}}],"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23</w:t>
      </w:r>
      <w:r>
        <w:rPr>
          <w:rFonts w:cstheme="minorHAnsi"/>
        </w:rPr>
        <w:fldChar w:fldCharType="end"/>
      </w:r>
      <w:r w:rsidRPr="00E15608">
        <w:rPr>
          <w:rFonts w:cstheme="minorHAnsi"/>
          <w:lang w:val="en-US"/>
        </w:rPr>
        <w:t xml:space="preserve">. Further details of production routes are presented in the </w:t>
      </w:r>
      <w:r w:rsidR="004968B2">
        <w:rPr>
          <w:rFonts w:cstheme="minorHAnsi"/>
          <w:lang w:val="en-US"/>
        </w:rPr>
        <w:t>m</w:t>
      </w:r>
      <w:r w:rsidRPr="00E15608">
        <w:rPr>
          <w:rFonts w:cstheme="minorHAnsi"/>
          <w:lang w:val="en-US"/>
        </w:rPr>
        <w:t>ethods</w:t>
      </w:r>
      <w:r w:rsidR="009A3FA8">
        <w:rPr>
          <w:rFonts w:cstheme="minorHAnsi"/>
          <w:lang w:val="en-US"/>
        </w:rPr>
        <w:t xml:space="preserve"> section</w:t>
      </w:r>
      <w:r w:rsidRPr="00E15608">
        <w:rPr>
          <w:rFonts w:cstheme="minorHAnsi"/>
          <w:lang w:val="en-US"/>
        </w:rPr>
        <w:t>.</w:t>
      </w:r>
    </w:p>
    <w:p w14:paraId="118B0340" w14:textId="77777777" w:rsidR="00E15608" w:rsidRPr="002D4245" w:rsidRDefault="00E15608" w:rsidP="00577897">
      <w:pPr>
        <w:pStyle w:val="Heading2"/>
        <w:jc w:val="both"/>
        <w:rPr>
          <w:lang w:val="en-US"/>
        </w:rPr>
      </w:pPr>
      <w:r w:rsidRPr="002D4245">
        <w:rPr>
          <w:lang w:val="en-US"/>
        </w:rPr>
        <w:t>Results</w:t>
      </w:r>
    </w:p>
    <w:p w14:paraId="1D085A89" w14:textId="77777777" w:rsidR="00E15608" w:rsidRDefault="00E15608" w:rsidP="00577897">
      <w:pPr>
        <w:pStyle w:val="Heading3"/>
        <w:jc w:val="both"/>
      </w:pPr>
      <w:r>
        <w:t>Sharp increase in the cost of fossil ammonia and methanol in the period January 2019-November 2022</w:t>
      </w:r>
    </w:p>
    <w:p w14:paraId="6485FAA8" w14:textId="5A1FD9C3" w:rsidR="00E15608" w:rsidRPr="00E15608" w:rsidRDefault="00E15608" w:rsidP="00577897">
      <w:pPr>
        <w:jc w:val="both"/>
        <w:rPr>
          <w:rFonts w:cstheme="minorHAnsi"/>
          <w:lang w:val="en-US"/>
        </w:rPr>
      </w:pPr>
      <w:r w:rsidRPr="00E15608">
        <w:rPr>
          <w:rFonts w:cstheme="minorHAnsi"/>
          <w:lang w:val="en-US"/>
        </w:rPr>
        <w:t xml:space="preserve">Considering the natural gas spot prices in Europe, the production cost (not the market price, but rather the production cost estimated </w:t>
      </w:r>
      <w:r w:rsidRPr="00E15608">
        <w:rPr>
          <w:rFonts w:cstheme="minorHAnsi"/>
          <w:i/>
          <w:lang w:val="en-US"/>
        </w:rPr>
        <w:t>via</w:t>
      </w:r>
      <w:r w:rsidRPr="00E15608">
        <w:rPr>
          <w:rFonts w:cstheme="minorHAnsi"/>
          <w:lang w:val="en-US"/>
        </w:rPr>
        <w:t xml:space="preserve"> techno-economic models, which should be close to the former value) for fossil ammonia increased from an average of 376 USD t</w:t>
      </w:r>
      <w:r w:rsidRPr="00DC221A">
        <w:rPr>
          <w:vertAlign w:val="superscript"/>
          <w:lang w:val="en-US"/>
        </w:rPr>
        <w:t>−</w:t>
      </w:r>
      <w:r w:rsidRPr="00E15608">
        <w:rPr>
          <w:rFonts w:cstheme="minorHAnsi"/>
          <w:vertAlign w:val="superscript"/>
          <w:lang w:val="en-US"/>
        </w:rPr>
        <w:t xml:space="preserve">1 </w:t>
      </w:r>
      <w:r w:rsidRPr="00E15608">
        <w:rPr>
          <w:rFonts w:cstheme="minorHAnsi"/>
          <w:lang w:val="en-US"/>
        </w:rPr>
        <w:t>in the period 2019-2020 to 1,344 USD t</w:t>
      </w:r>
      <w:r w:rsidRPr="00996D9A">
        <w:rPr>
          <w:vertAlign w:val="superscript"/>
          <w:lang w:val="en-US"/>
        </w:rPr>
        <w:t>−</w:t>
      </w:r>
      <w:r w:rsidRPr="00E15608">
        <w:rPr>
          <w:rFonts w:cstheme="minorHAnsi"/>
          <w:vertAlign w:val="superscript"/>
          <w:lang w:val="en-US"/>
        </w:rPr>
        <w:t xml:space="preserve">1 </w:t>
      </w:r>
      <w:r w:rsidRPr="00E15608">
        <w:rPr>
          <w:rFonts w:cstheme="minorHAnsi"/>
          <w:lang w:val="en-US"/>
        </w:rPr>
        <w:t>as of November 2022 (</w:t>
      </w:r>
      <w:r w:rsidRPr="00C543F3">
        <w:rPr>
          <w:rFonts w:cstheme="minorHAnsi"/>
        </w:rPr>
        <w:fldChar w:fldCharType="begin"/>
      </w:r>
      <w:r w:rsidRPr="00E15608">
        <w:rPr>
          <w:rFonts w:cstheme="minorHAnsi"/>
          <w:lang w:val="en-US"/>
        </w:rPr>
        <w:instrText xml:space="preserve"> REF _Ref124437537 \h  \* MERGEFORMAT </w:instrText>
      </w:r>
      <w:r w:rsidRPr="00C543F3">
        <w:rPr>
          <w:rFonts w:cstheme="minorHAnsi"/>
        </w:rPr>
      </w:r>
      <w:r w:rsidRPr="00C543F3">
        <w:rPr>
          <w:rFonts w:cstheme="minorHAnsi"/>
        </w:rPr>
        <w:fldChar w:fldCharType="separate"/>
      </w:r>
      <w:r w:rsidRPr="00E15608">
        <w:rPr>
          <w:lang w:val="en-US"/>
        </w:rPr>
        <w:t xml:space="preserve">Fig. </w:t>
      </w:r>
      <w:r w:rsidRPr="00E15608">
        <w:rPr>
          <w:noProof/>
          <w:lang w:val="en-US"/>
        </w:rPr>
        <w:t>1</w:t>
      </w:r>
      <w:r w:rsidRPr="00C543F3">
        <w:rPr>
          <w:rFonts w:cstheme="minorHAnsi"/>
        </w:rPr>
        <w:fldChar w:fldCharType="end"/>
      </w:r>
      <w:r w:rsidRPr="00E15608">
        <w:rPr>
          <w:rFonts w:cstheme="minorHAnsi"/>
          <w:lang w:val="en-US"/>
        </w:rPr>
        <w:t>a). Similarly, the cost of fossil methanol reached 1,181 USD t</w:t>
      </w:r>
      <w:r w:rsidRPr="00996D9A">
        <w:rPr>
          <w:vertAlign w:val="superscript"/>
          <w:lang w:val="en-US"/>
        </w:rPr>
        <w:t>−</w:t>
      </w:r>
      <w:r w:rsidRPr="00E15608">
        <w:rPr>
          <w:rFonts w:cstheme="minorHAnsi"/>
          <w:vertAlign w:val="superscript"/>
          <w:lang w:val="en-US"/>
        </w:rPr>
        <w:t xml:space="preserve">1 </w:t>
      </w:r>
      <w:r w:rsidRPr="00E15608">
        <w:rPr>
          <w:rFonts w:cstheme="minorHAnsi"/>
          <w:lang w:val="en-US"/>
        </w:rPr>
        <w:t>in November 2022, compared with 212 USD t</w:t>
      </w:r>
      <w:r w:rsidRPr="00240B65">
        <w:rPr>
          <w:vertAlign w:val="superscript"/>
          <w:lang w:val="en-US"/>
        </w:rPr>
        <w:t>−</w:t>
      </w:r>
      <w:r w:rsidRPr="00E15608">
        <w:rPr>
          <w:rFonts w:cstheme="minorHAnsi"/>
          <w:vertAlign w:val="superscript"/>
          <w:lang w:val="en-US"/>
        </w:rPr>
        <w:t xml:space="preserve">1 </w:t>
      </w:r>
      <w:r w:rsidRPr="00E15608">
        <w:rPr>
          <w:rFonts w:cstheme="minorHAnsi"/>
          <w:lang w:val="en-US"/>
        </w:rPr>
        <w:t>in the period 2019-2020 (</w:t>
      </w:r>
      <w:r w:rsidRPr="00C543F3">
        <w:rPr>
          <w:rFonts w:cstheme="minorHAnsi"/>
        </w:rPr>
        <w:fldChar w:fldCharType="begin"/>
      </w:r>
      <w:r w:rsidRPr="00E15608">
        <w:rPr>
          <w:rFonts w:cstheme="minorHAnsi"/>
          <w:lang w:val="en-US"/>
        </w:rPr>
        <w:instrText xml:space="preserve"> REF _Ref124437537 \h  \* MERGEFORMAT </w:instrText>
      </w:r>
      <w:r w:rsidRPr="00C543F3">
        <w:rPr>
          <w:rFonts w:cstheme="minorHAnsi"/>
        </w:rPr>
      </w:r>
      <w:r w:rsidRPr="00C543F3">
        <w:rPr>
          <w:rFonts w:cstheme="minorHAnsi"/>
        </w:rPr>
        <w:fldChar w:fldCharType="separate"/>
      </w:r>
      <w:r w:rsidRPr="00E15608">
        <w:rPr>
          <w:lang w:val="en-US"/>
        </w:rPr>
        <w:t xml:space="preserve">Fig. </w:t>
      </w:r>
      <w:r w:rsidRPr="00E15608">
        <w:rPr>
          <w:noProof/>
          <w:lang w:val="en-US"/>
        </w:rPr>
        <w:t>1</w:t>
      </w:r>
      <w:r w:rsidRPr="00C543F3">
        <w:rPr>
          <w:rFonts w:cstheme="minorHAnsi"/>
        </w:rPr>
        <w:fldChar w:fldCharType="end"/>
      </w:r>
      <w:r w:rsidRPr="00E15608">
        <w:rPr>
          <w:rFonts w:cstheme="minorHAnsi"/>
          <w:lang w:val="en-US"/>
        </w:rPr>
        <w:t>b). Natural gas prices and chemical production costs have increased steadily since 2020 due to the rising inflation as a consequence of the COVID-19 pandemic. Since February 2022, after the Russian invasion of Ukraine, natural gas prices have fluctuated considerably, and so have the production costs. For example, ammonia production cost ranges from 1,101</w:t>
      </w:r>
      <w:r w:rsidR="007C38EE">
        <w:rPr>
          <w:rFonts w:cstheme="minorHAnsi"/>
          <w:lang w:val="en-US"/>
        </w:rPr>
        <w:t> </w:t>
      </w:r>
      <w:r w:rsidRPr="00E15608">
        <w:rPr>
          <w:rFonts w:cstheme="minorHAnsi"/>
          <w:lang w:val="en-US"/>
        </w:rPr>
        <w:t>USD t</w:t>
      </w:r>
      <w:r w:rsidRPr="00240B65">
        <w:rPr>
          <w:vertAlign w:val="superscript"/>
          <w:lang w:val="en-US"/>
        </w:rPr>
        <w:t>−</w:t>
      </w:r>
      <w:r w:rsidRPr="00E15608">
        <w:rPr>
          <w:rFonts w:cstheme="minorHAnsi"/>
          <w:vertAlign w:val="superscript"/>
          <w:lang w:val="en-US"/>
        </w:rPr>
        <w:t>1</w:t>
      </w:r>
      <w:r w:rsidRPr="00E15608">
        <w:rPr>
          <w:rFonts w:cstheme="minorHAnsi"/>
          <w:lang w:val="en-US"/>
        </w:rPr>
        <w:t xml:space="preserve"> in February 2022 to 2,427 USD t</w:t>
      </w:r>
      <w:r w:rsidRPr="00240B65">
        <w:rPr>
          <w:vertAlign w:val="superscript"/>
          <w:lang w:val="en-US"/>
        </w:rPr>
        <w:t>−</w:t>
      </w:r>
      <w:r w:rsidRPr="00E15608">
        <w:rPr>
          <w:rFonts w:cstheme="minorHAnsi"/>
          <w:vertAlign w:val="superscript"/>
          <w:lang w:val="en-US"/>
        </w:rPr>
        <w:t>1</w:t>
      </w:r>
      <w:r w:rsidRPr="00E15608">
        <w:rPr>
          <w:rFonts w:cstheme="minorHAnsi"/>
          <w:lang w:val="en-US"/>
        </w:rPr>
        <w:t xml:space="preserve"> in August 2022 (peak of natural gas spot prices). Overall, compared to July</w:t>
      </w:r>
      <w:r w:rsidR="007F6EDA">
        <w:rPr>
          <w:rFonts w:cstheme="minorHAnsi"/>
          <w:lang w:val="en-US"/>
        </w:rPr>
        <w:t> </w:t>
      </w:r>
      <w:r w:rsidRPr="00E15608">
        <w:rPr>
          <w:rFonts w:cstheme="minorHAnsi"/>
          <w:lang w:val="en-US"/>
        </w:rPr>
        <w:t>2021, the estimated production cost for fossil ammonia and methanol rose by 102% and 146%, respectively, in November 2022, assuming the production process would consume the natural gas sold in the European market at its current price.</w:t>
      </w:r>
    </w:p>
    <w:p w14:paraId="02EDE46A" w14:textId="253C7E38" w:rsidR="00E15608" w:rsidRPr="002A6534" w:rsidRDefault="00E15608" w:rsidP="00577897">
      <w:pPr>
        <w:jc w:val="both"/>
        <w:rPr>
          <w:rFonts w:cstheme="minorHAnsi"/>
          <w:lang w:val="en-US"/>
        </w:rPr>
      </w:pPr>
      <w:r w:rsidRPr="00E15608">
        <w:rPr>
          <w:rFonts w:cstheme="minorHAnsi"/>
          <w:lang w:val="en-US"/>
        </w:rPr>
        <w:t xml:space="preserve">Here we assume the natural gas spot prices from the TTF trading hub in the Netherlands. The Dutch TTF hub has gained significant importance due to its high trade volumes, and currently acts as an European and global benchmark for natural </w:t>
      </w:r>
      <w:r w:rsidRPr="00E15608">
        <w:rPr>
          <w:rFonts w:cstheme="minorHAnsi"/>
          <w:lang w:val="en-US"/>
        </w:rPr>
        <w:lastRenderedPageBreak/>
        <w:t>gas prices</w:t>
      </w:r>
      <w:r>
        <w:rPr>
          <w:rFonts w:cstheme="minorHAnsi"/>
        </w:rPr>
        <w:fldChar w:fldCharType="begin"/>
      </w:r>
      <w:r w:rsidRPr="00E15608">
        <w:rPr>
          <w:rFonts w:cstheme="minorHAnsi"/>
          <w:lang w:val="en-US"/>
        </w:rPr>
        <w:instrText xml:space="preserve"> ADDIN ZOTERO_ITEM CSL_CITATION {"citationID":"Uv3GWV4l","properties":{"formattedCitation":"\\super 27\\nosupersub{}","plainCitation":"27","noteIndex":0},"citationItems":[{"id":31546,"uris":["http://zotero.org/users/9157291/items/KY7YU3FE"],"itemData":{"id":31546,"type":"report","language":"en","publisher":"The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27</w:t>
      </w:r>
      <w:r>
        <w:rPr>
          <w:rFonts w:cstheme="minorHAnsi"/>
        </w:rPr>
        <w:fldChar w:fldCharType="end"/>
      </w:r>
      <w:r w:rsidRPr="00E15608">
        <w:rPr>
          <w:rFonts w:cstheme="minorHAnsi"/>
          <w:lang w:val="en-US"/>
        </w:rPr>
        <w:t xml:space="preserve">. We acknowledge that companies with ongoing long-term contracts may secure a more </w:t>
      </w:r>
      <w:r w:rsidR="005F2655" w:rsidRPr="00E15608">
        <w:rPr>
          <w:rFonts w:cstheme="minorHAnsi"/>
          <w:lang w:val="en-US"/>
        </w:rPr>
        <w:t>favorable</w:t>
      </w:r>
      <w:r w:rsidRPr="00E15608">
        <w:rPr>
          <w:rFonts w:cstheme="minorHAnsi"/>
          <w:lang w:val="en-US"/>
        </w:rPr>
        <w:t xml:space="preserve"> gas price compared to the current spot price, and the production cost would be lower as well. Yet, the extent to which ongoing contracts have been affected by the energy crisis remains largely unknown because of confidentiality clauses. Consequently, we validated our estimated production costs by comparing them against actual market prices during a period of stability before market disruption in 2022. In this regard, our estimates align well with ammonia market prices over the period from July 2019 to July 2022 (</w:t>
      </w:r>
      <w:r w:rsidRPr="00972966">
        <w:rPr>
          <w:rFonts w:cstheme="minorHAnsi"/>
          <w:lang w:val="en-US"/>
        </w:rPr>
        <w:t>Fig. S</w:t>
      </w:r>
      <w:r w:rsidR="0030594D">
        <w:rPr>
          <w:rFonts w:cstheme="minorHAnsi"/>
          <w:lang w:val="en-US"/>
        </w:rPr>
        <w:t>5</w:t>
      </w:r>
      <w:r w:rsidR="006B2020">
        <w:rPr>
          <w:rFonts w:cstheme="minorHAnsi"/>
          <w:lang w:val="en-US"/>
        </w:rPr>
        <w:t xml:space="preserve"> of the ESI</w:t>
      </w:r>
      <w:r w:rsidRPr="00E15608">
        <w:rPr>
          <w:rFonts w:cstheme="minorHAnsi"/>
          <w:lang w:val="en-US"/>
        </w:rPr>
        <w:t>) and methanol market prices over the period from January</w:t>
      </w:r>
      <w:r w:rsidR="00E3407F">
        <w:rPr>
          <w:rFonts w:cstheme="minorHAnsi"/>
          <w:lang w:val="en-US"/>
        </w:rPr>
        <w:t> </w:t>
      </w:r>
      <w:r w:rsidRPr="00E15608">
        <w:rPr>
          <w:rFonts w:cstheme="minorHAnsi"/>
          <w:lang w:val="en-US"/>
        </w:rPr>
        <w:t>2015 and November 2022 (</w:t>
      </w:r>
      <w:r w:rsidRPr="002A6534">
        <w:rPr>
          <w:rFonts w:cstheme="minorHAnsi"/>
          <w:lang w:val="en-US"/>
        </w:rPr>
        <w:t>Fig. S</w:t>
      </w:r>
      <w:r w:rsidR="002A6534">
        <w:rPr>
          <w:rFonts w:cstheme="minorHAnsi"/>
          <w:lang w:val="en-US"/>
        </w:rPr>
        <w:t>6</w:t>
      </w:r>
      <w:r w:rsidR="006B2020">
        <w:rPr>
          <w:rFonts w:cstheme="minorHAnsi"/>
          <w:lang w:val="en-US"/>
        </w:rPr>
        <w:t xml:space="preserve"> of the ESI</w:t>
      </w:r>
      <w:r w:rsidRPr="002A6534">
        <w:rPr>
          <w:rFonts w:cstheme="minorHAnsi"/>
          <w:lang w:val="en-US"/>
        </w:rPr>
        <w:t>).</w:t>
      </w:r>
    </w:p>
    <w:p w14:paraId="7B6060C4" w14:textId="77777777" w:rsidR="00E15608" w:rsidRDefault="00E15608" w:rsidP="00577897">
      <w:pPr>
        <w:keepNext/>
        <w:spacing w:after="0"/>
        <w:jc w:val="both"/>
      </w:pPr>
      <w:r>
        <w:rPr>
          <w:noProof/>
          <w:lang w:val="en-US"/>
        </w:rPr>
        <w:drawing>
          <wp:inline distT="0" distB="0" distL="0" distR="0" wp14:anchorId="27B7D989" wp14:editId="53211B1C">
            <wp:extent cx="6547104" cy="3072384"/>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47104" cy="3072384"/>
                    </a:xfrm>
                    <a:prstGeom prst="rect">
                      <a:avLst/>
                    </a:prstGeom>
                  </pic:spPr>
                </pic:pic>
              </a:graphicData>
            </a:graphic>
          </wp:inline>
        </w:drawing>
      </w:r>
    </w:p>
    <w:p w14:paraId="3B6D2A21" w14:textId="685AB9BF" w:rsidR="00E15608" w:rsidRPr="000A5E68" w:rsidRDefault="00E15608" w:rsidP="00577897">
      <w:pPr>
        <w:pStyle w:val="Caption"/>
        <w:jc w:val="both"/>
        <w:rPr>
          <w:rFonts w:cstheme="minorHAnsi"/>
          <w:i w:val="0"/>
          <w:color w:val="auto"/>
          <w:sz w:val="20"/>
        </w:rPr>
      </w:pPr>
      <w:bookmarkStart w:id="3" w:name="_Ref124437537"/>
      <w:r w:rsidRPr="002D452C">
        <w:rPr>
          <w:b/>
          <w:i w:val="0"/>
          <w:color w:val="auto"/>
          <w:sz w:val="20"/>
        </w:rPr>
        <w:t xml:space="preserve">Fig. </w:t>
      </w:r>
      <w:r w:rsidRPr="002D452C">
        <w:rPr>
          <w:b/>
          <w:i w:val="0"/>
          <w:color w:val="auto"/>
          <w:sz w:val="20"/>
        </w:rPr>
        <w:fldChar w:fldCharType="begin"/>
      </w:r>
      <w:r w:rsidRPr="002D452C">
        <w:rPr>
          <w:b/>
          <w:i w:val="0"/>
          <w:color w:val="auto"/>
          <w:sz w:val="20"/>
        </w:rPr>
        <w:instrText xml:space="preserve"> SEQ Fig. \* ARABIC </w:instrText>
      </w:r>
      <w:r w:rsidRPr="002D452C">
        <w:rPr>
          <w:b/>
          <w:i w:val="0"/>
          <w:color w:val="auto"/>
          <w:sz w:val="20"/>
        </w:rPr>
        <w:fldChar w:fldCharType="separate"/>
      </w:r>
      <w:r>
        <w:rPr>
          <w:b/>
          <w:i w:val="0"/>
          <w:noProof/>
          <w:color w:val="auto"/>
          <w:sz w:val="20"/>
        </w:rPr>
        <w:t>1</w:t>
      </w:r>
      <w:r w:rsidRPr="002D452C">
        <w:rPr>
          <w:b/>
          <w:i w:val="0"/>
          <w:color w:val="auto"/>
          <w:sz w:val="20"/>
        </w:rPr>
        <w:fldChar w:fldCharType="end"/>
      </w:r>
      <w:bookmarkEnd w:id="3"/>
      <w:r>
        <w:rPr>
          <w:b/>
          <w:i w:val="0"/>
          <w:color w:val="auto"/>
          <w:sz w:val="20"/>
        </w:rPr>
        <w:t>.</w:t>
      </w:r>
      <w:r w:rsidRPr="002D452C">
        <w:rPr>
          <w:b/>
          <w:i w:val="0"/>
          <w:color w:val="auto"/>
          <w:sz w:val="20"/>
        </w:rPr>
        <w:t xml:space="preserve"> </w:t>
      </w:r>
      <w:r>
        <w:rPr>
          <w:b/>
          <w:i w:val="0"/>
          <w:color w:val="auto"/>
          <w:sz w:val="20"/>
        </w:rPr>
        <w:t>Natural gas spot prices and</w:t>
      </w:r>
      <w:r w:rsidRPr="002D452C">
        <w:rPr>
          <w:b/>
          <w:i w:val="0"/>
          <w:color w:val="auto"/>
          <w:sz w:val="20"/>
        </w:rPr>
        <w:t xml:space="preserve"> production cost for fossil ammonia and methanol in Europe</w:t>
      </w:r>
      <w:r>
        <w:rPr>
          <w:b/>
          <w:i w:val="0"/>
          <w:color w:val="auto"/>
          <w:sz w:val="20"/>
        </w:rPr>
        <w:t>.</w:t>
      </w:r>
      <w:r w:rsidRPr="00D96108">
        <w:rPr>
          <w:i w:val="0"/>
          <w:color w:val="auto"/>
          <w:sz w:val="20"/>
        </w:rPr>
        <w:t xml:space="preserve"> </w:t>
      </w:r>
      <w:r>
        <w:rPr>
          <w:i w:val="0"/>
          <w:color w:val="auto"/>
          <w:sz w:val="20"/>
        </w:rPr>
        <w:t>(a) Fossil</w:t>
      </w:r>
      <w:r w:rsidRPr="00177D33">
        <w:rPr>
          <w:i w:val="0"/>
          <w:color w:val="auto"/>
          <w:sz w:val="20"/>
        </w:rPr>
        <w:t xml:space="preserve"> ammonia </w:t>
      </w:r>
      <w:r>
        <w:rPr>
          <w:i w:val="0"/>
          <w:color w:val="auto"/>
          <w:sz w:val="20"/>
        </w:rPr>
        <w:t>produced</w:t>
      </w:r>
      <w:r w:rsidRPr="00177D33">
        <w:rPr>
          <w:i w:val="0"/>
          <w:color w:val="auto"/>
          <w:sz w:val="20"/>
        </w:rPr>
        <w:t xml:space="preserve"> </w:t>
      </w:r>
      <w:r w:rsidRPr="002E6830">
        <w:rPr>
          <w:color w:val="auto"/>
          <w:sz w:val="20"/>
        </w:rPr>
        <w:t>via</w:t>
      </w:r>
      <w:r w:rsidRPr="00177D33">
        <w:rPr>
          <w:i w:val="0"/>
          <w:color w:val="auto"/>
          <w:sz w:val="20"/>
        </w:rPr>
        <w:t xml:space="preserve"> the Haber-Bosch process </w:t>
      </w:r>
      <w:r>
        <w:rPr>
          <w:i w:val="0"/>
          <w:color w:val="auto"/>
          <w:sz w:val="20"/>
        </w:rPr>
        <w:t xml:space="preserve">with </w:t>
      </w:r>
      <w:r w:rsidRPr="00177D33">
        <w:rPr>
          <w:i w:val="0"/>
          <w:color w:val="auto"/>
          <w:sz w:val="20"/>
        </w:rPr>
        <w:t>grey hydrogen from steam methane reforming (SMR) using natural gas</w:t>
      </w:r>
      <w:r>
        <w:rPr>
          <w:i w:val="0"/>
          <w:color w:val="auto"/>
          <w:sz w:val="20"/>
        </w:rPr>
        <w:t xml:space="preserve"> as feedstock.</w:t>
      </w:r>
      <w:r w:rsidRPr="00177D33">
        <w:rPr>
          <w:i w:val="0"/>
          <w:color w:val="auto"/>
          <w:sz w:val="20"/>
        </w:rPr>
        <w:t xml:space="preserve"> </w:t>
      </w:r>
      <w:r>
        <w:rPr>
          <w:i w:val="0"/>
          <w:color w:val="auto"/>
          <w:sz w:val="20"/>
        </w:rPr>
        <w:t xml:space="preserve">(b) Fossil methanol </w:t>
      </w:r>
      <w:r w:rsidRPr="008679DA">
        <w:rPr>
          <w:i w:val="0"/>
          <w:color w:val="auto"/>
          <w:sz w:val="20"/>
        </w:rPr>
        <w:t>synthesis</w:t>
      </w:r>
      <w:r>
        <w:rPr>
          <w:i w:val="0"/>
          <w:color w:val="auto"/>
          <w:sz w:val="20"/>
        </w:rPr>
        <w:t>ed</w:t>
      </w:r>
      <w:r w:rsidRPr="008679DA">
        <w:rPr>
          <w:i w:val="0"/>
          <w:color w:val="auto"/>
          <w:sz w:val="20"/>
        </w:rPr>
        <w:t xml:space="preserve"> from natural gas</w:t>
      </w:r>
      <w:r>
        <w:rPr>
          <w:i w:val="0"/>
          <w:color w:val="auto"/>
          <w:sz w:val="20"/>
        </w:rPr>
        <w:t xml:space="preserve">. The necessary information for the economic calculations (CAPEX and OPEX) comes from process simulations. Calculations were performed considering the effect of inflation and the monthly </w:t>
      </w:r>
      <w:r w:rsidRPr="00EB66B4">
        <w:rPr>
          <w:i w:val="0"/>
          <w:color w:val="auto"/>
          <w:sz w:val="20"/>
        </w:rPr>
        <w:t>fluctuation</w:t>
      </w:r>
      <w:r>
        <w:rPr>
          <w:i w:val="0"/>
          <w:color w:val="auto"/>
          <w:sz w:val="20"/>
        </w:rPr>
        <w:t>s</w:t>
      </w:r>
      <w:r w:rsidRPr="00EB66B4">
        <w:rPr>
          <w:i w:val="0"/>
          <w:color w:val="auto"/>
          <w:sz w:val="20"/>
        </w:rPr>
        <w:t xml:space="preserve"> in natural gas and electricity prices</w:t>
      </w:r>
      <w:r>
        <w:rPr>
          <w:i w:val="0"/>
          <w:color w:val="auto"/>
          <w:sz w:val="20"/>
        </w:rPr>
        <w:t xml:space="preserve"> (the evolution of electricity prices in Europe is displayed in </w:t>
      </w:r>
      <w:r w:rsidRPr="00BE7D92">
        <w:rPr>
          <w:i w:val="0"/>
          <w:color w:val="auto"/>
          <w:sz w:val="20"/>
        </w:rPr>
        <w:t>Fig. S</w:t>
      </w:r>
      <w:r w:rsidR="00BE7D92">
        <w:rPr>
          <w:i w:val="0"/>
          <w:color w:val="auto"/>
          <w:sz w:val="20"/>
        </w:rPr>
        <w:t>3</w:t>
      </w:r>
      <w:r w:rsidR="009C14B6">
        <w:rPr>
          <w:i w:val="0"/>
          <w:color w:val="auto"/>
          <w:sz w:val="20"/>
        </w:rPr>
        <w:t xml:space="preserve"> of the ESI</w:t>
      </w:r>
      <w:r>
        <w:rPr>
          <w:i w:val="0"/>
          <w:color w:val="auto"/>
          <w:sz w:val="20"/>
        </w:rPr>
        <w:t>). We validated our estimates with data from July</w:t>
      </w:r>
      <w:r w:rsidR="0084347B">
        <w:rPr>
          <w:i w:val="0"/>
          <w:color w:val="auto"/>
          <w:sz w:val="20"/>
        </w:rPr>
        <w:t> </w:t>
      </w:r>
      <w:r>
        <w:rPr>
          <w:i w:val="0"/>
          <w:color w:val="auto"/>
          <w:sz w:val="20"/>
        </w:rPr>
        <w:t>2019 to June 2022 for ammonia and from January 2015 to November 2022 for methanol (</w:t>
      </w:r>
      <w:r w:rsidRPr="00BE7D92">
        <w:rPr>
          <w:i w:val="0"/>
          <w:color w:val="auto"/>
          <w:sz w:val="20"/>
        </w:rPr>
        <w:t>see Fig. S</w:t>
      </w:r>
      <w:r w:rsidR="00BE7D92">
        <w:rPr>
          <w:i w:val="0"/>
          <w:color w:val="auto"/>
          <w:sz w:val="20"/>
        </w:rPr>
        <w:t>5</w:t>
      </w:r>
      <w:r w:rsidRPr="00BE7D92">
        <w:rPr>
          <w:i w:val="0"/>
          <w:color w:val="auto"/>
          <w:sz w:val="20"/>
        </w:rPr>
        <w:t xml:space="preserve"> and </w:t>
      </w:r>
      <w:r w:rsidR="00E126DB">
        <w:rPr>
          <w:i w:val="0"/>
          <w:color w:val="auto"/>
          <w:sz w:val="20"/>
        </w:rPr>
        <w:t xml:space="preserve">Fig. </w:t>
      </w:r>
      <w:r w:rsidRPr="00BE7D92">
        <w:rPr>
          <w:i w:val="0"/>
          <w:color w:val="auto"/>
          <w:sz w:val="20"/>
        </w:rPr>
        <w:t>S</w:t>
      </w:r>
      <w:r w:rsidR="009C14B6">
        <w:rPr>
          <w:i w:val="0"/>
          <w:color w:val="auto"/>
          <w:sz w:val="20"/>
        </w:rPr>
        <w:t>6 of the ESI</w:t>
      </w:r>
      <w:r w:rsidRPr="00BE7D92">
        <w:rPr>
          <w:i w:val="0"/>
          <w:color w:val="auto"/>
          <w:sz w:val="20"/>
        </w:rPr>
        <w:t xml:space="preserve">, </w:t>
      </w:r>
      <w:r w:rsidRPr="00DE7340">
        <w:rPr>
          <w:i w:val="0"/>
          <w:color w:val="auto"/>
          <w:sz w:val="20"/>
        </w:rPr>
        <w:t>respectively</w:t>
      </w:r>
      <w:r>
        <w:rPr>
          <w:i w:val="0"/>
          <w:color w:val="auto"/>
          <w:sz w:val="20"/>
        </w:rPr>
        <w:t>). Notably, ammonia and methanol</w:t>
      </w:r>
      <w:r w:rsidRPr="003A22FD">
        <w:rPr>
          <w:i w:val="0"/>
          <w:color w:val="auto"/>
          <w:sz w:val="20"/>
        </w:rPr>
        <w:t xml:space="preserve"> production costs have increased steadily since 2020</w:t>
      </w:r>
      <w:r>
        <w:rPr>
          <w:i w:val="0"/>
          <w:color w:val="auto"/>
          <w:sz w:val="20"/>
        </w:rPr>
        <w:t>,</w:t>
      </w:r>
      <w:r w:rsidRPr="003A22FD">
        <w:rPr>
          <w:i w:val="0"/>
          <w:color w:val="auto"/>
          <w:sz w:val="20"/>
        </w:rPr>
        <w:t xml:space="preserve"> due to the rising inflation as a consequence of the COVID-19 pandemic</w:t>
      </w:r>
      <w:r>
        <w:rPr>
          <w:i w:val="0"/>
          <w:color w:val="auto"/>
          <w:sz w:val="20"/>
        </w:rPr>
        <w:t>, with a sharp increase</w:t>
      </w:r>
      <w:r w:rsidRPr="003A22FD">
        <w:rPr>
          <w:i w:val="0"/>
          <w:color w:val="auto"/>
          <w:sz w:val="20"/>
        </w:rPr>
        <w:t xml:space="preserve"> </w:t>
      </w:r>
      <w:r>
        <w:rPr>
          <w:i w:val="0"/>
          <w:color w:val="auto"/>
          <w:sz w:val="20"/>
        </w:rPr>
        <w:t>s</w:t>
      </w:r>
      <w:r w:rsidRPr="003A22FD">
        <w:rPr>
          <w:i w:val="0"/>
          <w:color w:val="auto"/>
          <w:sz w:val="20"/>
        </w:rPr>
        <w:t>ince February 2022, after the Russian invasion of Ukraine</w:t>
      </w:r>
      <w:r>
        <w:rPr>
          <w:i w:val="0"/>
          <w:color w:val="auto"/>
          <w:sz w:val="20"/>
        </w:rPr>
        <w:t>.</w:t>
      </w:r>
    </w:p>
    <w:p w14:paraId="65F6062F" w14:textId="77777777" w:rsidR="00E15608" w:rsidRPr="00D52CE0" w:rsidRDefault="00E15608" w:rsidP="00577897">
      <w:pPr>
        <w:pStyle w:val="Heading3"/>
        <w:jc w:val="both"/>
      </w:pPr>
      <w:commentRangeStart w:id="4"/>
      <w:commentRangeStart w:id="5"/>
      <w:r>
        <w:t>Cost</w:t>
      </w:r>
      <w:commentRangeEnd w:id="4"/>
      <w:r>
        <w:rPr>
          <w:rStyle w:val="CommentReference"/>
          <w:rFonts w:asciiTheme="minorHAnsi" w:eastAsiaTheme="minorHAnsi" w:hAnsiTheme="minorHAnsi" w:cstheme="minorBidi"/>
          <w:b w:val="0"/>
        </w:rPr>
        <w:commentReference w:id="4"/>
      </w:r>
      <w:commentRangeEnd w:id="5"/>
      <w:r w:rsidR="00516D83">
        <w:rPr>
          <w:rStyle w:val="CommentReference"/>
          <w:rFonts w:asciiTheme="minorHAnsi" w:eastAsiaTheme="minorHAnsi" w:hAnsiTheme="minorHAnsi" w:cstheme="minorBidi"/>
          <w:b w:val="0"/>
        </w:rPr>
        <w:commentReference w:id="5"/>
      </w:r>
      <w:r>
        <w:t>-competitive green ammonia and methanol</w:t>
      </w:r>
      <w:r w:rsidDel="00064C7D">
        <w:t xml:space="preserve"> </w:t>
      </w:r>
      <w:r>
        <w:t>due to the energy crisis</w:t>
      </w:r>
    </w:p>
    <w:p w14:paraId="2A581CE1" w14:textId="77777777" w:rsidR="00E15608" w:rsidRDefault="00E15608" w:rsidP="00577897">
      <w:pPr>
        <w:jc w:val="both"/>
        <w:rPr>
          <w:rFonts w:cstheme="minorHAnsi"/>
          <w:lang w:val="en-US"/>
        </w:rPr>
      </w:pPr>
      <w:r w:rsidRPr="00E15608">
        <w:rPr>
          <w:rFonts w:cstheme="minorHAnsi"/>
          <w:lang w:val="en-US"/>
        </w:rPr>
        <w:t>We next study the economic competitiveness of green production routes for ammonia and methanol, assuming a hydrogen cost linked to the specific technology deployed and a CO</w:t>
      </w:r>
      <w:r w:rsidRPr="00E15608">
        <w:rPr>
          <w:rFonts w:cstheme="minorHAnsi"/>
          <w:vertAlign w:val="subscript"/>
          <w:lang w:val="en-US"/>
        </w:rPr>
        <w:t>2</w:t>
      </w:r>
      <w:r w:rsidRPr="00E15608">
        <w:rPr>
          <w:rFonts w:cstheme="minorHAnsi"/>
          <w:lang w:val="en-US"/>
        </w:rPr>
        <w:t xml:space="preserve"> cost from DAC linked to the natural gas and electricity price, considering in turn the impact of inflation on the utilities and capital expenditures. Green ammonia produced with hydrogen from water electrolysis using on-shore wind electricity turns cost-competitive at natural gas prices of around 1,700 USD t</w:t>
      </w:r>
      <w:r w:rsidRPr="00996D9A">
        <w:rPr>
          <w:vertAlign w:val="superscript"/>
          <w:lang w:val="en-US"/>
        </w:rPr>
        <w:t>−</w:t>
      </w:r>
      <w:r w:rsidRPr="00E15608">
        <w:rPr>
          <w:rFonts w:cstheme="minorHAnsi"/>
          <w:vertAlign w:val="superscript"/>
          <w:lang w:val="en-US"/>
        </w:rPr>
        <w:t>1</w:t>
      </w:r>
      <w:r w:rsidRPr="00E15608">
        <w:rPr>
          <w:rFonts w:cstheme="minorHAnsi"/>
          <w:lang w:val="en-US"/>
        </w:rPr>
        <w:t xml:space="preserve">. Hence, we find that green ammonia </w:t>
      </w:r>
      <w:r w:rsidRPr="00E15608">
        <w:rPr>
          <w:rFonts w:cstheme="minorHAnsi"/>
          <w:i/>
          <w:lang w:val="en-US"/>
        </w:rPr>
        <w:t>via</w:t>
      </w:r>
      <w:r w:rsidRPr="00E15608">
        <w:rPr>
          <w:rFonts w:cstheme="minorHAnsi"/>
          <w:lang w:val="en-US"/>
        </w:rPr>
        <w:t xml:space="preserve"> wind-based electrolysis became cost-competitive relative to fossil ammonia from December 2021 to October 2022 for a period of six months (</w:t>
      </w:r>
      <w:r w:rsidRPr="00307194">
        <w:rPr>
          <w:rFonts w:cstheme="minorHAnsi"/>
        </w:rPr>
        <w:fldChar w:fldCharType="begin"/>
      </w:r>
      <w:r w:rsidRPr="00E15608">
        <w:rPr>
          <w:rFonts w:cstheme="minorHAnsi"/>
          <w:lang w:val="en-US"/>
        </w:rPr>
        <w:instrText xml:space="preserve"> REF _Ref121495662 \h  \* MERGEFORMAT </w:instrText>
      </w:r>
      <w:r w:rsidRPr="00307194">
        <w:rPr>
          <w:rFonts w:cstheme="minorHAnsi"/>
        </w:rPr>
      </w:r>
      <w:r w:rsidRPr="00307194">
        <w:rPr>
          <w:rFonts w:cstheme="minorHAnsi"/>
        </w:rPr>
        <w:fldChar w:fldCharType="separate"/>
      </w:r>
      <w:r w:rsidRPr="00E15608">
        <w:rPr>
          <w:rFonts w:cstheme="minorHAnsi"/>
          <w:lang w:val="en-US"/>
        </w:rPr>
        <w:t xml:space="preserve">Fig. </w:t>
      </w:r>
      <w:r w:rsidRPr="00E15608">
        <w:rPr>
          <w:rFonts w:cstheme="minorHAnsi"/>
          <w:noProof/>
          <w:lang w:val="en-US"/>
        </w:rPr>
        <w:t>2</w:t>
      </w:r>
      <w:r w:rsidRPr="00307194">
        <w:rPr>
          <w:rFonts w:cstheme="minorHAnsi"/>
        </w:rPr>
        <w:fldChar w:fldCharType="end"/>
      </w:r>
      <w:r w:rsidRPr="00E15608">
        <w:rPr>
          <w:rFonts w:cstheme="minorHAnsi"/>
          <w:lang w:val="en-US"/>
        </w:rPr>
        <w:t>a), with production costs in the range from 1,290 to 1,590 USD t</w:t>
      </w:r>
      <w:r w:rsidRPr="00F4051B">
        <w:rPr>
          <w:vertAlign w:val="superscript"/>
          <w:lang w:val="en-US"/>
        </w:rPr>
        <w:t>−</w:t>
      </w:r>
      <w:r w:rsidRPr="00E15608">
        <w:rPr>
          <w:rFonts w:cstheme="minorHAnsi"/>
          <w:vertAlign w:val="superscript"/>
          <w:lang w:val="en-US"/>
        </w:rPr>
        <w:t>1</w:t>
      </w:r>
      <w:r w:rsidRPr="00E15608">
        <w:rPr>
          <w:rFonts w:cstheme="minorHAnsi"/>
          <w:lang w:val="en-US"/>
        </w:rPr>
        <w:t xml:space="preserve"> ammonia. In contrast, green ammonia </w:t>
      </w:r>
      <w:r w:rsidRPr="00E15608">
        <w:rPr>
          <w:rFonts w:cstheme="minorHAnsi"/>
          <w:i/>
          <w:lang w:val="en-US"/>
        </w:rPr>
        <w:t>via</w:t>
      </w:r>
      <w:r w:rsidRPr="00E15608">
        <w:rPr>
          <w:rFonts w:cstheme="minorHAnsi"/>
          <w:lang w:val="en-US"/>
        </w:rPr>
        <w:t xml:space="preserve"> solar PV-based electrolytic hydrogen became competitive around the peak of natural gas spot prices in August 2022 (</w:t>
      </w:r>
      <w:r w:rsidRPr="008B0FD0">
        <w:rPr>
          <w:rFonts w:cstheme="minorHAnsi"/>
        </w:rPr>
        <w:fldChar w:fldCharType="begin"/>
      </w:r>
      <w:r w:rsidRPr="00E15608">
        <w:rPr>
          <w:rFonts w:cstheme="minorHAnsi"/>
          <w:lang w:val="en-US"/>
        </w:rPr>
        <w:instrText xml:space="preserve"> REF _Ref121495662 \h  \* MERGEFORMAT </w:instrText>
      </w:r>
      <w:r w:rsidRPr="008B0FD0">
        <w:rPr>
          <w:rFonts w:cstheme="minorHAnsi"/>
        </w:rPr>
      </w:r>
      <w:r w:rsidRPr="008B0FD0">
        <w:rPr>
          <w:rFonts w:cstheme="minorHAnsi"/>
        </w:rPr>
        <w:fldChar w:fldCharType="separate"/>
      </w:r>
      <w:r w:rsidRPr="00E15608">
        <w:rPr>
          <w:rFonts w:cstheme="minorHAnsi"/>
          <w:lang w:val="en-US"/>
        </w:rPr>
        <w:t xml:space="preserve">Fig. </w:t>
      </w:r>
      <w:r w:rsidRPr="00E15608">
        <w:rPr>
          <w:rFonts w:cstheme="minorHAnsi"/>
          <w:noProof/>
          <w:lang w:val="en-US"/>
        </w:rPr>
        <w:t>2</w:t>
      </w:r>
      <w:r w:rsidRPr="008B0FD0">
        <w:rPr>
          <w:rFonts w:cstheme="minorHAnsi"/>
        </w:rPr>
        <w:fldChar w:fldCharType="end"/>
      </w:r>
      <w:r w:rsidRPr="00E15608">
        <w:rPr>
          <w:rFonts w:cstheme="minorHAnsi"/>
          <w:lang w:val="en-US"/>
        </w:rPr>
        <w:t xml:space="preserve">b). This is due to the higher cost of hydrogen from solar PV-based electrolysis, which shows a lower capacity factor compared to wind power (16.1 to 17.5%, for solar PV, </w:t>
      </w:r>
      <w:r w:rsidRPr="00E15608">
        <w:rPr>
          <w:rFonts w:cstheme="minorHAnsi"/>
          <w:i/>
          <w:lang w:val="en-US"/>
        </w:rPr>
        <w:t>v</w:t>
      </w:r>
      <w:r w:rsidRPr="00E15608">
        <w:rPr>
          <w:rFonts w:cstheme="minorHAnsi"/>
          <w:lang w:val="en-US"/>
        </w:rPr>
        <w:t xml:space="preserve">s. </w:t>
      </w:r>
      <w:r w:rsidRPr="002D4245">
        <w:rPr>
          <w:rFonts w:cstheme="minorHAnsi"/>
          <w:lang w:val="en-US"/>
        </w:rPr>
        <w:t>35.6% to 39%</w:t>
      </w:r>
      <w:r>
        <w:rPr>
          <w:rFonts w:cstheme="minorHAnsi"/>
          <w:lang w:val="en-US"/>
        </w:rPr>
        <w:t xml:space="preserve"> for wind</w:t>
      </w:r>
      <w:r w:rsidRPr="002D4245">
        <w:rPr>
          <w:rFonts w:cstheme="minorHAnsi"/>
          <w:lang w:val="en-US"/>
        </w:rPr>
        <w:t>)</w:t>
      </w:r>
      <w:r>
        <w:rPr>
          <w:rFonts w:cstheme="minorHAnsi"/>
          <w:lang w:val="en-US"/>
        </w:rPr>
        <w:fldChar w:fldCharType="begin"/>
      </w:r>
      <w:r>
        <w:rPr>
          <w:rFonts w:cstheme="minorHAnsi"/>
          <w:lang w:val="en-US"/>
        </w:rPr>
        <w:instrText xml:space="preserve"> ADDIN ZOTERO_ITEM CSL_CITATION {"citationID":"4WsfGQvU","properties":{"formattedCitation":"\\super 32\\nosupersub{}","plainCitation":"32","noteIndex":0},"citationItems":[{"id":26628,"uris":["http://zotero.org/users/9157291/items/TXYNLTG5"],"itemData":{"id":26628,"type":"report","event-place":"Abu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rPr>
          <w:rFonts w:cstheme="minorHAnsi"/>
          <w:lang w:val="en-US"/>
        </w:rPr>
        <w:fldChar w:fldCharType="separate"/>
      </w:r>
      <w:r w:rsidRPr="00E15608">
        <w:rPr>
          <w:rFonts w:ascii="Calibri" w:hAnsi="Calibri" w:cs="Calibri"/>
          <w:szCs w:val="24"/>
          <w:vertAlign w:val="superscript"/>
          <w:lang w:val="en-US"/>
        </w:rPr>
        <w:t>32</w:t>
      </w:r>
      <w:r>
        <w:rPr>
          <w:rFonts w:cstheme="minorHAnsi"/>
          <w:lang w:val="en-US"/>
        </w:rPr>
        <w:fldChar w:fldCharType="end"/>
      </w:r>
      <w:r w:rsidRPr="002D4245">
        <w:rPr>
          <w:rFonts w:cstheme="minorHAnsi"/>
          <w:lang w:val="en-US"/>
        </w:rPr>
        <w:t xml:space="preserve">. </w:t>
      </w:r>
      <w:r w:rsidRPr="006D3A56">
        <w:rPr>
          <w:rFonts w:cstheme="minorHAnsi"/>
          <w:lang w:val="en-US"/>
        </w:rPr>
        <w:t xml:space="preserve">Ammonia production with blue hydrogen –SMR coupled with CCS– follows the same pattern as standard fossil ammonia, being slightly </w:t>
      </w:r>
      <w:r>
        <w:rPr>
          <w:rFonts w:cstheme="minorHAnsi"/>
          <w:lang w:val="en-US"/>
        </w:rPr>
        <w:t xml:space="preserve">more </w:t>
      </w:r>
      <w:r w:rsidRPr="006D3A56">
        <w:rPr>
          <w:rFonts w:cstheme="minorHAnsi"/>
          <w:lang w:val="en-US"/>
        </w:rPr>
        <w:t>expensive than the conventional route due to the additional cost of CCS (</w:t>
      </w:r>
      <w:r w:rsidRPr="006D3A56">
        <w:rPr>
          <w:rFonts w:cstheme="minorHAnsi"/>
        </w:rPr>
        <w:fldChar w:fldCharType="begin"/>
      </w:r>
      <w:r w:rsidRPr="00E15608">
        <w:rPr>
          <w:rFonts w:cstheme="minorHAnsi"/>
          <w:lang w:val="en-US"/>
        </w:rPr>
        <w:instrText xml:space="preserve"> REF _Ref121495662 \h  \* MERGEFORMAT </w:instrText>
      </w:r>
      <w:r w:rsidRPr="006D3A56">
        <w:rPr>
          <w:rFonts w:cstheme="minorHAnsi"/>
        </w:rPr>
      </w:r>
      <w:r w:rsidRPr="006D3A56">
        <w:rPr>
          <w:rFonts w:cstheme="minorHAnsi"/>
        </w:rPr>
        <w:fldChar w:fldCharType="separate"/>
      </w:r>
      <w:r w:rsidRPr="00E15608">
        <w:rPr>
          <w:rFonts w:cstheme="minorHAnsi"/>
          <w:lang w:val="en-US"/>
        </w:rPr>
        <w:t>Fig. </w:t>
      </w:r>
      <w:r w:rsidRPr="00E15608">
        <w:rPr>
          <w:rFonts w:cstheme="minorHAnsi"/>
          <w:noProof/>
          <w:lang w:val="en-US"/>
        </w:rPr>
        <w:t>2</w:t>
      </w:r>
      <w:r w:rsidRPr="006D3A56">
        <w:rPr>
          <w:rFonts w:cstheme="minorHAnsi"/>
        </w:rPr>
        <w:fldChar w:fldCharType="end"/>
      </w:r>
      <w:r w:rsidRPr="006D3A56">
        <w:rPr>
          <w:rFonts w:cstheme="minorHAnsi"/>
          <w:lang w:val="en-US"/>
        </w:rPr>
        <w:t>c).</w:t>
      </w:r>
    </w:p>
    <w:p w14:paraId="1158BB7C" w14:textId="77777777" w:rsidR="00E15608" w:rsidRPr="00E15608" w:rsidRDefault="00E15608" w:rsidP="00577897">
      <w:pPr>
        <w:jc w:val="both"/>
        <w:rPr>
          <w:rFonts w:cstheme="minorHAnsi"/>
          <w:lang w:val="en-US"/>
        </w:rPr>
      </w:pPr>
      <w:r w:rsidRPr="00E15608">
        <w:rPr>
          <w:rFonts w:cstheme="minorHAnsi"/>
          <w:lang w:val="en-US"/>
        </w:rPr>
        <w:t>Green methanol produced with wind-based electrolytic hydrogen and DAC CO</w:t>
      </w:r>
      <w:r w:rsidRPr="00E15608">
        <w:rPr>
          <w:rFonts w:cstheme="minorHAnsi"/>
          <w:vertAlign w:val="subscript"/>
          <w:lang w:val="en-US"/>
        </w:rPr>
        <w:t>2</w:t>
      </w:r>
      <w:r w:rsidRPr="00E15608">
        <w:rPr>
          <w:rFonts w:cstheme="minorHAnsi"/>
          <w:lang w:val="en-US"/>
        </w:rPr>
        <w:t xml:space="preserve"> becomes economically competitive at natural gas prices of around 3,100 USD t</w:t>
      </w:r>
      <w:r w:rsidRPr="00E15608">
        <w:rPr>
          <w:rFonts w:cstheme="minorHAnsi"/>
          <w:vertAlign w:val="superscript"/>
          <w:lang w:val="en-US"/>
        </w:rPr>
        <w:t>−1</w:t>
      </w:r>
      <w:r w:rsidRPr="00E15608">
        <w:rPr>
          <w:rFonts w:cstheme="minorHAnsi"/>
          <w:lang w:val="en-US"/>
        </w:rPr>
        <w:t xml:space="preserve"> (</w:t>
      </w:r>
      <w:r w:rsidRPr="00996D9A">
        <w:rPr>
          <w:rFonts w:cstheme="minorHAnsi"/>
        </w:rPr>
        <w:fldChar w:fldCharType="begin"/>
      </w:r>
      <w:r w:rsidRPr="00E15608">
        <w:rPr>
          <w:rFonts w:cstheme="minorHAnsi"/>
          <w:lang w:val="en-US"/>
        </w:rPr>
        <w:instrText xml:space="preserve"> REF _Ref121495662 \h  \* MERGEFORMAT </w:instrText>
      </w:r>
      <w:r w:rsidRPr="00996D9A">
        <w:rPr>
          <w:rFonts w:cstheme="minorHAnsi"/>
        </w:rPr>
      </w:r>
      <w:r w:rsidRPr="00996D9A">
        <w:rPr>
          <w:rFonts w:cstheme="minorHAnsi"/>
        </w:rPr>
        <w:fldChar w:fldCharType="separate"/>
      </w:r>
      <w:r w:rsidRPr="00E15608">
        <w:rPr>
          <w:rFonts w:cstheme="minorHAnsi"/>
          <w:lang w:val="en-US"/>
        </w:rPr>
        <w:t xml:space="preserve">Fig. </w:t>
      </w:r>
      <w:r w:rsidRPr="00E15608">
        <w:rPr>
          <w:rFonts w:cstheme="minorHAnsi"/>
          <w:noProof/>
          <w:lang w:val="en-US"/>
        </w:rPr>
        <w:t>2</w:t>
      </w:r>
      <w:r w:rsidRPr="00996D9A">
        <w:rPr>
          <w:rFonts w:cstheme="minorHAnsi"/>
        </w:rPr>
        <w:fldChar w:fldCharType="end"/>
      </w:r>
      <w:r w:rsidRPr="00E15608">
        <w:rPr>
          <w:rFonts w:cstheme="minorHAnsi"/>
          <w:lang w:val="en-US"/>
        </w:rPr>
        <w:t xml:space="preserve">d), with the break-even natural gas price largely depending again on the </w:t>
      </w:r>
      <w:r w:rsidRPr="00E15608">
        <w:rPr>
          <w:rFonts w:cstheme="minorHAnsi"/>
          <w:lang w:val="en-US"/>
        </w:rPr>
        <w:lastRenderedPageBreak/>
        <w:t xml:space="preserve">levelized cost of hydrogen. Thus, methanol production </w:t>
      </w:r>
      <w:r w:rsidRPr="00E15608">
        <w:rPr>
          <w:rFonts w:cstheme="minorHAnsi"/>
          <w:i/>
          <w:lang w:val="en-US"/>
        </w:rPr>
        <w:t>via</w:t>
      </w:r>
      <w:r w:rsidRPr="00E15608">
        <w:rPr>
          <w:rFonts w:cstheme="minorHAnsi"/>
          <w:lang w:val="en-US"/>
        </w:rPr>
        <w:t xml:space="preserve"> this route became cost competitive only at the peak of natural gas prices in August 2022. Meanwhile, the solar PV-based route never became economically appealing (</w:t>
      </w:r>
      <w:r w:rsidRPr="00996D9A">
        <w:rPr>
          <w:rFonts w:cstheme="minorHAnsi"/>
        </w:rPr>
        <w:fldChar w:fldCharType="begin"/>
      </w:r>
      <w:r w:rsidRPr="00E15608">
        <w:rPr>
          <w:rFonts w:cstheme="minorHAnsi"/>
          <w:lang w:val="en-US"/>
        </w:rPr>
        <w:instrText xml:space="preserve"> REF _Ref121495662 \h  \* MERGEFORMAT </w:instrText>
      </w:r>
      <w:r w:rsidRPr="00996D9A">
        <w:rPr>
          <w:rFonts w:cstheme="minorHAnsi"/>
        </w:rPr>
      </w:r>
      <w:r w:rsidRPr="00996D9A">
        <w:rPr>
          <w:rFonts w:cstheme="minorHAnsi"/>
        </w:rPr>
        <w:fldChar w:fldCharType="separate"/>
      </w:r>
      <w:r w:rsidRPr="00E15608">
        <w:rPr>
          <w:rFonts w:cstheme="minorHAnsi"/>
          <w:lang w:val="en-US"/>
        </w:rPr>
        <w:t xml:space="preserve">Fig. </w:t>
      </w:r>
      <w:r w:rsidRPr="00E15608">
        <w:rPr>
          <w:rFonts w:cstheme="minorHAnsi"/>
          <w:noProof/>
          <w:lang w:val="en-US"/>
        </w:rPr>
        <w:t>2</w:t>
      </w:r>
      <w:r w:rsidRPr="00996D9A">
        <w:rPr>
          <w:rFonts w:cstheme="minorHAnsi"/>
        </w:rPr>
        <w:fldChar w:fldCharType="end"/>
      </w:r>
      <w:r w:rsidRPr="00E15608">
        <w:rPr>
          <w:rFonts w:cstheme="minorHAnsi"/>
          <w:lang w:val="en-US"/>
        </w:rPr>
        <w:t>e). For the case of methanol production from DAC CO</w:t>
      </w:r>
      <w:r w:rsidRPr="00E15608">
        <w:rPr>
          <w:rFonts w:cstheme="minorHAnsi"/>
          <w:vertAlign w:val="subscript"/>
          <w:lang w:val="en-US"/>
        </w:rPr>
        <w:t>2</w:t>
      </w:r>
      <w:r w:rsidRPr="00E15608">
        <w:rPr>
          <w:rFonts w:cstheme="minorHAnsi"/>
          <w:lang w:val="en-US"/>
        </w:rPr>
        <w:t xml:space="preserve"> and blue hydrogen, the cost of production was, on average, 182% higher than fossil methanol due to the additional cost of CCS and captured CO</w:t>
      </w:r>
      <w:r w:rsidRPr="00E15608">
        <w:rPr>
          <w:rFonts w:cstheme="minorHAnsi"/>
          <w:vertAlign w:val="subscript"/>
          <w:lang w:val="en-US"/>
        </w:rPr>
        <w:t>2</w:t>
      </w:r>
      <w:r w:rsidRPr="00E15608">
        <w:rPr>
          <w:rFonts w:cstheme="minorHAnsi"/>
          <w:lang w:val="en-US"/>
        </w:rPr>
        <w:t xml:space="preserve"> (</w:t>
      </w:r>
      <w:r w:rsidRPr="00F20A1F">
        <w:rPr>
          <w:rFonts w:cstheme="minorHAnsi"/>
        </w:rPr>
        <w:fldChar w:fldCharType="begin"/>
      </w:r>
      <w:r w:rsidRPr="00E15608">
        <w:rPr>
          <w:rFonts w:cstheme="minorHAnsi"/>
          <w:lang w:val="en-US"/>
        </w:rPr>
        <w:instrText xml:space="preserve"> REF _Ref121495662 \h  \* MERGEFORMAT </w:instrText>
      </w:r>
      <w:r w:rsidRPr="00F20A1F">
        <w:rPr>
          <w:rFonts w:cstheme="minorHAnsi"/>
        </w:rPr>
      </w:r>
      <w:r w:rsidRPr="00F20A1F">
        <w:rPr>
          <w:rFonts w:cstheme="minorHAnsi"/>
        </w:rPr>
        <w:fldChar w:fldCharType="separate"/>
      </w:r>
      <w:r w:rsidRPr="00E15608">
        <w:rPr>
          <w:rFonts w:cstheme="minorHAnsi"/>
          <w:lang w:val="en-US"/>
        </w:rPr>
        <w:t xml:space="preserve">Fig. </w:t>
      </w:r>
      <w:r w:rsidRPr="00E15608">
        <w:rPr>
          <w:rFonts w:cstheme="minorHAnsi"/>
          <w:noProof/>
          <w:lang w:val="en-US"/>
        </w:rPr>
        <w:t>2</w:t>
      </w:r>
      <w:r w:rsidRPr="00F20A1F">
        <w:rPr>
          <w:rFonts w:cstheme="minorHAnsi"/>
        </w:rPr>
        <w:fldChar w:fldCharType="end"/>
      </w:r>
      <w:r w:rsidRPr="00E15608">
        <w:rPr>
          <w:rFonts w:cstheme="minorHAnsi"/>
          <w:lang w:val="en-US"/>
        </w:rPr>
        <w:t>f).</w:t>
      </w:r>
    </w:p>
    <w:p w14:paraId="141D2C10" w14:textId="77777777" w:rsidR="00E15608" w:rsidRPr="002D4245" w:rsidRDefault="00E15608" w:rsidP="00577897">
      <w:pPr>
        <w:spacing w:after="0"/>
        <w:jc w:val="both"/>
        <w:rPr>
          <w:rFonts w:cstheme="minorHAnsi"/>
        </w:rPr>
      </w:pPr>
      <w:r>
        <w:rPr>
          <w:rFonts w:cstheme="minorHAnsi"/>
          <w:noProof/>
          <w:lang w:val="en-US"/>
        </w:rPr>
        <w:drawing>
          <wp:inline distT="0" distB="0" distL="0" distR="0" wp14:anchorId="3819DFCF" wp14:editId="53ABCB7C">
            <wp:extent cx="6547104" cy="710641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47104" cy="7106412"/>
                    </a:xfrm>
                    <a:prstGeom prst="rect">
                      <a:avLst/>
                    </a:prstGeom>
                  </pic:spPr>
                </pic:pic>
              </a:graphicData>
            </a:graphic>
          </wp:inline>
        </w:drawing>
      </w:r>
    </w:p>
    <w:p w14:paraId="3E301524" w14:textId="6CEE55AB" w:rsidR="00E15608" w:rsidRPr="00E15608" w:rsidRDefault="00E15608" w:rsidP="00577897">
      <w:pPr>
        <w:jc w:val="both"/>
        <w:rPr>
          <w:rFonts w:cstheme="minorHAnsi"/>
          <w:iCs/>
          <w:sz w:val="20"/>
          <w:szCs w:val="20"/>
          <w:lang w:val="en-US"/>
        </w:rPr>
      </w:pPr>
      <w:bookmarkStart w:id="6" w:name="_Ref121495662"/>
      <w:commentRangeStart w:id="7"/>
      <w:commentRangeStart w:id="8"/>
      <w:r w:rsidRPr="00E15608">
        <w:rPr>
          <w:rFonts w:cstheme="minorHAnsi"/>
          <w:b/>
          <w:sz w:val="20"/>
          <w:lang w:val="en-US"/>
        </w:rPr>
        <w:t>Fig</w:t>
      </w:r>
      <w:commentRangeEnd w:id="7"/>
      <w:r>
        <w:rPr>
          <w:rStyle w:val="CommentReference"/>
        </w:rPr>
        <w:commentReference w:id="7"/>
      </w:r>
      <w:commentRangeEnd w:id="8"/>
      <w:r w:rsidR="00A71815">
        <w:rPr>
          <w:rStyle w:val="CommentReference"/>
          <w:lang w:val="en-GB"/>
        </w:rPr>
        <w:commentReference w:id="8"/>
      </w:r>
      <w:r w:rsidRPr="00E15608">
        <w:rPr>
          <w:rFonts w:cstheme="minorHAnsi"/>
          <w:b/>
          <w:sz w:val="20"/>
          <w:lang w:val="en-US"/>
        </w:rPr>
        <w:t xml:space="preserve">. </w:t>
      </w:r>
      <w:r w:rsidRPr="00EC47A0">
        <w:rPr>
          <w:rFonts w:cstheme="minorHAnsi"/>
          <w:b/>
          <w:i/>
          <w:sz w:val="20"/>
        </w:rPr>
        <w:fldChar w:fldCharType="begin"/>
      </w:r>
      <w:r w:rsidRPr="00E15608">
        <w:rPr>
          <w:rFonts w:cstheme="minorHAnsi"/>
          <w:b/>
          <w:sz w:val="20"/>
          <w:lang w:val="en-US"/>
        </w:rPr>
        <w:instrText xml:space="preserve"> SEQ Fig. \* ARABIC </w:instrText>
      </w:r>
      <w:r w:rsidRPr="00EC47A0">
        <w:rPr>
          <w:rFonts w:cstheme="minorHAnsi"/>
          <w:b/>
          <w:i/>
          <w:sz w:val="20"/>
        </w:rPr>
        <w:fldChar w:fldCharType="separate"/>
      </w:r>
      <w:r w:rsidRPr="00E15608">
        <w:rPr>
          <w:rFonts w:cstheme="minorHAnsi"/>
          <w:b/>
          <w:noProof/>
          <w:sz w:val="20"/>
          <w:lang w:val="en-US"/>
        </w:rPr>
        <w:t>2</w:t>
      </w:r>
      <w:r w:rsidRPr="00EC47A0">
        <w:rPr>
          <w:rFonts w:cstheme="minorHAnsi"/>
          <w:b/>
          <w:i/>
          <w:sz w:val="20"/>
        </w:rPr>
        <w:fldChar w:fldCharType="end"/>
      </w:r>
      <w:bookmarkEnd w:id="6"/>
      <w:r w:rsidRPr="00E15608">
        <w:rPr>
          <w:rFonts w:cstheme="minorHAnsi"/>
          <w:b/>
          <w:sz w:val="20"/>
          <w:lang w:val="en-US"/>
        </w:rPr>
        <w:t xml:space="preserve">. Production cost for green ammonia and methanol in Europe compared with the fossil (natural gas-based) counterpart. </w:t>
      </w:r>
      <w:r w:rsidRPr="00E15608">
        <w:rPr>
          <w:rFonts w:cstheme="minorHAnsi"/>
          <w:sz w:val="20"/>
          <w:lang w:val="en-US"/>
        </w:rPr>
        <w:t xml:space="preserve">Green </w:t>
      </w:r>
      <w:r w:rsidRPr="00E15608">
        <w:rPr>
          <w:sz w:val="20"/>
          <w:szCs w:val="20"/>
          <w:lang w:val="en-US"/>
        </w:rPr>
        <w:t xml:space="preserve">ammonia produced </w:t>
      </w:r>
      <w:r w:rsidRPr="00E15608">
        <w:rPr>
          <w:i/>
          <w:sz w:val="20"/>
          <w:szCs w:val="20"/>
          <w:lang w:val="en-US"/>
        </w:rPr>
        <w:t>via</w:t>
      </w:r>
      <w:r w:rsidRPr="00E15608">
        <w:rPr>
          <w:sz w:val="20"/>
          <w:szCs w:val="20"/>
          <w:lang w:val="en-US"/>
        </w:rPr>
        <w:t xml:space="preserve"> the Haber-Bosch process with green hydrogen from water electrolysis using on-shore wind electricity (a) or solar photovoltaic (PV) electricity (b) and blue hydrogen from steam methane reforming (SMR) coupled with carbon capture and storage (CCS) (c). Methanol synthesized from captured CO</w:t>
      </w:r>
      <w:r w:rsidRPr="00E15608">
        <w:rPr>
          <w:sz w:val="20"/>
          <w:szCs w:val="20"/>
          <w:vertAlign w:val="subscript"/>
          <w:lang w:val="en-US"/>
        </w:rPr>
        <w:t>2</w:t>
      </w:r>
      <w:r w:rsidRPr="00E15608">
        <w:rPr>
          <w:sz w:val="20"/>
          <w:szCs w:val="20"/>
          <w:lang w:val="en-US"/>
        </w:rPr>
        <w:t xml:space="preserve"> and </w:t>
      </w:r>
      <w:bookmarkStart w:id="9" w:name="_Hlk124438456"/>
      <w:r w:rsidRPr="00E15608">
        <w:rPr>
          <w:sz w:val="20"/>
          <w:szCs w:val="20"/>
          <w:lang w:val="en-US"/>
        </w:rPr>
        <w:t xml:space="preserve">wind-based electrolytic hydrogen </w:t>
      </w:r>
      <w:bookmarkEnd w:id="9"/>
      <w:r w:rsidRPr="00E15608">
        <w:rPr>
          <w:sz w:val="20"/>
          <w:szCs w:val="20"/>
          <w:lang w:val="en-US"/>
        </w:rPr>
        <w:t>(d), PV-based electrolytic hydrogen (e) or blue hydrogen –SMR coupled with CCS– (f). As in Fig. 1, the calculations are based on rigorous simulations and consider</w:t>
      </w:r>
      <w:r w:rsidRPr="00E15608">
        <w:rPr>
          <w:sz w:val="20"/>
          <w:lang w:val="en-US"/>
        </w:rPr>
        <w:t xml:space="preserve"> the </w:t>
      </w:r>
      <w:r w:rsidRPr="00E15608">
        <w:rPr>
          <w:sz w:val="20"/>
          <w:lang w:val="en-US"/>
        </w:rPr>
        <w:lastRenderedPageBreak/>
        <w:t>effect of inflation and the monthly</w:t>
      </w:r>
      <w:r w:rsidRPr="00E15608">
        <w:rPr>
          <w:i/>
          <w:sz w:val="20"/>
          <w:lang w:val="en-US"/>
        </w:rPr>
        <w:t xml:space="preserve"> </w:t>
      </w:r>
      <w:r w:rsidRPr="00E15608">
        <w:rPr>
          <w:sz w:val="20"/>
          <w:lang w:val="en-US"/>
        </w:rPr>
        <w:t>fluctuation</w:t>
      </w:r>
      <w:r w:rsidRPr="00E15608">
        <w:rPr>
          <w:i/>
          <w:sz w:val="20"/>
          <w:lang w:val="en-US"/>
        </w:rPr>
        <w:t>s</w:t>
      </w:r>
      <w:r w:rsidRPr="00E15608">
        <w:rPr>
          <w:sz w:val="20"/>
          <w:lang w:val="en-US"/>
        </w:rPr>
        <w:t xml:space="preserve"> in natural gas and electricity prices (the evolution of electricity prices in Europe is displayed in </w:t>
      </w:r>
      <w:r w:rsidRPr="002B1BCD">
        <w:rPr>
          <w:sz w:val="20"/>
          <w:lang w:val="en-US"/>
        </w:rPr>
        <w:t>Fig. S</w:t>
      </w:r>
      <w:r w:rsidR="002B1BCD" w:rsidRPr="002B1BCD">
        <w:rPr>
          <w:sz w:val="20"/>
          <w:lang w:val="en-US"/>
        </w:rPr>
        <w:t>3 of the ESI</w:t>
      </w:r>
      <w:r w:rsidRPr="00E15608">
        <w:rPr>
          <w:sz w:val="20"/>
          <w:lang w:val="en-US"/>
        </w:rPr>
        <w:t>)</w:t>
      </w:r>
      <w:r w:rsidRPr="00E15608">
        <w:rPr>
          <w:rFonts w:cstheme="minorHAnsi"/>
          <w:sz w:val="20"/>
          <w:szCs w:val="20"/>
          <w:lang w:val="en-US"/>
        </w:rPr>
        <w:t>. Error bars display the production cost considering the lower and upper bound for the levelized cost of hydrogen</w:t>
      </w:r>
      <w:r w:rsidR="00F33E1F">
        <w:rPr>
          <w:rFonts w:cstheme="minorHAnsi"/>
          <w:sz w:val="20"/>
          <w:szCs w:val="20"/>
          <w:lang w:val="en-US"/>
        </w:rPr>
        <w:t xml:space="preserve"> (see Table S7 of the ESI)</w:t>
      </w:r>
      <w:r w:rsidRPr="00E15608">
        <w:rPr>
          <w:rFonts w:cstheme="minorHAnsi"/>
          <w:iCs/>
          <w:sz w:val="20"/>
          <w:szCs w:val="20"/>
          <w:lang w:val="en-US"/>
        </w:rPr>
        <w:t xml:space="preserve">. Notably, ammonia production </w:t>
      </w:r>
      <w:r w:rsidRPr="00E15608">
        <w:rPr>
          <w:rFonts w:cstheme="minorHAnsi"/>
          <w:i/>
          <w:iCs/>
          <w:sz w:val="20"/>
          <w:szCs w:val="20"/>
          <w:lang w:val="en-US"/>
        </w:rPr>
        <w:t>via</w:t>
      </w:r>
      <w:r w:rsidRPr="00E15608">
        <w:rPr>
          <w:rFonts w:cstheme="minorHAnsi"/>
          <w:iCs/>
          <w:sz w:val="20"/>
          <w:szCs w:val="20"/>
          <w:lang w:val="en-US"/>
        </w:rPr>
        <w:t xml:space="preserve"> wind electrolysis arises as the most competitive green route, which has been cheaper than or similar to fossil ammonia for six months since December 2021.</w:t>
      </w:r>
    </w:p>
    <w:p w14:paraId="55A7C9D0" w14:textId="52C84B46" w:rsidR="00E15608" w:rsidRPr="00E15608" w:rsidRDefault="00E15608" w:rsidP="00577897">
      <w:pPr>
        <w:jc w:val="both"/>
        <w:rPr>
          <w:rFonts w:cstheme="minorHAnsi"/>
          <w:lang w:val="en-US"/>
        </w:rPr>
      </w:pPr>
      <w:r w:rsidRPr="00E15608">
        <w:rPr>
          <w:rFonts w:cstheme="minorHAnsi"/>
          <w:lang w:val="en-US"/>
        </w:rPr>
        <w:t xml:space="preserve">We next </w:t>
      </w:r>
      <w:r w:rsidR="00A71815" w:rsidRPr="00E15608">
        <w:rPr>
          <w:rFonts w:cstheme="minorHAnsi"/>
          <w:lang w:val="en-US"/>
        </w:rPr>
        <w:t>analyze</w:t>
      </w:r>
      <w:r w:rsidRPr="00E15608">
        <w:rPr>
          <w:rFonts w:cstheme="minorHAnsi"/>
          <w:lang w:val="en-US"/>
        </w:rPr>
        <w:t xml:space="preserve"> the breakdown of the production cost for fossil and green chemicals at different time points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F</w:t>
      </w:r>
      <w:r w:rsidRPr="00E15608">
        <w:rPr>
          <w:lang w:val="en-US"/>
        </w:rPr>
        <w:t>i</w:t>
      </w:r>
      <w:r w:rsidRPr="00E15608">
        <w:rPr>
          <w:lang w:val="en-US"/>
        </w:rPr>
        <w:t xml:space="preserve">g. </w:t>
      </w:r>
      <w:r w:rsidRPr="00E15608">
        <w:rPr>
          <w:noProof/>
          <w:lang w:val="en-US"/>
        </w:rPr>
        <w:t>3</w:t>
      </w:r>
      <w:r w:rsidRPr="007452C9">
        <w:rPr>
          <w:rFonts w:cstheme="minorHAnsi"/>
        </w:rPr>
        <w:fldChar w:fldCharType="end"/>
      </w:r>
      <w:r w:rsidRPr="00E15608">
        <w:rPr>
          <w:rFonts w:cstheme="minorHAnsi"/>
          <w:lang w:val="en-US"/>
        </w:rPr>
        <w:t xml:space="preserve">). We focus on the green routes based on wind-based electrolytic hydrogen, as these were found to be the most promising routes (results for the </w:t>
      </w:r>
      <w:r w:rsidRPr="00E15608">
        <w:rPr>
          <w:lang w:val="en-US"/>
        </w:rPr>
        <w:t xml:space="preserve">other green routes are displayed in </w:t>
      </w:r>
      <w:r w:rsidRPr="00126E59">
        <w:rPr>
          <w:lang w:val="en-US"/>
        </w:rPr>
        <w:t>Fig. S</w:t>
      </w:r>
      <w:r w:rsidR="00126E59" w:rsidRPr="00126E59">
        <w:rPr>
          <w:lang w:val="en-US"/>
        </w:rPr>
        <w:t>7 of the ESI</w:t>
      </w:r>
      <w:r w:rsidRPr="00E15608">
        <w:rPr>
          <w:lang w:val="en-US"/>
        </w:rPr>
        <w:t>). Moreover, w</w:t>
      </w:r>
      <w:r w:rsidRPr="00E15608">
        <w:rPr>
          <w:rFonts w:cstheme="minorHAnsi"/>
          <w:lang w:val="en-US"/>
        </w:rPr>
        <w:t>e take average values for the years 2019 and 2020 as the natural gas and electricity prices before July 2021 were almost constant.</w:t>
      </w:r>
    </w:p>
    <w:p w14:paraId="20F61232" w14:textId="77777777" w:rsidR="00E15608" w:rsidRPr="00E15608" w:rsidRDefault="00E15608" w:rsidP="00577897">
      <w:pPr>
        <w:jc w:val="both"/>
        <w:rPr>
          <w:lang w:val="en-US"/>
        </w:rPr>
      </w:pPr>
      <w:r w:rsidRPr="00E15608">
        <w:rPr>
          <w:rFonts w:cstheme="minorHAnsi"/>
          <w:lang w:val="en-US"/>
        </w:rPr>
        <w:t>Our results show that the contribution of natural gas to the production cost for fossil ammonia increased from 21% in 2020 to 44% in July 2021 and up to 63% in November 2022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E15608">
        <w:rPr>
          <w:rFonts w:cstheme="minorHAnsi"/>
          <w:lang w:val="en-US"/>
        </w:rPr>
        <w:t>a).</w:t>
      </w:r>
      <w:r w:rsidRPr="00341573">
        <w:rPr>
          <w:rFonts w:cstheme="minorHAnsi"/>
          <w:lang w:val="en-US"/>
        </w:rPr>
        <w:t xml:space="preserve"> </w:t>
      </w:r>
      <w:r w:rsidRPr="002D4245">
        <w:rPr>
          <w:rFonts w:cstheme="minorHAnsi"/>
          <w:lang w:val="en-US"/>
        </w:rPr>
        <w:t xml:space="preserve">Similarly, for the production of fossil methanol, the share of natural gas increased from </w:t>
      </w:r>
      <w:r>
        <w:rPr>
          <w:rFonts w:cstheme="minorHAnsi"/>
          <w:lang w:val="en-US"/>
        </w:rPr>
        <w:t>48</w:t>
      </w:r>
      <w:r w:rsidRPr="002D4245">
        <w:rPr>
          <w:rFonts w:cstheme="minorHAnsi"/>
          <w:lang w:val="en-US"/>
        </w:rPr>
        <w:t xml:space="preserve">% in 2020 to </w:t>
      </w:r>
      <w:r>
        <w:rPr>
          <w:rFonts w:cstheme="minorHAnsi"/>
          <w:lang w:val="en-US"/>
        </w:rPr>
        <w:t>76</w:t>
      </w:r>
      <w:r w:rsidRPr="002D4245">
        <w:rPr>
          <w:rFonts w:cstheme="minorHAnsi"/>
          <w:lang w:val="en-US"/>
        </w:rPr>
        <w:t xml:space="preserve">% in July 2021 and </w:t>
      </w:r>
      <w:r>
        <w:rPr>
          <w:rFonts w:cstheme="minorHAnsi"/>
          <w:lang w:val="en-US"/>
        </w:rPr>
        <w:t>88</w:t>
      </w:r>
      <w:r w:rsidRPr="002D4245">
        <w:rPr>
          <w:rFonts w:cstheme="minorHAnsi"/>
          <w:lang w:val="en-US"/>
        </w:rPr>
        <w:t xml:space="preserve">% in </w:t>
      </w:r>
      <w:r>
        <w:rPr>
          <w:rFonts w:cstheme="minorHAnsi"/>
          <w:lang w:val="en-US"/>
        </w:rPr>
        <w:t>November</w:t>
      </w:r>
      <w:r w:rsidRPr="002D4245">
        <w:rPr>
          <w:rFonts w:cstheme="minorHAnsi"/>
          <w:lang w:val="en-US"/>
        </w:rPr>
        <w:t xml:space="preserve"> 2022 (</w:t>
      </w:r>
      <w:r w:rsidRPr="007452C9">
        <w:rPr>
          <w:rFonts w:cstheme="minorHAnsi"/>
        </w:rPr>
        <w:fldChar w:fldCharType="begin"/>
      </w:r>
      <w:r w:rsidRPr="00E15608">
        <w:rPr>
          <w:rFonts w:cstheme="minorHAnsi"/>
          <w:lang w:val="en-US"/>
        </w:rPr>
        <w:instrText xml:space="preserve"> REF _Ref124438535 \h  \* MERGEFORMAT </w:instrText>
      </w:r>
      <w:r w:rsidRPr="007452C9">
        <w:rPr>
          <w:rFonts w:cstheme="minorHAnsi"/>
        </w:rPr>
      </w:r>
      <w:r w:rsidRPr="007452C9">
        <w:rPr>
          <w:rFonts w:cstheme="minorHAnsi"/>
        </w:rPr>
        <w:fldChar w:fldCharType="separate"/>
      </w:r>
      <w:r w:rsidRPr="00E15608">
        <w:rPr>
          <w:lang w:val="en-US"/>
        </w:rPr>
        <w:t xml:space="preserve">Fig. </w:t>
      </w:r>
      <w:r w:rsidRPr="00E15608">
        <w:rPr>
          <w:noProof/>
          <w:lang w:val="en-US"/>
        </w:rPr>
        <w:t>3</w:t>
      </w:r>
      <w:r w:rsidRPr="007452C9">
        <w:rPr>
          <w:rFonts w:cstheme="minorHAnsi"/>
        </w:rPr>
        <w:fldChar w:fldCharType="end"/>
      </w:r>
      <w:r w:rsidRPr="002D4245">
        <w:rPr>
          <w:rFonts w:cstheme="minorHAnsi"/>
          <w:lang w:val="en-US"/>
        </w:rPr>
        <w:t>b).</w:t>
      </w:r>
      <w:r>
        <w:rPr>
          <w:rFonts w:cstheme="minorHAnsi"/>
          <w:lang w:val="en-US"/>
        </w:rPr>
        <w:t xml:space="preserve"> For the green routes, hydrogen represents the highest share of the production cost; up to 69-85% for green ammonia and 61-67% for green methanol, depending on the time point. </w:t>
      </w:r>
      <w:r w:rsidRPr="00E15608">
        <w:rPr>
          <w:lang w:val="en-US"/>
        </w:rPr>
        <w:t>We estimate that the average European levelized cost of wind-based electrolytic hydrogen has decreased steadily from 5.2-8.5 USD kg</w:t>
      </w:r>
      <w:r w:rsidRPr="00E15608">
        <w:rPr>
          <w:vertAlign w:val="superscript"/>
          <w:lang w:val="en-US"/>
        </w:rPr>
        <w:t xml:space="preserve">-1 </w:t>
      </w:r>
      <w:r w:rsidRPr="00E15608">
        <w:rPr>
          <w:lang w:val="en-US"/>
        </w:rPr>
        <w:t>in 2019 to 4.5-6.3 USD kg</w:t>
      </w:r>
      <w:r w:rsidRPr="00E15608">
        <w:rPr>
          <w:vertAlign w:val="superscript"/>
          <w:lang w:val="en-US"/>
        </w:rPr>
        <w:t>-1</w:t>
      </w:r>
      <w:r w:rsidRPr="00E15608">
        <w:rPr>
          <w:lang w:val="en-US"/>
        </w:rPr>
        <w:t xml:space="preserve"> by 2021, primarily driven by a reduction in the cost of on-shore wind electricity from 67 to 42 USD MWh</w:t>
      </w:r>
      <w:r w:rsidRPr="00E15608">
        <w:rPr>
          <w:vertAlign w:val="superscript"/>
          <w:lang w:val="en-US"/>
        </w:rPr>
        <w:t>-1</w:t>
      </w:r>
      <w:r w:rsidRPr="00E15608">
        <w:rPr>
          <w:lang w:val="en-US"/>
        </w:rPr>
        <w:t>, based on ref.</w:t>
      </w:r>
      <w:r>
        <w:fldChar w:fldCharType="begin"/>
      </w:r>
      <w:r w:rsidRPr="00E15608">
        <w:rPr>
          <w:lang w:val="en-US"/>
        </w:rPr>
        <w:instrText xml:space="preserve"> ADDIN ZOTERO_ITEM CSL_CITATION {"citationID":"u41OseLy","properties":{"formattedCitation":"\\super 32\\nosupersub{}","plainCitation":"32","noteIndex":0},"citationItems":[{"id":26628,"uris":["http://zotero.org/users/9157291/items/TXYNLTG5"],"itemData":{"id":26628,"type":"report","event-place":"Abu Dhabi","language":"en","publisher":"International Renewable Energy Agency","publisher-place":"Abu Dhabi","source":"Zotero","title":"Making the breakthrough: Green hydrogen policies and technology costs","author":[{"family":"IRENA","given":""}],"issued":{"date-parts":[["2021"]]}}}],"schema":"https://github.com/citation-style-language/schema/raw/master/csl-citation.json"} </w:instrText>
      </w:r>
      <w:r>
        <w:fldChar w:fldCharType="separate"/>
      </w:r>
      <w:r w:rsidRPr="00E15608">
        <w:rPr>
          <w:rFonts w:ascii="Calibri" w:hAnsi="Calibri" w:cs="Calibri"/>
          <w:szCs w:val="24"/>
          <w:vertAlign w:val="superscript"/>
          <w:lang w:val="en-US"/>
        </w:rPr>
        <w:t>32</w:t>
      </w:r>
      <w:r>
        <w:fldChar w:fldCharType="end"/>
      </w:r>
      <w:r w:rsidRPr="00E15608">
        <w:rPr>
          <w:lang w:val="en-US"/>
        </w:rPr>
        <w:t>. The hydrogen cost slightly increased in 2022 up to 5.2-7.3 USD kg</w:t>
      </w:r>
      <w:r w:rsidRPr="00E15608">
        <w:rPr>
          <w:vertAlign w:val="superscript"/>
          <w:lang w:val="en-US"/>
        </w:rPr>
        <w:t>-1</w:t>
      </w:r>
      <w:r w:rsidRPr="00E15608">
        <w:rPr>
          <w:lang w:val="en-US"/>
        </w:rPr>
        <w:t>, due to the effect of inflation. Hence, the hydrogen cost applied in this work align well with the lower bound of previous literature estimates (</w:t>
      </w:r>
      <w:r w:rsidRPr="00E15608">
        <w:rPr>
          <w:i/>
          <w:lang w:val="en-US"/>
        </w:rPr>
        <w:t>i.e.</w:t>
      </w:r>
      <w:r w:rsidRPr="00E15608">
        <w:rPr>
          <w:lang w:val="en-US"/>
        </w:rPr>
        <w:t>, between 4.6 and 10 USD kg</w:t>
      </w:r>
      <w:r w:rsidRPr="00E15608">
        <w:rPr>
          <w:vertAlign w:val="superscript"/>
          <w:lang w:val="en-US"/>
        </w:rPr>
        <w:t>-1</w:t>
      </w:r>
      <w:r w:rsidRPr="00E15608">
        <w:rPr>
          <w:lang w:val="en-US"/>
        </w:rPr>
        <w:t xml:space="preserve"> based on ref.</w:t>
      </w:r>
      <w:r>
        <w:fldChar w:fldCharType="begin"/>
      </w:r>
      <w:r w:rsidRPr="00E15608">
        <w:rPr>
          <w:lang w:val="en-US"/>
        </w:rPr>
        <w:instrText xml:space="preserve"> ADDIN ZOTERO_ITEM CSL_CITATION {"citationID":"pejIi8CD","properties":{"formattedCitation":"\\super 33\\nosupersub{}","plainCitation":"33","noteIndex":0},"citationItems":[{"id":31556,"uris":["http://zotero.org/users/9157291/items/5Q9TNJYS"],"itemData":{"id":31556,"type":"article-journal","abstract":"Different technologies produce hydrogen with varying cost and carbon footprints over the entire resource supply chain and manufacturing steps. This paper examines the relative costs of carbon mitigation from a life cycle perspective for 12 different hydrogen production techniques using fossil fuels, nuclear energy and renewable sources by technology substitution. Production costs and life cycle emissions are parameterized and re-estimated from currently available assessments to produce robust ranges to describe uncertainties for each technology. Hydrogen production routes are then compared using a combination of metrics, levelized cost of carbon mitigation and the proportional decarbonization benchmarked against steam methane reforming, to provide a clearer picture of the relative merits of various hydrogen production pathways, the limitations of technologies and the research challenges that need to be addressed for cost-effective decarbonization pathways. The results show that there is a trade-off between the cost of mitig</w:instrText>
      </w:r>
      <w:r>
        <w:instrText>ation and the proportion of decarbonization achieved. The most cost-effective methods of decarbonization still utilize fossil feedstocks due to their low cost of extraction and processing, but only offer moderate decarbonisation levels due to previous underestimations of supply chain emissions contributions. Methane pyrolysis may be the most cost-effective short-term abatement solution, but its emissions reduction pe</w:instrText>
      </w:r>
      <w:r w:rsidRPr="00E15608">
        <w:rPr>
          <w:lang w:val="en-US"/>
        </w:rPr>
        <w:instrText xml:space="preserve">rformance is heavily dependent on managing supply chain emissions whilst cost effectiveness is governed by the price of solid carbon. Renewable electrolytic routes offer significantly higher emissions reductions, but production routes are more complex than those that utilise naturally-occurring energy-dense fuels and hydrogen costs are high at modest renewable energy capacity factors. Nuclear routes are highly cost-effective mitigation options, but could suffer from regionally varied perceptions of safety and concerns regarding proliferation and the available data lacks depth and transparency. Better-performing fossil-based hydrogen production technologies with lower decarbonization fractions will be required to minimise the total cost of decarbonization but may not be commensurate with ambitious climate targets.","container-title":"Energy &amp; Environmental Science","DOI":"10.1039/C8EE02079E","ISSN":"1754-5706","issue":"1","journalAbbreviation":"Energy Environ. Sci.","language":"en","note":"publisher: The Royal Society of Chemistry","page":"19-40","source":"pubs.rsc.org","title":"Levelized cost of CO2 mitigation from hydrogen production routes","volume":"12","author":[{"family":"Parkinson","given":"B."},{"family":"Balcombe","given":"P."},{"family":"Speirs","given":"J. F."},{"family":"Hawkes","given":"A. D."},{"family":"Hellgardt","given":"K."}],"issued":{"date-parts":[["2019",1,16]]}}}],"schema":"https://github.com/citation-style-language/schema/raw/master/csl-citation.json"} </w:instrText>
      </w:r>
      <w:r>
        <w:fldChar w:fldCharType="separate"/>
      </w:r>
      <w:r w:rsidRPr="00E15608">
        <w:rPr>
          <w:rFonts w:ascii="Calibri" w:hAnsi="Calibri" w:cs="Calibri"/>
          <w:szCs w:val="24"/>
          <w:vertAlign w:val="superscript"/>
          <w:lang w:val="en-US"/>
        </w:rPr>
        <w:t>33</w:t>
      </w:r>
      <w:r>
        <w:fldChar w:fldCharType="end"/>
      </w:r>
      <w:r w:rsidRPr="00E15608">
        <w:rPr>
          <w:lang w:val="en-US"/>
        </w:rPr>
        <w:t>).</w:t>
      </w:r>
    </w:p>
    <w:p w14:paraId="1B24D5A4" w14:textId="72371F96" w:rsidR="00E15608" w:rsidRPr="004364A9" w:rsidRDefault="00E15608" w:rsidP="00577897">
      <w:pPr>
        <w:jc w:val="both"/>
        <w:rPr>
          <w:lang w:val="en-US"/>
        </w:rPr>
      </w:pPr>
      <w:r w:rsidRPr="00E15608">
        <w:rPr>
          <w:lang w:val="en-US"/>
        </w:rPr>
        <w:t>For green methanol,</w:t>
      </w:r>
      <w:r w:rsidRPr="00167C38">
        <w:rPr>
          <w:rFonts w:cstheme="minorHAnsi"/>
          <w:lang w:val="en-US"/>
        </w:rPr>
        <w:t xml:space="preserve"> </w:t>
      </w:r>
      <w:r>
        <w:rPr>
          <w:rFonts w:cstheme="minorHAnsi"/>
          <w:lang w:val="en-US"/>
        </w:rPr>
        <w:t xml:space="preserve">the </w:t>
      </w:r>
      <w:r w:rsidRPr="002D4245">
        <w:rPr>
          <w:rFonts w:cstheme="minorHAnsi"/>
          <w:lang w:val="en-US"/>
        </w:rPr>
        <w:t>CO</w:t>
      </w:r>
      <w:r w:rsidRPr="002D4245">
        <w:rPr>
          <w:rFonts w:cstheme="minorHAnsi"/>
          <w:vertAlign w:val="subscript"/>
          <w:lang w:val="en-US"/>
        </w:rPr>
        <w:t>2</w:t>
      </w:r>
      <w:r w:rsidRPr="002D4245">
        <w:rPr>
          <w:rFonts w:cstheme="minorHAnsi"/>
          <w:lang w:val="en-US"/>
        </w:rPr>
        <w:t xml:space="preserve"> </w:t>
      </w:r>
      <w:r>
        <w:rPr>
          <w:rFonts w:cstheme="minorHAnsi"/>
          <w:lang w:val="en-US"/>
        </w:rPr>
        <w:t xml:space="preserve">feedstock captured from </w:t>
      </w:r>
      <w:r w:rsidRPr="00E15608">
        <w:rPr>
          <w:rFonts w:cstheme="minorHAnsi"/>
          <w:lang w:val="en-US"/>
        </w:rPr>
        <w:t xml:space="preserve">the atmosphere by DAC accounted for about </w:t>
      </w:r>
      <w:r w:rsidRPr="002D4245">
        <w:rPr>
          <w:rFonts w:cstheme="minorHAnsi"/>
          <w:lang w:val="en-US"/>
        </w:rPr>
        <w:t>1</w:t>
      </w:r>
      <w:r>
        <w:rPr>
          <w:rFonts w:cstheme="minorHAnsi"/>
          <w:lang w:val="en-US"/>
        </w:rPr>
        <w:t>6</w:t>
      </w:r>
      <w:r w:rsidRPr="002D4245">
        <w:rPr>
          <w:rFonts w:cstheme="minorHAnsi"/>
          <w:lang w:val="en-US"/>
        </w:rPr>
        <w:t xml:space="preserve">% </w:t>
      </w:r>
      <w:r>
        <w:rPr>
          <w:rFonts w:cstheme="minorHAnsi"/>
          <w:lang w:val="en-US"/>
        </w:rPr>
        <w:t xml:space="preserve">of the production cost </w:t>
      </w:r>
      <w:r w:rsidRPr="002D4245">
        <w:rPr>
          <w:rFonts w:cstheme="minorHAnsi"/>
          <w:lang w:val="en-US"/>
        </w:rPr>
        <w:t>in 2020</w:t>
      </w:r>
      <w:r>
        <w:rPr>
          <w:rFonts w:cstheme="minorHAnsi"/>
          <w:lang w:val="en-US"/>
        </w:rPr>
        <w:t xml:space="preserve"> and up </w:t>
      </w:r>
      <w:r w:rsidRPr="002D4245">
        <w:rPr>
          <w:rFonts w:cstheme="minorHAnsi"/>
          <w:lang w:val="en-US"/>
        </w:rPr>
        <w:t xml:space="preserve">to </w:t>
      </w:r>
      <w:r>
        <w:rPr>
          <w:rFonts w:cstheme="minorHAnsi"/>
          <w:lang w:val="en-US"/>
        </w:rPr>
        <w:t>28</w:t>
      </w:r>
      <w:r w:rsidRPr="002D4245">
        <w:rPr>
          <w:rFonts w:cstheme="minorHAnsi"/>
          <w:lang w:val="en-US"/>
        </w:rPr>
        <w:t xml:space="preserve">% </w:t>
      </w:r>
      <w:r>
        <w:rPr>
          <w:rFonts w:cstheme="minorHAnsi"/>
          <w:lang w:val="en-US"/>
        </w:rPr>
        <w:t>in</w:t>
      </w:r>
      <w:r w:rsidRPr="002D4245">
        <w:rPr>
          <w:rFonts w:cstheme="minorHAnsi"/>
          <w:lang w:val="en-US"/>
        </w:rPr>
        <w:t xml:space="preserve"> </w:t>
      </w:r>
      <w:r>
        <w:rPr>
          <w:rFonts w:cstheme="minorHAnsi"/>
          <w:lang w:val="en-US"/>
        </w:rPr>
        <w:t>November</w:t>
      </w:r>
      <w:r w:rsidRPr="002D4245">
        <w:rPr>
          <w:rFonts w:cstheme="minorHAnsi"/>
          <w:lang w:val="en-US"/>
        </w:rPr>
        <w:t xml:space="preserve"> 2022.</w:t>
      </w:r>
      <w:r>
        <w:rPr>
          <w:lang w:val="en-US"/>
        </w:rPr>
        <w:t xml:space="preserve"> The higher contribution can be attributed to the increased cost </w:t>
      </w:r>
      <w:r w:rsidRPr="00E15608">
        <w:rPr>
          <w:lang w:val="en-US"/>
        </w:rPr>
        <w:t>of DAC, from an average of 246 USD t</w:t>
      </w:r>
      <w:r w:rsidRPr="00E15608">
        <w:rPr>
          <w:vertAlign w:val="superscript"/>
          <w:lang w:val="en-US"/>
        </w:rPr>
        <w:t>-1</w:t>
      </w:r>
      <w:r w:rsidRPr="00E15608">
        <w:rPr>
          <w:lang w:val="en-US"/>
        </w:rPr>
        <w:t xml:space="preserve"> CO</w:t>
      </w:r>
      <w:r w:rsidRPr="00E15608">
        <w:rPr>
          <w:vertAlign w:val="subscript"/>
          <w:lang w:val="en-US"/>
        </w:rPr>
        <w:t>2</w:t>
      </w:r>
      <w:r w:rsidRPr="00E15608">
        <w:rPr>
          <w:lang w:val="en-US"/>
        </w:rPr>
        <w:t xml:space="preserve"> in 2019 to 360 USD t</w:t>
      </w:r>
      <w:r w:rsidRPr="00E15608">
        <w:rPr>
          <w:vertAlign w:val="superscript"/>
          <w:lang w:val="en-US"/>
        </w:rPr>
        <w:t>-1</w:t>
      </w:r>
      <w:r w:rsidRPr="00E15608">
        <w:rPr>
          <w:lang w:val="en-US"/>
        </w:rPr>
        <w:t xml:space="preserve"> CO</w:t>
      </w:r>
      <w:r w:rsidRPr="00E15608">
        <w:rPr>
          <w:vertAlign w:val="subscript"/>
          <w:lang w:val="en-US"/>
        </w:rPr>
        <w:t xml:space="preserve">2 </w:t>
      </w:r>
      <w:r w:rsidRPr="00E15608">
        <w:rPr>
          <w:lang w:val="en-US"/>
        </w:rPr>
        <w:t>in 2021, reaching the highest value of 775 USD t</w:t>
      </w:r>
      <w:r w:rsidRPr="00E15608">
        <w:rPr>
          <w:vertAlign w:val="superscript"/>
          <w:lang w:val="en-US"/>
        </w:rPr>
        <w:t>-1</w:t>
      </w:r>
      <w:r w:rsidRPr="00E15608">
        <w:rPr>
          <w:lang w:val="en-US"/>
        </w:rPr>
        <w:t xml:space="preserve"> CO</w:t>
      </w:r>
      <w:r w:rsidRPr="00E15608">
        <w:rPr>
          <w:vertAlign w:val="subscript"/>
          <w:lang w:val="en-US"/>
        </w:rPr>
        <w:t xml:space="preserve">2 </w:t>
      </w:r>
      <w:r w:rsidRPr="00E15608">
        <w:rPr>
          <w:lang w:val="en-US"/>
        </w:rPr>
        <w:t xml:space="preserve">in August 2022. Here, we consider a high-temperature solvent-based </w:t>
      </w:r>
      <w:r w:rsidRPr="00E15608">
        <w:rPr>
          <w:rFonts w:cstheme="minorHAnsi"/>
          <w:lang w:val="en-US"/>
        </w:rPr>
        <w:t>DAC technology, adapted from the work by Keith</w:t>
      </w:r>
      <w:r w:rsidR="00C02986">
        <w:rPr>
          <w:rFonts w:cstheme="minorHAnsi"/>
          <w:lang w:val="en-US"/>
        </w:rPr>
        <w:t> </w:t>
      </w:r>
      <w:r w:rsidRPr="00E15608">
        <w:rPr>
          <w:rFonts w:cstheme="minorHAnsi"/>
          <w:i/>
          <w:lang w:val="en-US"/>
        </w:rPr>
        <w:t>et</w:t>
      </w:r>
      <w:r w:rsidR="00C02986">
        <w:rPr>
          <w:rFonts w:cstheme="minorHAnsi"/>
          <w:i/>
          <w:lang w:val="en-US"/>
        </w:rPr>
        <w:t> </w:t>
      </w:r>
      <w:r w:rsidRPr="00E15608">
        <w:rPr>
          <w:rFonts w:cstheme="minorHAnsi"/>
          <w:i/>
          <w:lang w:val="en-US"/>
        </w:rPr>
        <w:t>al.</w:t>
      </w:r>
      <w:r>
        <w:rPr>
          <w:rFonts w:cstheme="minorHAnsi"/>
        </w:rPr>
        <w:fldChar w:fldCharType="begin"/>
      </w:r>
      <w:r w:rsidRPr="00E15608">
        <w:rPr>
          <w:rFonts w:cstheme="minorHAnsi"/>
          <w:lang w:val="en-US"/>
        </w:rPr>
        <w:instrText xml:space="preserve"> ADDIN ZOTERO_ITEM CSL_CITATION {"citationID":"buA3tSxp","properties":{"formattedCitation":"\\super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Pr="00E15608">
        <w:rPr>
          <w:rFonts w:ascii="Cambria Math" w:hAnsi="Cambria Math" w:cs="Cambria Math"/>
          <w:lang w:val="en-US"/>
        </w:rPr>
        <w:instrText>∼</w:instrText>
      </w:r>
      <w:r w:rsidRPr="00E15608">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 This technology requires a</w:t>
      </w:r>
      <w:r w:rsidRPr="00E15608">
        <w:rPr>
          <w:lang w:val="en-US"/>
        </w:rPr>
        <w:t>round 0.1 t of natural gas and 77 kWh of electricity per t of CO</w:t>
      </w:r>
      <w:r w:rsidRPr="00E15608">
        <w:rPr>
          <w:vertAlign w:val="subscript"/>
          <w:lang w:val="en-US"/>
        </w:rPr>
        <w:t>2</w:t>
      </w:r>
      <w:r w:rsidRPr="00E15608">
        <w:rPr>
          <w:lang w:val="en-US"/>
        </w:rPr>
        <w:t xml:space="preserve"> captured</w:t>
      </w:r>
      <w:r>
        <w:fldChar w:fldCharType="begin"/>
      </w:r>
      <w:r w:rsidRPr="00E15608">
        <w:rPr>
          <w:lang w:val="en-US"/>
        </w:rPr>
        <w:instrText xml:space="preserve"> ADDIN ZOTERO_ITEM CSL_CITATION {"citationID":"dQjUzZiY","properties":{"formattedCitation":"\\super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Pr="00E15608">
        <w:rPr>
          <w:rFonts w:ascii="Cambria Math" w:hAnsi="Cambria Math" w:cs="Cambria Math"/>
          <w:lang w:val="en-US"/>
        </w:rPr>
        <w:instrText>∼</w:instrText>
      </w:r>
      <w:r w:rsidRPr="00E15608">
        <w:rPr>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fldChar w:fldCharType="separate"/>
      </w:r>
      <w:r w:rsidRPr="00E15608">
        <w:rPr>
          <w:rFonts w:ascii="Calibri" w:hAnsi="Calibri" w:cs="Calibri"/>
          <w:szCs w:val="24"/>
          <w:vertAlign w:val="superscript"/>
          <w:lang w:val="en-US"/>
        </w:rPr>
        <w:t>34</w:t>
      </w:r>
      <w:r>
        <w:fldChar w:fldCharType="end"/>
      </w:r>
      <w:r w:rsidRPr="00E15608">
        <w:rPr>
          <w:lang w:val="en-US"/>
        </w:rPr>
        <w:t xml:space="preserve">. Hence, the capture cost is highly sensitive to the </w:t>
      </w:r>
      <w:r>
        <w:rPr>
          <w:rFonts w:cstheme="minorHAnsi"/>
          <w:lang w:val="en-US"/>
        </w:rPr>
        <w:t>fluctuation in natural gas and electricity</w:t>
      </w:r>
      <w:r w:rsidRPr="002D4245">
        <w:rPr>
          <w:rFonts w:cstheme="minorHAnsi"/>
          <w:lang w:val="en-US"/>
        </w:rPr>
        <w:t xml:space="preserve"> price</w:t>
      </w:r>
      <w:r>
        <w:rPr>
          <w:rFonts w:cstheme="minorHAnsi"/>
          <w:lang w:val="en-US"/>
        </w:rPr>
        <w:t>s</w:t>
      </w:r>
      <w:r w:rsidR="004364A9">
        <w:rPr>
          <w:rFonts w:cstheme="minorHAnsi"/>
          <w:lang w:val="en-US"/>
        </w:rPr>
        <w:t xml:space="preserve"> (see Fig. S4</w:t>
      </w:r>
      <w:r w:rsidR="002E730F">
        <w:rPr>
          <w:rFonts w:cstheme="minorHAnsi"/>
          <w:lang w:val="en-US"/>
        </w:rPr>
        <w:t xml:space="preserve"> of the ESI)</w:t>
      </w:r>
      <w:r>
        <w:rPr>
          <w:rFonts w:cstheme="minorHAnsi"/>
          <w:lang w:val="en-US"/>
        </w:rPr>
        <w:t>. There are other DAC technologies,</w:t>
      </w:r>
      <w:r w:rsidRPr="00DD3E31">
        <w:rPr>
          <w:rFonts w:cstheme="minorHAnsi"/>
          <w:lang w:val="en-US"/>
        </w:rPr>
        <w:t xml:space="preserve"> </w:t>
      </w:r>
      <w:r>
        <w:rPr>
          <w:rFonts w:cstheme="minorHAnsi"/>
          <w:lang w:val="en-US"/>
        </w:rPr>
        <w:t>such as the low-temperature sorbent-based technology, that might be less dependent on natural gas</w:t>
      </w:r>
      <w:r>
        <w:rPr>
          <w:rFonts w:cstheme="minorHAnsi"/>
          <w:lang w:val="en-US"/>
        </w:rPr>
        <w:fldChar w:fldCharType="begin"/>
      </w:r>
      <w:r>
        <w:rPr>
          <w:rFonts w:cstheme="minorHAnsi"/>
          <w:lang w:val="en-US"/>
        </w:rPr>
        <w:instrText xml:space="preserve"> ADDIN ZOTERO_ITEM CSL_CITATION {"citationID":"DrrxUArr","properties":{"formattedCitation":"\\super 35\\nosupersub{}","plainCitation":"35","noteIndex":0},"citationItems":[{"id":5877,"uris":["http://zotero.org/users/9157291/items/8BY34IRX"],"itemData":{"id":5877,"type":"article-journal","abstract":"Meeting the 1.5 °C target may require removing up to 1,000 Gtonne CO2 by 2100 with Negative Emissions Technologies (NETs). We evaluate the impacts of Direct Air Capture and Bioenergy with Carbon Capture and Storage (DACCS and BECCS), finding that removing 5.9 Gtonne/year CO2 can prevent &lt;9·102 disability-adjusted life years per million people annually, relative to a baseline without NETs. Avoiding this health burden—similar to that of Parkinson’s—can save substantial externalities (≤148 US$/tonne CO2), comparable to the NETs levelized costs. The health co-benefits of BECCS, dependent on the biomass source, can exceed those of DACCS. Although both NETs can help to operate within the climate change and ocean acidification planetary boundaries, they may lead to trade-offs between Earth-system processes. Only DACCS can avert damage to the biosphere integrity without challenging other biophysical limits (impacts ≤2% of the safe operating space). The quantified NETs co-benefits can incentivize their adoption.","container-title":"Nature Communications","DOI":"10.1038/s41467-022-30136-7","ISSN":"2041-1723","issue":"1","journalAbbreviation":"Nat Commun","language":"en","license":"2022 The Author(s)","note":"number: 1\npublisher: Nature Publishing Group","page":"2535","source":"www.nature.com","title":"Human and planetary health implications of negative emissions technologies","volume":"13","author":[{"family":"Cobo","given":"Selene"},{"family":"Galán-Martín","given":"Ángel"},{"family":"Tulus","given":"Victor"},{"family":"Huijbregts","given":"Mark A. J."},{"family":"Guillén-Gosálbez","given":"Gonzalo"}],"issued":{"date-parts":[["2022",5,9]]}}}],"schema":"https://github.com/citation-style-language/schema/raw/master/csl-citation.json"} </w:instrText>
      </w:r>
      <w:r>
        <w:rPr>
          <w:rFonts w:cstheme="minorHAnsi"/>
          <w:lang w:val="en-US"/>
        </w:rPr>
        <w:fldChar w:fldCharType="separate"/>
      </w:r>
      <w:r w:rsidRPr="004364A9">
        <w:rPr>
          <w:rFonts w:ascii="Calibri" w:hAnsi="Calibri" w:cs="Calibri"/>
          <w:szCs w:val="24"/>
          <w:vertAlign w:val="superscript"/>
          <w:lang w:val="en-US"/>
        </w:rPr>
        <w:t>35</w:t>
      </w:r>
      <w:r>
        <w:rPr>
          <w:rFonts w:cstheme="minorHAnsi"/>
          <w:lang w:val="en-US"/>
        </w:rPr>
        <w:fldChar w:fldCharType="end"/>
      </w:r>
      <w:r>
        <w:rPr>
          <w:rFonts w:cstheme="minorHAnsi"/>
          <w:lang w:val="en-US"/>
        </w:rPr>
        <w:t>.</w:t>
      </w:r>
    </w:p>
    <w:p w14:paraId="6F24C75F" w14:textId="77777777" w:rsidR="00E15608" w:rsidRPr="004364A9" w:rsidRDefault="00E15608" w:rsidP="00577897">
      <w:pPr>
        <w:jc w:val="both"/>
        <w:rPr>
          <w:lang w:val="en-US"/>
        </w:rPr>
      </w:pPr>
    </w:p>
    <w:p w14:paraId="71017CB2" w14:textId="77777777" w:rsidR="00E15608" w:rsidRPr="004364A9" w:rsidRDefault="00E15608" w:rsidP="00577897">
      <w:pPr>
        <w:jc w:val="both"/>
        <w:rPr>
          <w:rFonts w:cstheme="minorHAnsi"/>
          <w:lang w:val="en-US"/>
        </w:rPr>
      </w:pPr>
    </w:p>
    <w:p w14:paraId="6119BC29" w14:textId="77777777" w:rsidR="00E15608" w:rsidRDefault="00E15608" w:rsidP="00577897">
      <w:pPr>
        <w:jc w:val="both"/>
        <w:rPr>
          <w:rFonts w:cstheme="minorHAnsi"/>
          <w:lang w:val="en-US"/>
        </w:rPr>
      </w:pPr>
    </w:p>
    <w:p w14:paraId="335468B5" w14:textId="77777777" w:rsidR="00E15608" w:rsidRDefault="00E15608" w:rsidP="00577897">
      <w:pPr>
        <w:jc w:val="both"/>
        <w:rPr>
          <w:rFonts w:cstheme="minorHAnsi"/>
          <w:lang w:val="en-US"/>
        </w:rPr>
      </w:pPr>
    </w:p>
    <w:p w14:paraId="4841AC3D" w14:textId="77777777" w:rsidR="00E15608" w:rsidRPr="004364A9" w:rsidRDefault="00E15608" w:rsidP="00577897">
      <w:pPr>
        <w:jc w:val="both"/>
        <w:rPr>
          <w:lang w:val="en-US"/>
        </w:rPr>
      </w:pPr>
    </w:p>
    <w:p w14:paraId="1A797AC0" w14:textId="77777777" w:rsidR="00E15608" w:rsidRPr="004364A9" w:rsidRDefault="00E15608" w:rsidP="00577897">
      <w:pPr>
        <w:jc w:val="both"/>
        <w:rPr>
          <w:rFonts w:cstheme="minorHAnsi"/>
          <w:lang w:val="en-US"/>
        </w:rPr>
      </w:pPr>
    </w:p>
    <w:p w14:paraId="4166E261" w14:textId="77777777" w:rsidR="00E15608" w:rsidRDefault="00E15608" w:rsidP="00577897">
      <w:pPr>
        <w:keepNext/>
        <w:spacing w:after="0"/>
        <w:jc w:val="both"/>
      </w:pPr>
      <w:r>
        <w:rPr>
          <w:noProof/>
          <w:lang w:val="en-US"/>
        </w:rPr>
        <w:lastRenderedPageBreak/>
        <w:drawing>
          <wp:inline distT="0" distB="0" distL="0" distR="0" wp14:anchorId="00AA323C" wp14:editId="1C55E7A3">
            <wp:extent cx="6547104" cy="6630924"/>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47104" cy="6630924"/>
                    </a:xfrm>
                    <a:prstGeom prst="rect">
                      <a:avLst/>
                    </a:prstGeom>
                  </pic:spPr>
                </pic:pic>
              </a:graphicData>
            </a:graphic>
          </wp:inline>
        </w:drawing>
      </w:r>
    </w:p>
    <w:p w14:paraId="230779C8" w14:textId="54DF1A63" w:rsidR="00E15608" w:rsidRDefault="00E15608" w:rsidP="00577897">
      <w:pPr>
        <w:pStyle w:val="Caption"/>
        <w:jc w:val="both"/>
        <w:rPr>
          <w:i w:val="0"/>
          <w:color w:val="auto"/>
          <w:sz w:val="20"/>
        </w:rPr>
      </w:pPr>
      <w:bookmarkStart w:id="10" w:name="_Ref124438535"/>
      <w:r w:rsidRPr="00636D98">
        <w:rPr>
          <w:b/>
          <w:i w:val="0"/>
          <w:color w:val="auto"/>
          <w:sz w:val="20"/>
        </w:rPr>
        <w:t xml:space="preserve">Fig. </w:t>
      </w:r>
      <w:r w:rsidRPr="00636D98">
        <w:rPr>
          <w:b/>
          <w:i w:val="0"/>
          <w:color w:val="auto"/>
          <w:sz w:val="20"/>
        </w:rPr>
        <w:fldChar w:fldCharType="begin"/>
      </w:r>
      <w:r w:rsidRPr="00636D98">
        <w:rPr>
          <w:b/>
          <w:i w:val="0"/>
          <w:color w:val="auto"/>
          <w:sz w:val="20"/>
        </w:rPr>
        <w:instrText xml:space="preserve"> SEQ Fig. \* ARABIC </w:instrText>
      </w:r>
      <w:r w:rsidRPr="00636D98">
        <w:rPr>
          <w:b/>
          <w:i w:val="0"/>
          <w:color w:val="auto"/>
          <w:sz w:val="20"/>
        </w:rPr>
        <w:fldChar w:fldCharType="separate"/>
      </w:r>
      <w:r w:rsidRPr="00636D98">
        <w:rPr>
          <w:b/>
          <w:i w:val="0"/>
          <w:noProof/>
          <w:color w:val="auto"/>
          <w:sz w:val="20"/>
        </w:rPr>
        <w:t>3</w:t>
      </w:r>
      <w:r w:rsidRPr="00636D98">
        <w:rPr>
          <w:b/>
          <w:i w:val="0"/>
          <w:color w:val="auto"/>
          <w:sz w:val="20"/>
        </w:rPr>
        <w:fldChar w:fldCharType="end"/>
      </w:r>
      <w:bookmarkEnd w:id="10"/>
      <w:r w:rsidRPr="00636D98">
        <w:rPr>
          <w:b/>
          <w:i w:val="0"/>
          <w:color w:val="auto"/>
          <w:sz w:val="20"/>
        </w:rPr>
        <w:t xml:space="preserve">. Breakdown of production costs for fossil and green ammonia (a) and methanol (b). </w:t>
      </w:r>
      <w:r w:rsidRPr="00636D98">
        <w:rPr>
          <w:i w:val="0"/>
          <w:color w:val="auto"/>
          <w:sz w:val="20"/>
        </w:rPr>
        <w:t xml:space="preserve">Only the green production routes based on hydrogen from water electrolysis using on-shore wind electricity are displayed, as these were found to be the most promising routes (the results for other green routes can be found </w:t>
      </w:r>
      <w:r w:rsidRPr="005F551D">
        <w:rPr>
          <w:i w:val="0"/>
          <w:color w:val="auto"/>
          <w:sz w:val="20"/>
        </w:rPr>
        <w:t>in Fig. S</w:t>
      </w:r>
      <w:r w:rsidR="00A16F01" w:rsidRPr="005F551D">
        <w:rPr>
          <w:i w:val="0"/>
          <w:color w:val="auto"/>
          <w:sz w:val="20"/>
        </w:rPr>
        <w:t>7 of the ESI</w:t>
      </w:r>
      <w:r w:rsidRPr="005F551D">
        <w:rPr>
          <w:i w:val="0"/>
          <w:color w:val="auto"/>
          <w:sz w:val="20"/>
        </w:rPr>
        <w:t>). Error bars</w:t>
      </w:r>
      <w:r w:rsidRPr="00636D98">
        <w:rPr>
          <w:i w:val="0"/>
          <w:color w:val="auto"/>
          <w:sz w:val="20"/>
        </w:rPr>
        <w:t xml:space="preserve"> display the production cost considering the lower and upper bound for the levelized cost of hydrogen</w:t>
      </w:r>
      <w:r w:rsidR="008826CE">
        <w:rPr>
          <w:i w:val="0"/>
          <w:color w:val="auto"/>
          <w:sz w:val="20"/>
        </w:rPr>
        <w:t xml:space="preserve"> (see Table S7 of the ESI)</w:t>
      </w:r>
      <w:r w:rsidRPr="00636D98">
        <w:rPr>
          <w:i w:val="0"/>
          <w:color w:val="auto"/>
          <w:sz w:val="20"/>
        </w:rPr>
        <w:t>. The contribution of natural gas to the average production costs has increased notably, from 21% in 2020 to 63% in November 2022 for ammonia and from 48% in 2020 to 88% in November 2022 for methanol. Hydrogen has the highest contribution to the average production cost of green chemicals</w:t>
      </w:r>
      <w:r>
        <w:rPr>
          <w:i w:val="0"/>
          <w:color w:val="auto"/>
          <w:sz w:val="20"/>
        </w:rPr>
        <w:t>.</w:t>
      </w:r>
    </w:p>
    <w:p w14:paraId="70D7BFA0" w14:textId="77777777" w:rsidR="00E15608" w:rsidRPr="002D4245" w:rsidRDefault="00E15608" w:rsidP="00577897">
      <w:pPr>
        <w:pStyle w:val="Heading3"/>
        <w:jc w:val="both"/>
        <w:rPr>
          <w:lang w:val="en-US"/>
        </w:rPr>
      </w:pPr>
      <w:r w:rsidRPr="000666BB">
        <w:rPr>
          <w:lang w:val="en-US"/>
        </w:rPr>
        <w:t>C</w:t>
      </w:r>
      <w:r w:rsidRPr="00BF6DFD">
        <w:rPr>
          <w:lang w:val="en-US"/>
        </w:rPr>
        <w:t xml:space="preserve">arbon </w:t>
      </w:r>
      <w:r w:rsidRPr="00233DE2">
        <w:rPr>
          <w:lang w:val="en-US"/>
        </w:rPr>
        <w:t>mitigation becomes economically appealing</w:t>
      </w:r>
      <w:r w:rsidRPr="000666BB">
        <w:rPr>
          <w:lang w:val="en-US"/>
        </w:rPr>
        <w:t xml:space="preserve"> due to expensive fossil feedstock</w:t>
      </w:r>
      <w:r w:rsidRPr="00064C7D">
        <w:rPr>
          <w:lang w:val="en-US"/>
        </w:rPr>
        <w:t xml:space="preserve"> </w:t>
      </w:r>
    </w:p>
    <w:p w14:paraId="1FDF5264" w14:textId="76B343C5" w:rsidR="00E15608" w:rsidRPr="00E15608" w:rsidRDefault="007D2127" w:rsidP="00577897">
      <w:pPr>
        <w:jc w:val="both"/>
        <w:rPr>
          <w:rFonts w:cstheme="minorHAnsi"/>
          <w:lang w:val="en-US"/>
        </w:rPr>
      </w:pPr>
      <w:r w:rsidRPr="007D2127">
        <w:rPr>
          <w:rFonts w:cstheme="minorHAnsi"/>
          <w:lang w:val="en-US"/>
        </w:rPr>
        <w:t>Our analysis finally focuses on the cost of avoiding the production of green ammonia and methanol, which illuminates the economic benefits of mitigating climate change amidst steep prices for fossil feedstock.</w:t>
      </w:r>
      <w:r>
        <w:rPr>
          <w:rFonts w:cstheme="minorHAnsi"/>
          <w:lang w:val="en-US"/>
        </w:rPr>
        <w:t xml:space="preserve"> </w:t>
      </w:r>
      <w:r w:rsidR="00E15608" w:rsidRPr="00E15608">
        <w:rPr>
          <w:rFonts w:cstheme="minorHAnsi"/>
          <w:lang w:val="en-US"/>
        </w:rPr>
        <w:t>In 2020 at an average natural gas price of 145 USD t</w:t>
      </w:r>
      <w:r w:rsidR="00E15608" w:rsidRPr="00E15608">
        <w:rPr>
          <w:rFonts w:cstheme="minorHAnsi"/>
          <w:vertAlign w:val="superscript"/>
          <w:lang w:val="en-US"/>
        </w:rPr>
        <w:t>−1</w:t>
      </w:r>
      <w:r w:rsidR="00E15608" w:rsidRPr="00E15608">
        <w:rPr>
          <w:rFonts w:cstheme="minorHAnsi"/>
          <w:lang w:val="en-US"/>
        </w:rPr>
        <w:t>, wind- and solar-based ammonia resulted in an avoidance cost of 572 and 1,388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respectively (</w:t>
      </w:r>
      <w:r w:rsidR="00E15608" w:rsidRPr="00767A96">
        <w:rPr>
          <w:rFonts w:cstheme="minorHAnsi"/>
        </w:rPr>
        <w:fldChar w:fldCharType="begin"/>
      </w:r>
      <w:r w:rsidR="00E15608" w:rsidRPr="00E15608">
        <w:rPr>
          <w:rFonts w:cstheme="minorHAnsi"/>
          <w:lang w:val="en-US"/>
        </w:rPr>
        <w:instrText xml:space="preserve"> REF _Ref124438738 \h  \* MERGEFORMAT </w:instrText>
      </w:r>
      <w:r w:rsidR="00E15608" w:rsidRPr="00767A96">
        <w:rPr>
          <w:rFonts w:cstheme="minorHAnsi"/>
        </w:rPr>
      </w:r>
      <w:r w:rsidR="00E15608" w:rsidRPr="00767A96">
        <w:rPr>
          <w:rFonts w:cstheme="minorHAnsi"/>
        </w:rPr>
        <w:fldChar w:fldCharType="separate"/>
      </w:r>
      <w:r w:rsidR="00E15608" w:rsidRPr="00E15608">
        <w:rPr>
          <w:lang w:val="en-US"/>
        </w:rPr>
        <w:t xml:space="preserve">Fig. </w:t>
      </w:r>
      <w:r w:rsidR="00E15608" w:rsidRPr="00E15608">
        <w:rPr>
          <w:noProof/>
          <w:lang w:val="en-US"/>
        </w:rPr>
        <w:t>4</w:t>
      </w:r>
      <w:r w:rsidR="00E15608" w:rsidRPr="00767A96">
        <w:rPr>
          <w:rFonts w:cstheme="minorHAnsi"/>
        </w:rPr>
        <w:fldChar w:fldCharType="end"/>
      </w:r>
      <w:r w:rsidR="00E15608" w:rsidRPr="00E15608">
        <w:rPr>
          <w:rFonts w:cstheme="minorHAnsi"/>
          <w:lang w:val="en-US"/>
        </w:rPr>
        <w:t xml:space="preserve">a). This cost was substantially higher for methanol, </w:t>
      </w:r>
      <w:r w:rsidR="00E15608" w:rsidRPr="00E15608">
        <w:rPr>
          <w:rFonts w:cstheme="minorHAnsi"/>
          <w:i/>
          <w:lang w:val="en-US"/>
        </w:rPr>
        <w:t>i.e.</w:t>
      </w:r>
      <w:r w:rsidR="00E15608" w:rsidRPr="00E15608">
        <w:rPr>
          <w:rFonts w:cstheme="minorHAnsi"/>
          <w:lang w:val="en-US"/>
        </w:rPr>
        <w:t>, 1,435 and 7,696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-eq, respectively </w:t>
      </w:r>
      <w:r w:rsidR="00E15608" w:rsidRPr="00E15608">
        <w:rPr>
          <w:rFonts w:cstheme="minorHAnsi"/>
          <w:lang w:val="en-US"/>
        </w:rPr>
        <w:lastRenderedPageBreak/>
        <w:t>(</w:t>
      </w:r>
      <w:r w:rsidR="00E15608" w:rsidRPr="00767A96">
        <w:rPr>
          <w:rFonts w:cstheme="minorHAnsi"/>
        </w:rPr>
        <w:fldChar w:fldCharType="begin"/>
      </w:r>
      <w:r w:rsidR="00E15608" w:rsidRPr="00E15608">
        <w:rPr>
          <w:rFonts w:cstheme="minorHAnsi"/>
          <w:lang w:val="en-US"/>
        </w:rPr>
        <w:instrText xml:space="preserve"> REF _Ref124438738 \h  \* MERGEFORMAT </w:instrText>
      </w:r>
      <w:r w:rsidR="00E15608" w:rsidRPr="00767A96">
        <w:rPr>
          <w:rFonts w:cstheme="minorHAnsi"/>
        </w:rPr>
      </w:r>
      <w:r w:rsidR="00E15608" w:rsidRPr="00767A96">
        <w:rPr>
          <w:rFonts w:cstheme="minorHAnsi"/>
        </w:rPr>
        <w:fldChar w:fldCharType="separate"/>
      </w:r>
      <w:r w:rsidR="00E15608" w:rsidRPr="00E15608">
        <w:rPr>
          <w:lang w:val="en-US"/>
        </w:rPr>
        <w:t xml:space="preserve">Fig. </w:t>
      </w:r>
      <w:r w:rsidR="00E15608" w:rsidRPr="00E15608">
        <w:rPr>
          <w:noProof/>
          <w:lang w:val="en-US"/>
        </w:rPr>
        <w:t>4</w:t>
      </w:r>
      <w:r w:rsidR="00E15608" w:rsidRPr="00767A96">
        <w:rPr>
          <w:rFonts w:cstheme="minorHAnsi"/>
        </w:rPr>
        <w:fldChar w:fldCharType="end"/>
      </w:r>
      <w:r w:rsidR="00E15608" w:rsidRPr="00E15608">
        <w:rPr>
          <w:rFonts w:cstheme="minorHAnsi"/>
          <w:lang w:val="en-US"/>
        </w:rPr>
        <w:t>b) in the same period, primarily due to the wider economic gap between fossil and green methanol. Hence, the avoidance cost of green ammonia and methanol in 2020 was way above the removal cost of bioenergy with carbon capture and storage (BECCS) and DAC with carbon capture and storage (DACCS), two of the most prominent negative emissions technologies (NETs), forecasted at 100</w:t>
      </w:r>
      <w:r w:rsidR="00E15608" w:rsidRPr="00E15608">
        <w:rPr>
          <w:rFonts w:cstheme="minorHAnsi"/>
          <w:lang w:val="en-US"/>
        </w:rPr>
        <w:noBreakHyphen/>
        <w:t>200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 and 100-300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respectively</w:t>
      </w:r>
      <w:r w:rsidR="00E15608">
        <w:rPr>
          <w:rFonts w:cstheme="minorHAnsi"/>
        </w:rPr>
        <w:fldChar w:fldCharType="begin"/>
      </w:r>
      <w:r w:rsidR="00E15608" w:rsidRPr="00E15608">
        <w:rPr>
          <w:rFonts w:cstheme="minorHAnsi"/>
          <w:lang w:val="en-US"/>
        </w:rPr>
        <w:instrText xml:space="preserve"> ADDIN ZOTERO_ITEM CSL_CITATION {"citationID":"93EyLiHn","properties":{"formattedCitation":"\\super 36\\nosupersub{}","plainCitation":"36","noteIndex":0},"citationItems":[{"id":26709,"uris":["http://zotero.org/users/9157291/items/BW5WQTNZ"],"itemData":{"id":26709,"type":"article-journal","abstract":"The most recent IPCC assessment has shown an important role for negative emissions technologies (NETs) in limiting global warming to 2 °C cost-effectively. However, a bottom-up, systematic, reproducible, and transparent literature assessment of the different options to remove CO2 from the atmosphere is currently missing. In part 1 of this three-part review on NETs, we assemble a comprehensive set of the relevant literature so far published, focusing on seven technologies: bioenergy with carbon capture and storage (BECCS), afforestation and reforestation, direct air carbon capture and storage (DACCS), enhanced weathering, ocean fertilisation, biochar, and soil carbon sequestration. In this part, part 2 of the review, we present estimates of costs, potentials, and side-effects for these technologies, and qualify them with the authors’ assessment. Part 3 reviews the innovation and scaling challenges that must be addressed to realise NETs deployment as a viable climate mitigation strategy. Based on a systematic review of the literature, our best estimates for sustainable global NET potentials in 2050 are 0.5–3.6 GtCO2 yr−1 for afforestation and reforestation, 0.5–5 GtCO2 yr−1 for BECCS, 0.5–2 GtCO2 yr−1 for biochar, 2–4 GtCO2 yr−1 for enhanced weathering, 0.5–5 GtCO2 yr−1 for DACCS, and up to 5 GtCO2 yr−1 for soil carbon sequestration. Costs vary widely across the technologies, as do their permanency and cumulative potentials beyond 2050. It is unlikely that a single NET will be able to sustainably meet the rates of carbon uptake described in integrated assessment pathways consistent with 1.5 °C of global warming.","container-title":"Environmental Research Letters","DOI":"10.1088/1748-9326/aabf9f","ISSN":"1748-9326","issue":"6","journalAbbreviation":"Environ. Res. Lett.","language":"en","note":"publisher: IOP Publishing","page":"063002","source":"Institute of Physics","title":"Negative emissions—Part 2: Costs, potentials and side effects","title-short":"Negative emissions—Part 2","volume":"13","author":[{"family":"Fuss","given":"Sabine"},{"family":"Lamb","given":"William F."},{"family":"Callaghan","given":"Max W."},{"family":"Hilaire","given":"Jérôme"},{"family":"Creutzig","given":"Felix"},{"family":"Amann","given":"Thorben"},{"family":"Beringer","given":"Tim"},{"family":"Garcia","given":"Wagner de Oliveira"},{"family":"Hartmann","given":"Jens"},{"family":"Khanna","given":"Tarun"},{"family":"Luderer","given":"Gunnar"},{"family":"Nemet","given":"Gregory F."},{"family":"Rogelj","given":"Joeri"},{"family":"Smith","given":"Pete"},{"family":"Vicente","given":"José Luis Vicente"},{"family":"Wilcox","given":"Jennifer"},{"family":"Dominguez","given":"Maria del Mar Zamora"},{"family":"Minx","given":"Jan C."}],"issued":{"date-parts":[["2018",5]]}}}],"schema":"https://github.com/citation-style-language/schema/raw/master/csl-citation.json"} </w:instrText>
      </w:r>
      <w:r w:rsidR="00E15608">
        <w:rPr>
          <w:rFonts w:cstheme="minorHAnsi"/>
        </w:rPr>
        <w:fldChar w:fldCharType="separate"/>
      </w:r>
      <w:r w:rsidR="00E15608" w:rsidRPr="00E15608">
        <w:rPr>
          <w:rFonts w:ascii="Calibri" w:hAnsi="Calibri" w:cs="Calibri"/>
          <w:szCs w:val="24"/>
          <w:vertAlign w:val="superscript"/>
          <w:lang w:val="en-US"/>
        </w:rPr>
        <w:t>36</w:t>
      </w:r>
      <w:r w:rsidR="00E15608">
        <w:rPr>
          <w:rFonts w:cstheme="minorHAnsi"/>
        </w:rPr>
        <w:fldChar w:fldCharType="end"/>
      </w:r>
      <w:r w:rsidR="00E15608" w:rsidRPr="00E15608">
        <w:rPr>
          <w:rFonts w:cstheme="minorHAnsi"/>
          <w:lang w:val="en-US"/>
        </w:rPr>
        <w:t xml:space="preserve">. However, at the peak of natural gas prices in 2022, the avoidance cost of green ammonia and methanol became negative, implying that mitigating carbon emissions </w:t>
      </w:r>
      <w:r w:rsidR="00E15608" w:rsidRPr="00E15608">
        <w:rPr>
          <w:rFonts w:cstheme="minorHAnsi"/>
          <w:i/>
          <w:lang w:val="en-US"/>
        </w:rPr>
        <w:t>via</w:t>
      </w:r>
      <w:r w:rsidR="00E15608" w:rsidRPr="00E15608">
        <w:rPr>
          <w:rFonts w:cstheme="minorHAnsi"/>
          <w:lang w:val="en-US"/>
        </w:rPr>
        <w:t xml:space="preserve"> green ammonia and methanol became economically appealing. Specifically, the win-win scenario (economic and environmental competitiveness) emerged in July 2021, reaching potential economic savings of 56 to 558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 xml:space="preserve">-eq avoided </w:t>
      </w:r>
      <w:r w:rsidR="00E15608" w:rsidRPr="00E15608">
        <w:rPr>
          <w:rFonts w:cstheme="minorHAnsi"/>
          <w:i/>
          <w:lang w:val="en-US"/>
        </w:rPr>
        <w:t>via</w:t>
      </w:r>
      <w:r w:rsidR="00E15608" w:rsidRPr="00E15608">
        <w:rPr>
          <w:rFonts w:cstheme="minorHAnsi"/>
          <w:lang w:val="en-US"/>
        </w:rPr>
        <w:t xml:space="preserve"> the wind-based route for ammonia production, and in August 2022 for methanol </w:t>
      </w:r>
      <w:r w:rsidR="00E15608" w:rsidRPr="00E15608">
        <w:rPr>
          <w:rFonts w:cstheme="minorHAnsi"/>
          <w:i/>
          <w:lang w:val="en-US"/>
        </w:rPr>
        <w:t>via</w:t>
      </w:r>
      <w:r w:rsidR="00E15608" w:rsidRPr="00E15608">
        <w:rPr>
          <w:rFonts w:cstheme="minorHAnsi"/>
          <w:lang w:val="en-US"/>
        </w:rPr>
        <w:t xml:space="preserve"> wind, with potential savings of 298 USD t</w:t>
      </w:r>
      <w:r w:rsidR="00E15608" w:rsidRPr="00E15608">
        <w:rPr>
          <w:rFonts w:cstheme="minorHAnsi"/>
          <w:vertAlign w:val="superscript"/>
          <w:lang w:val="en-US"/>
        </w:rPr>
        <w:t>−1</w:t>
      </w:r>
      <w:r w:rsidR="00E15608" w:rsidRPr="00E15608">
        <w:rPr>
          <w:rFonts w:cstheme="minorHAnsi"/>
          <w:lang w:val="en-US"/>
        </w:rPr>
        <w:t xml:space="preserve"> CO</w:t>
      </w:r>
      <w:r w:rsidR="00E15608" w:rsidRPr="00E15608">
        <w:rPr>
          <w:rFonts w:cstheme="minorHAnsi"/>
          <w:vertAlign w:val="subscript"/>
          <w:lang w:val="en-US"/>
        </w:rPr>
        <w:t>2</w:t>
      </w:r>
      <w:r w:rsidR="00E15608" w:rsidRPr="00E15608">
        <w:rPr>
          <w:rFonts w:cstheme="minorHAnsi"/>
          <w:lang w:val="en-US"/>
        </w:rPr>
        <w:t>-eq avoided if considering the lower end of the hydrogen cost range.</w:t>
      </w:r>
    </w:p>
    <w:p w14:paraId="55688425" w14:textId="77777777" w:rsidR="00E15608" w:rsidRDefault="00E15608" w:rsidP="00577897">
      <w:pPr>
        <w:keepNext/>
        <w:spacing w:after="0"/>
        <w:jc w:val="both"/>
      </w:pPr>
      <w:r>
        <w:rPr>
          <w:noProof/>
          <w:lang w:val="en-US"/>
        </w:rPr>
        <w:lastRenderedPageBreak/>
        <w:drawing>
          <wp:inline distT="0" distB="0" distL="0" distR="0" wp14:anchorId="26A428C4" wp14:editId="02BCB04D">
            <wp:extent cx="6547104" cy="6632448"/>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7104" cy="6632448"/>
                    </a:xfrm>
                    <a:prstGeom prst="rect">
                      <a:avLst/>
                    </a:prstGeom>
                  </pic:spPr>
                </pic:pic>
              </a:graphicData>
            </a:graphic>
          </wp:inline>
        </w:drawing>
      </w:r>
    </w:p>
    <w:p w14:paraId="25A253AA" w14:textId="267AD820" w:rsidR="00E15608" w:rsidRPr="00AE6B35" w:rsidRDefault="00E15608" w:rsidP="00577897">
      <w:pPr>
        <w:pStyle w:val="Caption"/>
        <w:jc w:val="both"/>
        <w:rPr>
          <w:rFonts w:cstheme="minorHAnsi"/>
          <w:i w:val="0"/>
          <w:color w:val="auto"/>
          <w:sz w:val="20"/>
        </w:rPr>
      </w:pPr>
      <w:bookmarkStart w:id="11" w:name="_Ref124438738"/>
      <w:r w:rsidRPr="000D2E36">
        <w:rPr>
          <w:b/>
          <w:i w:val="0"/>
          <w:color w:val="auto"/>
          <w:sz w:val="20"/>
        </w:rPr>
        <w:t xml:space="preserve">Fig. </w:t>
      </w:r>
      <w:r w:rsidRPr="000D2E36">
        <w:rPr>
          <w:b/>
          <w:i w:val="0"/>
          <w:color w:val="auto"/>
          <w:sz w:val="20"/>
        </w:rPr>
        <w:fldChar w:fldCharType="begin"/>
      </w:r>
      <w:r w:rsidRPr="000D2E36">
        <w:rPr>
          <w:b/>
          <w:i w:val="0"/>
          <w:color w:val="auto"/>
          <w:sz w:val="20"/>
        </w:rPr>
        <w:instrText xml:space="preserve"> SEQ Fig. \* ARABIC </w:instrText>
      </w:r>
      <w:r w:rsidRPr="000D2E36">
        <w:rPr>
          <w:b/>
          <w:i w:val="0"/>
          <w:color w:val="auto"/>
          <w:sz w:val="20"/>
        </w:rPr>
        <w:fldChar w:fldCharType="separate"/>
      </w:r>
      <w:r w:rsidRPr="000D2E36">
        <w:rPr>
          <w:b/>
          <w:i w:val="0"/>
          <w:noProof/>
          <w:color w:val="auto"/>
          <w:sz w:val="20"/>
        </w:rPr>
        <w:t>4</w:t>
      </w:r>
      <w:r w:rsidRPr="000D2E36">
        <w:rPr>
          <w:b/>
          <w:i w:val="0"/>
          <w:color w:val="auto"/>
          <w:sz w:val="20"/>
        </w:rPr>
        <w:fldChar w:fldCharType="end"/>
      </w:r>
      <w:bookmarkEnd w:id="11"/>
      <w:r>
        <w:rPr>
          <w:b/>
          <w:i w:val="0"/>
          <w:color w:val="auto"/>
          <w:sz w:val="20"/>
        </w:rPr>
        <w:t>.</w:t>
      </w:r>
      <w:r w:rsidRPr="00AE6B35">
        <w:rPr>
          <w:i w:val="0"/>
          <w:color w:val="auto"/>
          <w:sz w:val="20"/>
        </w:rPr>
        <w:t xml:space="preserve"> </w:t>
      </w:r>
      <w:r w:rsidRPr="00726857">
        <w:rPr>
          <w:b/>
          <w:i w:val="0"/>
          <w:color w:val="auto"/>
          <w:sz w:val="20"/>
        </w:rPr>
        <w:t>A</w:t>
      </w:r>
      <w:r w:rsidRPr="00AE6B35">
        <w:rPr>
          <w:b/>
          <w:i w:val="0"/>
          <w:color w:val="auto"/>
          <w:sz w:val="20"/>
        </w:rPr>
        <w:t xml:space="preserve">voidance costs for green ammonia </w:t>
      </w:r>
      <w:r>
        <w:rPr>
          <w:b/>
          <w:i w:val="0"/>
          <w:color w:val="auto"/>
          <w:sz w:val="20"/>
        </w:rPr>
        <w:t xml:space="preserve">(a) </w:t>
      </w:r>
      <w:r w:rsidRPr="00AE6B35">
        <w:rPr>
          <w:b/>
          <w:i w:val="0"/>
          <w:color w:val="auto"/>
          <w:sz w:val="20"/>
        </w:rPr>
        <w:t>and methanol</w:t>
      </w:r>
      <w:r>
        <w:rPr>
          <w:b/>
          <w:i w:val="0"/>
          <w:color w:val="auto"/>
          <w:sz w:val="20"/>
        </w:rPr>
        <w:t xml:space="preserve"> (b) production routes</w:t>
      </w:r>
      <w:r w:rsidRPr="00AE6B35">
        <w:rPr>
          <w:b/>
          <w:i w:val="0"/>
          <w:color w:val="auto"/>
          <w:sz w:val="20"/>
        </w:rPr>
        <w:t>.</w:t>
      </w:r>
      <w:r w:rsidRPr="00AE6B35">
        <w:rPr>
          <w:i w:val="0"/>
          <w:color w:val="auto"/>
          <w:sz w:val="20"/>
        </w:rPr>
        <w:t xml:space="preserve"> </w:t>
      </w:r>
      <w:r>
        <w:rPr>
          <w:i w:val="0"/>
          <w:color w:val="auto"/>
          <w:sz w:val="20"/>
        </w:rPr>
        <w:t>E</w:t>
      </w:r>
      <w:r w:rsidRPr="00AE6B35">
        <w:rPr>
          <w:i w:val="0"/>
          <w:color w:val="auto"/>
          <w:sz w:val="20"/>
        </w:rPr>
        <w:t>rror bars display the production cost considering the lower and upper bound for the levelized cost of hydrogen</w:t>
      </w:r>
      <w:r w:rsidR="004F43AE">
        <w:rPr>
          <w:i w:val="0"/>
          <w:color w:val="auto"/>
          <w:sz w:val="20"/>
        </w:rPr>
        <w:t xml:space="preserve"> (see Table S7 of the ESI)</w:t>
      </w:r>
      <w:r w:rsidRPr="00AE6B35">
        <w:rPr>
          <w:i w:val="0"/>
          <w:color w:val="auto"/>
          <w:sz w:val="20"/>
        </w:rPr>
        <w:t>.</w:t>
      </w:r>
      <w:r w:rsidRPr="004029B8">
        <w:t xml:space="preserve"> </w:t>
      </w:r>
      <w:r>
        <w:rPr>
          <w:i w:val="0"/>
          <w:color w:val="auto"/>
          <w:sz w:val="20"/>
        </w:rPr>
        <w:t>A negative avoidance cost</w:t>
      </w:r>
      <w:r w:rsidRPr="004029B8">
        <w:rPr>
          <w:i w:val="0"/>
          <w:color w:val="auto"/>
          <w:sz w:val="20"/>
        </w:rPr>
        <w:t xml:space="preserve"> </w:t>
      </w:r>
      <w:r>
        <w:rPr>
          <w:i w:val="0"/>
          <w:color w:val="auto"/>
          <w:sz w:val="20"/>
        </w:rPr>
        <w:t xml:space="preserve">means </w:t>
      </w:r>
      <w:r w:rsidRPr="004029B8">
        <w:rPr>
          <w:i w:val="0"/>
          <w:color w:val="auto"/>
          <w:sz w:val="20"/>
        </w:rPr>
        <w:t xml:space="preserve">that </w:t>
      </w:r>
      <w:r>
        <w:rPr>
          <w:i w:val="0"/>
          <w:color w:val="auto"/>
          <w:sz w:val="20"/>
        </w:rPr>
        <w:t>costs and greenhouse gas (GHG) emissions</w:t>
      </w:r>
      <w:r w:rsidRPr="004029B8">
        <w:rPr>
          <w:i w:val="0"/>
          <w:color w:val="auto"/>
          <w:sz w:val="20"/>
        </w:rPr>
        <w:t xml:space="preserve"> could</w:t>
      </w:r>
      <w:r>
        <w:rPr>
          <w:i w:val="0"/>
          <w:color w:val="auto"/>
          <w:sz w:val="20"/>
        </w:rPr>
        <w:t xml:space="preserve"> be reduced</w:t>
      </w:r>
      <w:r w:rsidRPr="004029B8">
        <w:rPr>
          <w:i w:val="0"/>
          <w:color w:val="auto"/>
          <w:sz w:val="20"/>
        </w:rPr>
        <w:t xml:space="preserve"> simultaneously</w:t>
      </w:r>
      <w:r>
        <w:rPr>
          <w:i w:val="0"/>
          <w:color w:val="auto"/>
          <w:sz w:val="20"/>
        </w:rPr>
        <w:t xml:space="preserve">. </w:t>
      </w:r>
    </w:p>
    <w:p w14:paraId="5F705A87" w14:textId="77777777" w:rsidR="00E15608" w:rsidRPr="002D4245" w:rsidRDefault="00E15608" w:rsidP="00577897">
      <w:pPr>
        <w:pStyle w:val="Heading2"/>
        <w:jc w:val="both"/>
      </w:pPr>
      <w:r w:rsidRPr="002D4245">
        <w:t>Discussion</w:t>
      </w:r>
    </w:p>
    <w:p w14:paraId="6715BACC" w14:textId="51496D1E" w:rsidR="00E15608" w:rsidRPr="00AB5D57" w:rsidRDefault="00E15608" w:rsidP="00577897">
      <w:pPr>
        <w:jc w:val="both"/>
        <w:rPr>
          <w:rFonts w:cstheme="minorHAnsi"/>
          <w:lang w:val="en-US"/>
        </w:rPr>
      </w:pPr>
      <w:r w:rsidRPr="00E15608">
        <w:rPr>
          <w:rFonts w:cstheme="minorHAnsi"/>
          <w:lang w:val="en-US"/>
        </w:rPr>
        <w:t>Here we show how an unprecedented crisis of soaring natural gas and electricity prices in Europe could radically change the current landscape and improve the economic competitiveness of low carbon chemicals based on green hydrogen</w:t>
      </w:r>
      <w:r w:rsidR="00AB5D57">
        <w:rPr>
          <w:rFonts w:cstheme="minorHAnsi"/>
          <w:lang w:val="en-US"/>
        </w:rPr>
        <w:t xml:space="preserve">. </w:t>
      </w:r>
      <w:r w:rsidRPr="00E15608">
        <w:rPr>
          <w:rFonts w:cstheme="minorHAnsi"/>
          <w:lang w:val="en-US"/>
        </w:rPr>
        <w:t>Whether this situation will persist will depend on the evolution of the situation in Ukraine and the adopted measures to diversify gas suppliers (</w:t>
      </w:r>
      <w:r w:rsidRPr="00E15608">
        <w:rPr>
          <w:rFonts w:cstheme="minorHAnsi"/>
          <w:i/>
          <w:iCs/>
          <w:lang w:val="en-US"/>
        </w:rPr>
        <w:t>e.g.</w:t>
      </w:r>
      <w:r w:rsidRPr="00E15608">
        <w:rPr>
          <w:rFonts w:cstheme="minorHAnsi"/>
          <w:lang w:val="en-US"/>
        </w:rPr>
        <w:t>, increased imports of more expensive liquified natural gas). Between December 2022 and January 2023, favorable weather and lower demand from the industry have led to a decline of the natural gas prices back to levels before the Russian invasion of Ukraine</w:t>
      </w:r>
      <w:r w:rsidRPr="001D7691">
        <w:rPr>
          <w:rFonts w:cstheme="minorHAnsi"/>
        </w:rPr>
        <w:fldChar w:fldCharType="begin"/>
      </w:r>
      <w:r w:rsidRPr="00E15608">
        <w:rPr>
          <w:rFonts w:cstheme="minorHAnsi"/>
          <w:lang w:val="en-US"/>
        </w:rPr>
        <w:instrText xml:space="preserve"> ADDIN ZOTERO_ITEM CSL_CITATION {"citationID":"zbkhZIWQ","properties":{"formattedCitation":"\\super 37\\nosupersub{}","plainCitation":"37","noteIndex":0},"citationItems":[{"id":29867,"uris":["http://zotero.org/users/9157291/items/MG9RRELQ"],"itemData":{"id":29867,"type":"webpage","abstract":"Commodity Markets","genre":"Text/HTML","language":"en","title":"Commodity Markets","URL":"https://www.worldbank.org/en/research/commodity-markets","author":[{"family":"The World Bank","given":""}],"accessed":{"date-parts":[["2023",1,12]]},"issued":{"date-parts":[["2023",1]]}}}],"schema":"https://github.com/citation-style-language/schema/raw/master/csl-citation.json"} </w:instrText>
      </w:r>
      <w:r w:rsidRPr="001D7691">
        <w:rPr>
          <w:rFonts w:cstheme="minorHAnsi"/>
        </w:rPr>
        <w:fldChar w:fldCharType="separate"/>
      </w:r>
      <w:r w:rsidRPr="00E15608">
        <w:rPr>
          <w:rFonts w:ascii="Calibri" w:hAnsi="Calibri" w:cs="Calibri"/>
          <w:szCs w:val="24"/>
          <w:vertAlign w:val="superscript"/>
          <w:lang w:val="en-US"/>
        </w:rPr>
        <w:t>37</w:t>
      </w:r>
      <w:r w:rsidRPr="001D7691">
        <w:rPr>
          <w:rFonts w:cstheme="minorHAnsi"/>
        </w:rPr>
        <w:fldChar w:fldCharType="end"/>
      </w:r>
      <w:r w:rsidRPr="00E15608">
        <w:rPr>
          <w:rFonts w:cstheme="minorHAnsi"/>
          <w:lang w:val="en-US"/>
        </w:rPr>
        <w:t>. In 2023, considering zero supply from Russia, unpredictable weather conditions, and increasing competition for liquified natural gas, securing natural gas supplies could be an obstacle</w:t>
      </w:r>
      <w:r>
        <w:rPr>
          <w:rFonts w:cstheme="minorHAnsi"/>
        </w:rPr>
        <w:fldChar w:fldCharType="begin"/>
      </w:r>
      <w:r w:rsidRPr="00E15608">
        <w:rPr>
          <w:rFonts w:cstheme="minorHAnsi"/>
          <w:lang w:val="en-US"/>
        </w:rPr>
        <w:instrText xml:space="preserve"> ADDIN ZOTERO_ITEM CSL_CITATION {"citationID":"qgXxSmwb","properties":{"formattedCitation":"\\super 38\\nosupersub{}","plainCitation":"38","noteIndex":0},"citationItems":[{"id":28640,"uris":["http://zotero.org/users/9157291/items/FRW5K29Y"],"itemData":{"id":28640,"type":"report","abstract":"Summary European and global natural gas markets are not yet out of the danger created by Russia’s cuts to pipeline deliveries of gas. Conditions have been turbulent, prices have been extremely volatile, many households and gasintensive sectors have suffered – as have many gas-importing countries worldwide. Overall gas demand in the European Union (EU) is set to fall by around 10% in 2022, a drop of around 50 billion cubic metres (bcm). Some 10 bcm of this drop is due to curtailed production rather than efficiency gains or fuel switching. But the situation could be worse: European Union and national policies, markets, consumer actions, non-Russian suppliers and mild weather have all played a part in compensating for the missing Russian deliveries. As of early December, Europe’s gas storage levels remain above their five-year average.","language":"en","source":"Zotero","title":"How to Avoid Gas Shortages in the European Union in 2023","author":[{"family":"IEA","given":""}],"issued":{"date-parts":[["2022",12]]}}}],"schema":"https://github.com/citation-style-language/schema/raw/master/csl-citation.json"}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38</w:t>
      </w:r>
      <w:r>
        <w:rPr>
          <w:rFonts w:cstheme="minorHAnsi"/>
        </w:rPr>
        <w:fldChar w:fldCharType="end"/>
      </w:r>
      <w:r w:rsidRPr="00E15608">
        <w:rPr>
          <w:rFonts w:cstheme="minorHAnsi"/>
          <w:lang w:val="en-US"/>
        </w:rPr>
        <w:t xml:space="preserve">. The </w:t>
      </w:r>
      <w:r w:rsidRPr="00E15608">
        <w:rPr>
          <w:rFonts w:cstheme="minorHAnsi"/>
          <w:lang w:val="en-US"/>
        </w:rPr>
        <w:lastRenderedPageBreak/>
        <w:t>World Bank forecasts that natural gas prices will moderate in 2023 but remain well above the average prices registered before 2020</w:t>
      </w:r>
      <w:r>
        <w:rPr>
          <w:rFonts w:cstheme="minorHAnsi"/>
        </w:rPr>
        <w:fldChar w:fldCharType="begin"/>
      </w:r>
      <w:r w:rsidRPr="00E15608">
        <w:rPr>
          <w:rFonts w:cstheme="minorHAnsi"/>
          <w:lang w:val="en-US"/>
        </w:rPr>
        <w:instrText xml:space="preserve"> ADDIN ZOTERO_ITEM CSL_CITATION {"citationID":"9c8zRxp9","properties":{"formattedCitation":"\\super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28</w:t>
      </w:r>
      <w:r>
        <w:rPr>
          <w:rFonts w:cstheme="minorHAnsi"/>
        </w:rPr>
        <w:fldChar w:fldCharType="end"/>
      </w:r>
      <w:r w:rsidRPr="00E15608">
        <w:rPr>
          <w:rFonts w:cstheme="minorHAnsi"/>
          <w:lang w:val="en-US"/>
        </w:rPr>
        <w:t>. At the same time, the costs of renewable energy technologies are expected to decline due to technological advancements and the experience effect</w:t>
      </w:r>
      <w:r>
        <w:rPr>
          <w:rFonts w:cstheme="minorHAnsi"/>
        </w:rPr>
        <w:fldChar w:fldCharType="begin"/>
      </w:r>
      <w:r w:rsidRPr="00E15608">
        <w:rPr>
          <w:rFonts w:cstheme="minorHAnsi"/>
          <w:lang w:val="en-US"/>
        </w:rPr>
        <w:instrText xml:space="preserve"> ADDIN ZOTERO_ITEM CSL_CITATION {"citationID":"SIBpthvb","properties":{"formattedCitation":"\\super 40\\nosupersub{}","plainCitation":"40","noteIndex":0},"citationItems":[{"id":21507,"uris":["http://zotero.org/users/9157291/items/ASFLIA5W"],"itemData":{"id":21507,"type":"article-journal","container-title":"Joule","DOI":"10.1016/j.joule.2022.08.009","ISSN":"2542-4785,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40</w:t>
      </w:r>
      <w:r>
        <w:rPr>
          <w:rFonts w:cstheme="minorHAnsi"/>
        </w:rPr>
        <w:fldChar w:fldCharType="end"/>
      </w:r>
      <w:r w:rsidRPr="00E15608">
        <w:rPr>
          <w:rFonts w:cstheme="minorHAnsi"/>
          <w:lang w:val="en-US"/>
        </w:rPr>
        <w:t>.</w:t>
      </w:r>
      <w:r w:rsidRPr="00E15608">
        <w:rPr>
          <w:lang w:val="en-US"/>
        </w:rPr>
        <w:t xml:space="preserve"> It is estimated that the levelized cost of on-shore wind electricity will reduce from an average of 67 USD MWh</w:t>
      </w:r>
      <w:r w:rsidRPr="00E15608">
        <w:rPr>
          <w:vertAlign w:val="superscript"/>
          <w:lang w:val="en-US"/>
        </w:rPr>
        <w:t>-1</w:t>
      </w:r>
      <w:r w:rsidRPr="00E15608">
        <w:rPr>
          <w:lang w:val="en-US"/>
        </w:rPr>
        <w:t xml:space="preserve"> in 2019 to 40 USD MWh</w:t>
      </w:r>
      <w:r w:rsidRPr="00E15608">
        <w:rPr>
          <w:vertAlign w:val="superscript"/>
          <w:lang w:val="en-US"/>
        </w:rPr>
        <w:t>-1</w:t>
      </w:r>
      <w:r w:rsidRPr="00E15608">
        <w:rPr>
          <w:lang w:val="en-US"/>
        </w:rPr>
        <w:t xml:space="preserve"> by 2030, thereby reducing the levelized cost of hydrogen from 5.2-8.5 USD kg</w:t>
      </w:r>
      <w:r w:rsidRPr="00E15608">
        <w:rPr>
          <w:vertAlign w:val="superscript"/>
          <w:lang w:val="en-US"/>
        </w:rPr>
        <w:t xml:space="preserve">-1 </w:t>
      </w:r>
      <w:r w:rsidRPr="00E15608">
        <w:rPr>
          <w:lang w:val="en-US"/>
        </w:rPr>
        <w:t>in 2019 to around 2.7 USD kg</w:t>
      </w:r>
      <w:r w:rsidRPr="00E15608">
        <w:rPr>
          <w:vertAlign w:val="superscript"/>
          <w:lang w:val="en-US"/>
        </w:rPr>
        <w:t>-1</w:t>
      </w:r>
      <w:r w:rsidRPr="00E15608">
        <w:rPr>
          <w:lang w:val="en-US"/>
        </w:rPr>
        <w:t xml:space="preserve"> by 2030</w:t>
      </w:r>
      <w:r>
        <w:fldChar w:fldCharType="begin"/>
      </w:r>
      <w:r w:rsidRPr="00E15608">
        <w:rPr>
          <w:lang w:val="en-US"/>
        </w:rPr>
        <w:instrText xml:space="preserve"> ADDIN ZOTERO_ITEM CSL_CITATION {"citationID":"h6UgAJzl","properties":{"formattedCitation":"\\super 41\\nosupersub{}","plainCitation":"41","noteIndex":0},"citationItems":[{"id":893,"uris":["http://zotero.org/users/9157291/items/WE7RN482"],"itemData":{"id":893,"type":"article-journal","abstract":"In this work, we developed a framework for CO2 capture and utilization for energy products (CCU4E) and examined techno-economic and environmental performance in different scenarios. The framework includes process synthesis and design, process simulation, and modeling toward the technical, economic, and environmental performance of the CO2-to-fuel pathway. Based on the 72 CO2-to-fuel pathways examined, we discussed the trade-off between economic output (via the unit production cost of fuels) and environmental impact (via net CO2 equivalent emissions). In addition, an optimization model was used to identify the optimal pathway and the decision to use conventional (black) or renewable (green) hydrogen in different scenarios. An extended sensitivity analysis was performed to understand the important role of H2 in the mitigation of CO2eq and its economic potential, globally and locally, as well as the prospect of future CO2-based fuels. This study provides practical decision-making strategies to major carbon-emitting countries to make decisions on using domestic resources to balance economics and environmental protection in the CCU4E framework. The green hydrogen price is revealed as the key factor in future CCU4E by allowing a huge reduction in CO2eq emissions at a more stable and lower price.","container-title":"Energy &amp; Environmental Science","DOI":"10.1039/D1EE01444G","ISSN":"1754-5706","issue":"1","journalAbbreviation":"Energy Environ. Sci.","language":"en","note":"publisher: The Royal Society of Chemistry","page":"169-184","source":"pubs.rsc.org","title":"A CO2 utilization framework for liquid fuels and chemical production: techno-economic and environmental analysis","title-short":"A CO2 utilization framework for liquid fuels and chemical production","volume":"15","author":[{"family":"Do","given":"Thai Ngan"},{"family":"You","given":"Chanhee"},{"family":"Kim","given":"Jiyong"}],"issued":{"date-parts":[["2022",1,19]]}}}],"schema":"https://github.com/citation-style-language/schema/raw/master/csl-citation.json"} </w:instrText>
      </w:r>
      <w:r>
        <w:fldChar w:fldCharType="separate"/>
      </w:r>
      <w:r w:rsidRPr="00E15608">
        <w:rPr>
          <w:rFonts w:ascii="Calibri" w:hAnsi="Calibri" w:cs="Calibri"/>
          <w:szCs w:val="24"/>
          <w:vertAlign w:val="superscript"/>
          <w:lang w:val="en-US"/>
        </w:rPr>
        <w:t>41</w:t>
      </w:r>
      <w:r>
        <w:fldChar w:fldCharType="end"/>
      </w:r>
      <w:r w:rsidRPr="00E15608">
        <w:rPr>
          <w:lang w:val="en-US"/>
        </w:rPr>
        <w:t>. Similarly, forecasts also indicate a strong decrease in the cost of solar PV-based electrolytic hydrogen and electroly</w:t>
      </w:r>
      <w:r>
        <w:rPr>
          <w:lang w:val="en-US"/>
        </w:rPr>
        <w:t>z</w:t>
      </w:r>
      <w:r w:rsidRPr="00E15608">
        <w:rPr>
          <w:lang w:val="en-US"/>
        </w:rPr>
        <w:t>ers over the next decade</w:t>
      </w:r>
      <w:r>
        <w:rPr>
          <w:rFonts w:cstheme="minorHAnsi"/>
        </w:rPr>
        <w:fldChar w:fldCharType="begin"/>
      </w:r>
      <w:r w:rsidRPr="00E15608">
        <w:rPr>
          <w:rFonts w:cstheme="minorHAnsi"/>
          <w:lang w:val="en-US"/>
        </w:rPr>
        <w:instrText xml:space="preserve"> ADDIN ZOTERO_ITEM CSL_CITATION {"citationID":"voltNIfm","properties":{"formattedCitation":"\\super 40\\nosupersub{}","plainCitation":"40","noteIndex":0},"citationItems":[{"id":21507,"uris":["http://zotero.org/users/9157291/items/ASFLIA5W"],"itemData":{"id":21507,"type":"article-journal","container-title":"Joule","DOI":"10.1016/j.joule.2022.08.009","ISSN":"2542-4785, 2542-4351","issue":"9","journalAbbreviation":"Joule","language":"English","note":"publisher: Elsevier","page":"2057-2082","source":"www.cell.com","title":"Empirically grounded technology forecasts and the energy transition","volume":"6","author":[{"family":"Way","given":"Rupert"},{"family":"Ives","given":"Matthew C."},{"family":"Mealy","given":"Penny"},{"family":"Farmer","given":"J. Doyne"}],"issued":{"date-parts":[["2022",9,21]]}}}],"schema":"https://github.com/citation-style-language/schema/raw/master/csl-citation.json"}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40</w:t>
      </w:r>
      <w:r>
        <w:rPr>
          <w:rFonts w:cstheme="minorHAnsi"/>
        </w:rPr>
        <w:fldChar w:fldCharType="end"/>
      </w:r>
      <w:r w:rsidRPr="00E15608">
        <w:rPr>
          <w:lang w:val="en-US"/>
        </w:rPr>
        <w:t xml:space="preserve">. </w:t>
      </w:r>
      <w:r w:rsidRPr="00E15608">
        <w:rPr>
          <w:rFonts w:cstheme="minorHAnsi"/>
          <w:lang w:val="en-US"/>
        </w:rPr>
        <w:t>Hence, it seems sensible to think that ammonia production from wind-based electrolytic hydrogen could be cost</w:t>
      </w:r>
      <w:r w:rsidRPr="00E15608">
        <w:rPr>
          <w:rFonts w:cstheme="minorHAnsi"/>
          <w:lang w:val="en-US"/>
        </w:rPr>
        <w:noBreakHyphen/>
        <w:t>competitive in the foreseeable future in Europe.</w:t>
      </w:r>
    </w:p>
    <w:p w14:paraId="47AC11E1" w14:textId="77777777" w:rsidR="00E15608" w:rsidRPr="00E15608" w:rsidRDefault="00E15608" w:rsidP="00577897">
      <w:pPr>
        <w:jc w:val="both"/>
        <w:rPr>
          <w:rFonts w:cstheme="minorHAnsi"/>
          <w:lang w:val="en-US"/>
        </w:rPr>
      </w:pPr>
      <w:r w:rsidRPr="00E15608">
        <w:rPr>
          <w:rFonts w:cstheme="minorHAnsi"/>
          <w:lang w:val="en-US"/>
        </w:rPr>
        <w:t>The production costs of chemicals have been historically higher in Europe than in other regions like U.S., Russia, or Saudi Arabia, primarily due to higher labor and feedstock costs</w:t>
      </w:r>
      <w:r>
        <w:rPr>
          <w:rFonts w:cstheme="minorHAnsi"/>
        </w:rPr>
        <w:fldChar w:fldCharType="begin"/>
      </w:r>
      <w:r w:rsidRPr="00E15608">
        <w:rPr>
          <w:rFonts w:cstheme="minorHAnsi"/>
          <w:lang w:val="en-US"/>
        </w:rPr>
        <w:instrText xml:space="preserve"> ADDIN ZOTERO_ITEM CSL_CITATION {"citationID":"qowpZTcy","properties":{"formattedCitation":"\\super 42\\nosupersub{}","plainCitation":"42","noteIndex":0},"citationItems":[{"id":17233,"uris":["http://zotero.org/users/9157291/items/97IRYBPV"],"itemData":{"id":17233,"type":"article-journal","abstract":"Our study compares chemical production costs in the European Union (EU) and other countries in order to understand whether these costs are higher in the case of Europe than in other countries. Our analysis focuses on ammonia, methanol and light olefins (ethylene and propylene), as all of them are considered chemical compounds produced in large scale. The countries selected for comparison are USA, Russia, Ukraine and Saudi Arabia, since they have high shares of extra-EU28 trade and/or the global installed capacity of the selected products. A bottom-up approach (based on information at facility level) has been followed, including 116, 29, 122 and 224 facilities producing ammonia, methanol, ethylene and propylene respectively. Taking into consideration the complex differences in technologies and co-products between operators, costs are broken down to six components: (1) feedstock, (2) credits (due to co-products), (3) electricity, (4) thermal energy 5) other materials (chemicals, catalysts etc.) and (6) labour and other costs (salaries, overheads etc.). Our findings suggest that it is not easy to reach a common conclusion about the whole chemical industry. Overall costs compare more favourably among countries than initially thought in the case of processes producing co-products, but maybe less favourably when processes are without co-products. The European industry has lower production costs than the industries in the other countries in the case of ethylene and propylene, but higher in the case of ammonia and methanol. Feedstock costs play the most important role in the total production costs of all four products, but the presence of credits due to by-products could change the behaviour of the total costs.","container-title":"Renewable and Sustainable Energy Reviews","DOI":"10.1016/j.rser.2016.02.021","ISSN":"1364-0321","journalAbbreviation":"Renewable and Sustainable Energy Reviews","language":"en","page":"1205-1212","source":"ScienceDirect","title":"Production costs of the chemical industry in the EU and other countries: Ammonia, methanol and light olefins","title-short":"Production costs of the chemical industry in the EU and other countries","volume":"68","author":[{"family":"Boulamanti","given":"Aikaterini"},{"family":"Moya","given":"Jose A."}],"issued":{"date-parts":[["2017",2,1]]}}}],"schema":"https://github.com/citation-style-language/schema/raw/master/csl-citation.json"}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42</w:t>
      </w:r>
      <w:r>
        <w:rPr>
          <w:rFonts w:cstheme="minorHAnsi"/>
        </w:rPr>
        <w:fldChar w:fldCharType="end"/>
      </w:r>
      <w:r w:rsidRPr="00E15608">
        <w:rPr>
          <w:rFonts w:cstheme="minorHAnsi"/>
          <w:lang w:val="en-US"/>
        </w:rPr>
        <w:t>. The disruption of the global energy market in 2022 has further exacerbated this gap since other regions have faced less fluctuation in energy prices due to lower dependence on imports</w:t>
      </w:r>
      <w:r>
        <w:rPr>
          <w:rFonts w:cstheme="minorHAnsi"/>
        </w:rPr>
        <w:fldChar w:fldCharType="begin"/>
      </w:r>
      <w:r w:rsidRPr="00E15608">
        <w:rPr>
          <w:rFonts w:cstheme="minorHAnsi"/>
          <w:lang w:val="en-US"/>
        </w:rPr>
        <w:instrText xml:space="preserve"> ADDIN ZOTERO_ITEM CSL_CITATION {"citationID":"I7dOfOej","properties":{"formattedCitation":"\\super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28</w:t>
      </w:r>
      <w:r>
        <w:rPr>
          <w:rFonts w:cstheme="minorHAnsi"/>
        </w:rPr>
        <w:fldChar w:fldCharType="end"/>
      </w:r>
      <w:r w:rsidRPr="00E15608">
        <w:rPr>
          <w:rFonts w:cstheme="minorHAnsi"/>
          <w:lang w:val="en-US"/>
        </w:rPr>
        <w:t>. For example, between 2020 and 2022, the natural gas price increased by a factor of 1.6 in the U.S. compared with 9.6 in Europe</w:t>
      </w:r>
      <w:r>
        <w:rPr>
          <w:rFonts w:cstheme="minorHAnsi"/>
        </w:rPr>
        <w:fldChar w:fldCharType="begin"/>
      </w:r>
      <w:r w:rsidRPr="00E15608">
        <w:rPr>
          <w:rFonts w:cstheme="minorHAnsi"/>
          <w:lang w:val="en-US"/>
        </w:rPr>
        <w:instrText xml:space="preserve"> ADDIN ZOTERO_ITEM CSL_CITATION {"citationID":"2cMQjTh2","properties":{"formattedCitation":"\\super 28\\nosupersub{}","plainCitation":"28","noteIndex":0},"citationItems":[{"id":26341,"uris":["http://zotero.org/users/9157291/items/ASL4MQPD"],"itemData":{"id":26341,"type":"report","event-place":"Washington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28</w:t>
      </w:r>
      <w:r>
        <w:rPr>
          <w:rFonts w:cstheme="minorHAnsi"/>
        </w:rPr>
        <w:fldChar w:fldCharType="end"/>
      </w:r>
      <w:r w:rsidRPr="00E15608">
        <w:rPr>
          <w:rFonts w:cstheme="minorHAnsi"/>
          <w:lang w:val="en-US"/>
        </w:rPr>
        <w:t>. Within this context, the chemical industry will be forced to shift production to regions with low-cost labor and feedstocks instead of deploying domestic green production routes. However, such relocation would have very strong socio-economic implications for Europe. In 2020, Europe was the second largest chemicals producer in the world</w:t>
      </w:r>
      <w:r>
        <w:rPr>
          <w:rFonts w:cstheme="minorHAnsi"/>
        </w:rPr>
        <w:fldChar w:fldCharType="begin"/>
      </w:r>
      <w:r w:rsidRPr="00E15608">
        <w:rPr>
          <w:rFonts w:cstheme="minorHAnsi"/>
          <w:lang w:val="en-US"/>
        </w:rPr>
        <w:instrText xml:space="preserve"> ADDIN ZOTERO_ITEM CSL_CITATION {"citationID":"wmYXx5pI","properties":{"formattedCitation":"\\super 43\\nosupersub{}","plainCitation":"43","noteIndex":0},"citationItems":[{"id":17167,"uris":["http://zotero.org/users/9157291/items/44HGAMH3"],"itemData":{"id":17167,"type":"report","title":"The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43</w:t>
      </w:r>
      <w:r>
        <w:rPr>
          <w:rFonts w:cstheme="minorHAnsi"/>
        </w:rPr>
        <w:fldChar w:fldCharType="end"/>
      </w:r>
      <w:r w:rsidRPr="00E15608">
        <w:rPr>
          <w:rFonts w:cstheme="minorHAnsi"/>
          <w:lang w:val="en-US"/>
        </w:rPr>
        <w:t>. Given the pivotal role of chemicals across many supply chains, shifting production would likely weaken Europe’s leading role in chemicals production while exposing Europe to the vulnerability of supply disruption. This would be particularly critical in the case of ammonia, an essential product to ensure food security</w:t>
      </w:r>
      <w:r>
        <w:rPr>
          <w:rFonts w:cstheme="minorHAnsi"/>
        </w:rPr>
        <w:fldChar w:fldCharType="begin"/>
      </w:r>
      <w:r w:rsidRPr="00E15608">
        <w:rPr>
          <w:rFonts w:cstheme="minorHAnsi"/>
          <w:lang w:val="en-US"/>
        </w:rPr>
        <w:instrText xml:space="preserve"> ADDIN ZOTERO_ITEM CSL_CITATION {"citationID":"tA9sOzRN","properties":{"formattedCitation":"\\super 5\\nosupersub{}","plainCitation":"5","noteIndex":0},"citationItems":[{"id":27526,"uris":["http://zotero.org/users/9157291/items/UV7GWX94"],"itemData":{"id":27526,"type":"article-journal","abstract":"By synthetically producing nitrogen fertilizers from ammonia (NH3), the Haber–Bosch process has been feeding humanity for more than one hundred years. However, current NH3 production relies on fossil fuels, and is energy and carbon intensive. This commits humanity to emissions levels not compatible with climate goals and commits agricultural production to fossil fuels dependency. Here, we quantify food and energy implications of transitioning nitrogen fertilizers to net-zero CO2 emissions. We find that 1.07 billion people are fed from food produced from imported nitrogen fertilizers. An additional 710 million people are fed from imported natural gas feedstocks used for fertilizers production, meaning that 1.78 billion people per year are fed from imports of either fertilizers or natural gas. These findings highlight the reliance of global food production on trading and fossil fuels, hence its vulnerability to supply and energy shocks. However, alternative routes to achieve net-zero emissions in NH3 production exist, which are based on carbon capture and storage, electrification, and biomass. These routes comply with climate targets while mitigating the risks associated with food security. Yet, they require more land, energy, and water than business-as-usual production, exacerbating land and water scarcity and the use of limited natural resources. Transitioning fertilizers to net-zero emissions can contribute to climate and food security goals, although water, land, and energy trade-offs should be considered.","container-title":"Environmental Research Letters","DOI":"10.1088/1748-9326/aca815","ISSN":"1748-9326","issue":"1","journalAbbreviation":"Environ. Res. Lett.","language":"en","note":"publisher: IOP Publishing","page":"014008","source":"Institute of Physics","title":"Energy and food security implications of transitioning synthetic nitrogen fertilizers to net-zero emissions","volume":"18","author":[{"family":"Rosa","given":"Lorenzo"},{"family":"Gabrielli","given":"Paolo"}],"issued":{"date-parts":[["2022",12]]}}}],"schema":"https://github.com/citation-style-language/schema/raw/master/csl-citation.json"}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5</w:t>
      </w:r>
      <w:r>
        <w:rPr>
          <w:rFonts w:cstheme="minorHAnsi"/>
        </w:rPr>
        <w:fldChar w:fldCharType="end"/>
      </w:r>
      <w:r w:rsidRPr="00E15608">
        <w:rPr>
          <w:rFonts w:cstheme="minorHAnsi"/>
          <w:lang w:val="en-US"/>
        </w:rPr>
        <w:t>. Moreover, chemical companies generate about 1.2 million jobs across Europe</w:t>
      </w:r>
      <w:r>
        <w:rPr>
          <w:rFonts w:cstheme="minorHAnsi"/>
        </w:rPr>
        <w:fldChar w:fldCharType="begin"/>
      </w:r>
      <w:r w:rsidRPr="00E15608">
        <w:rPr>
          <w:rFonts w:cstheme="minorHAnsi"/>
          <w:lang w:val="en-US"/>
        </w:rPr>
        <w:instrText xml:space="preserve"> ADDIN ZOTERO_ITEM CSL_CITATION {"citationID":"pJ4R1O14","properties":{"formattedCitation":"\\super 43\\nosupersub{}","plainCitation":"43","noteIndex":0},"citationItems":[{"id":17167,"uris":["http://zotero.org/users/9157291/items/44HGAMH3"],"itemData":{"id":17167,"type":"report","title":"The European Chemical Industry - Facts &amp; Figures 2022","URL":"https://cefic.org/app/uploads/2022/01/Leaflet-FactsFigures_interactif_V02.pdf","author":[{"family":"cefic","given":""}],"accessed":{"date-parts":[["2022",8,14]]},"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43</w:t>
      </w:r>
      <w:r>
        <w:rPr>
          <w:rFonts w:cstheme="minorHAnsi"/>
        </w:rPr>
        <w:fldChar w:fldCharType="end"/>
      </w:r>
      <w:r w:rsidRPr="00E15608">
        <w:rPr>
          <w:rFonts w:cstheme="minorHAnsi"/>
          <w:lang w:val="en-US"/>
        </w:rPr>
        <w:t>, which would face an uncertain scenario.</w:t>
      </w:r>
    </w:p>
    <w:p w14:paraId="2F36C28D" w14:textId="77777777" w:rsidR="00E15608" w:rsidRPr="00E15608" w:rsidRDefault="00E15608" w:rsidP="00577897">
      <w:pPr>
        <w:jc w:val="both"/>
        <w:rPr>
          <w:rFonts w:cstheme="minorHAnsi"/>
          <w:iCs/>
          <w:lang w:val="en-US"/>
        </w:rPr>
      </w:pPr>
      <w:r w:rsidRPr="00E15608">
        <w:rPr>
          <w:rFonts w:cstheme="minorHAnsi"/>
          <w:lang w:val="en-US"/>
        </w:rPr>
        <w:t>In accordance with the Paris Climate Accords, Europe has set targets to reduce emissions by 55% by 2030 and become a net-zero GHG emitting continent by 2050</w:t>
      </w:r>
      <w:r>
        <w:rPr>
          <w:rFonts w:cstheme="minorHAnsi"/>
        </w:rPr>
        <w:fldChar w:fldCharType="begin"/>
      </w:r>
      <w:r w:rsidRPr="00E15608">
        <w:rPr>
          <w:rFonts w:cstheme="minorHAnsi"/>
          <w:lang w:val="en-US"/>
        </w:rPr>
        <w:instrText xml:space="preserve"> ADDIN ZOTERO_ITEM CSL_CITATION {"citationID":"fZNn97kP","properties":{"formattedCitation":"\\super 44\\nosupersub{}","plainCitation":"44","noteIndex":0},"citationItems":[{"id":30053,"uris":["http://zotero.org/users/9157291/items/RIWZTV2J"],"itemData":{"id":30053,"type":"report","publisher":"COM(2021) 550 final, Brussels","title":"\"Fit for 55\": delivering the EU's 2030 Climate Target on the way to climate neutrality","URL":"https://eur-lex.europa.eu/legal-content/EN/TXT/PDF/?uri=CELEX:52021DC0550&amp;from=EN","author":[{"family":"European Commission","given":""}],"accessed":{"date-parts":[["2023",1,18]]},"issued":{"date-parts":[["2021",7,14]]}},"locator":"55"}],"schema":"https://github.com/citation-style-language/schema/raw/master/csl-citation.json"}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44</w:t>
      </w:r>
      <w:r>
        <w:rPr>
          <w:rFonts w:cstheme="minorHAnsi"/>
        </w:rPr>
        <w:fldChar w:fldCharType="end"/>
      </w:r>
      <w:r w:rsidRPr="00E15608">
        <w:rPr>
          <w:rFonts w:cstheme="minorHAnsi"/>
          <w:lang w:val="en-US"/>
        </w:rPr>
        <w:t>. In order to achieve these ambitious targets, Europe needs to invest majorly in low-carbon infrastructure. A recent study found that the current pace of investment and development of these technologies is insufficient to meet the targets</w:t>
      </w:r>
      <w:bookmarkStart w:id="12" w:name="_Hlk124931906"/>
      <w:r>
        <w:rPr>
          <w:rFonts w:cstheme="minorHAnsi"/>
        </w:rPr>
        <w:fldChar w:fldCharType="begin"/>
      </w:r>
      <w:r w:rsidRPr="00E15608">
        <w:rPr>
          <w:rFonts w:cstheme="minorHAnsi"/>
          <w:lang w:val="en-US"/>
        </w:rPr>
        <w:instrText xml:space="preserve"> ADDIN ZOTERO_ITEM CSL_CITATION {"citationID":"NMJEjUZd","properties":{"formattedCitation":"\\super 45\\nosupersub{}","plainCitation":"45","noteIndex":0},"citationItems":[{"id":29217,"uris":["http://zotero.org/users/9157291/items/KAICFIWB"],"itemData":{"id":29217,"type":"article-journal","abstract":"Reaching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45</w:t>
      </w:r>
      <w:r>
        <w:rPr>
          <w:rFonts w:cstheme="minorHAnsi"/>
        </w:rPr>
        <w:fldChar w:fldCharType="end"/>
      </w:r>
      <w:bookmarkEnd w:id="12"/>
      <w:r w:rsidRPr="00E15608">
        <w:rPr>
          <w:rFonts w:cstheme="minorHAnsi"/>
          <w:lang w:val="en-US"/>
        </w:rPr>
        <w:t>. An additional investment of approximately 94 billion USD yr</w:t>
      </w:r>
      <w:r w:rsidRPr="00E15608">
        <w:rPr>
          <w:rFonts w:cstheme="minorHAnsi"/>
          <w:vertAlign w:val="superscript"/>
          <w:lang w:val="en-US"/>
        </w:rPr>
        <w:t>−1</w:t>
      </w:r>
      <w:r w:rsidRPr="00E15608">
        <w:rPr>
          <w:rFonts w:cstheme="minorHAnsi"/>
          <w:lang w:val="en-US"/>
        </w:rPr>
        <w:t xml:space="preserve"> is required in the immediate future until 2025 in order to achieve the net-zero target by 2050. It was also found that a tremendous investment increase of 26 billion USD yr</w:t>
      </w:r>
      <w:r w:rsidRPr="00E15608">
        <w:rPr>
          <w:rFonts w:cstheme="minorHAnsi"/>
          <w:vertAlign w:val="superscript"/>
          <w:lang w:val="en-US"/>
        </w:rPr>
        <w:t>−1</w:t>
      </w:r>
      <w:r w:rsidRPr="00E15608">
        <w:rPr>
          <w:rFonts w:cstheme="minorHAnsi"/>
          <w:lang w:val="en-US"/>
        </w:rPr>
        <w:t xml:space="preserve"> was needed for renewable power plants, especially solar (7.6 billion USD yr</w:t>
      </w:r>
      <w:r w:rsidRPr="00E15608">
        <w:rPr>
          <w:rFonts w:cstheme="minorHAnsi"/>
          <w:vertAlign w:val="superscript"/>
          <w:lang w:val="en-US"/>
        </w:rPr>
        <w:t>−1</w:t>
      </w:r>
      <w:r w:rsidRPr="00E15608">
        <w:rPr>
          <w:rFonts w:cstheme="minorHAnsi"/>
          <w:lang w:val="en-US"/>
        </w:rPr>
        <w:t>) and on-shore wind (17.3 billion USD yr</w:t>
      </w:r>
      <w:r w:rsidRPr="00E15608">
        <w:rPr>
          <w:rFonts w:cstheme="minorHAnsi"/>
          <w:vertAlign w:val="superscript"/>
          <w:lang w:val="en-US"/>
        </w:rPr>
        <w:t>−1</w:t>
      </w:r>
      <w:r w:rsidRPr="00E15608">
        <w:rPr>
          <w:rFonts w:cstheme="minorHAnsi"/>
          <w:lang w:val="en-US"/>
        </w:rPr>
        <w:t>)</w:t>
      </w:r>
      <w:r>
        <w:rPr>
          <w:rFonts w:cstheme="minorHAnsi"/>
        </w:rPr>
        <w:fldChar w:fldCharType="begin"/>
      </w:r>
      <w:r w:rsidRPr="00E15608">
        <w:rPr>
          <w:rFonts w:cstheme="minorHAnsi"/>
          <w:lang w:val="en-US"/>
        </w:rPr>
        <w:instrText xml:space="preserve"> ADDIN ZOTERO_ITEM CSL_CITATION {"citationID":"ahjMIKXT","properties":{"formattedCitation":"\\super 45\\nosupersub{}","plainCitation":"45","noteIndex":0},"citationItems":[{"id":29217,"uris":["http://zotero.org/users/9157291/items/KAICFIWB"],"itemData":{"id":29217,"type":"article-journal","abstract":"Reaching a pathway towards net zero GHG emissions requires rapid and massive investments in low-carbon infrastructure. To redirect finance flows accordingly, particularly the European Union places an emphasis on sustainable finance regulation. However, the specific investment shifts required are not fully understood, which could lead to an insufficient steering effect for crucial technologies. Here we conduct a meta-analysis to derive the required technology-level investment shifts for climate-relevant infrastructure until 2035. We find a steep uptick in overall investment need, with almost €90 billion yr−1 being required already within the very near term (2021–25). Investment shifts are most drastic for power plants, electricity grids and rail infrastructure, which is even increased by the ambitions to become independent from Russian gas imports. Our findings highlight the need for sustainable finance policies that take into account the financing structures of these sectors specifically.","container-title":"Nature Climate Change","DOI":"10.1038/s41558-022-01549-5","ISSN":"1758-6798","journalAbbreviation":"Nat. Clim. Chang.","language":"en","license":"2023 The Author(s), under exclusive licence to Springer Nature Limited","note":"publisher: Nature Publishing Group","page":"1-9","source":"www.nature.com","title":"Meta-analysis on necessary investment shifts to reach net zero pathways in Europe","author":[{"family":"Klaaßen","given":"Lena"},{"family":"Steffen","given":"Bjarne"}],"issued":{"date-parts":[["2023",1,5]]}}}],"schema":"https://github.com/citation-style-language/schema/raw/master/csl-citation.json"}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45</w:t>
      </w:r>
      <w:r>
        <w:rPr>
          <w:rFonts w:cstheme="minorHAnsi"/>
        </w:rPr>
        <w:fldChar w:fldCharType="end"/>
      </w:r>
      <w:r w:rsidRPr="00E15608">
        <w:rPr>
          <w:rFonts w:cstheme="minorHAnsi"/>
          <w:lang w:val="en-US"/>
        </w:rPr>
        <w:t>. Therefore, negative mitigation costs associated with the production of green ammonia and methanol (especially on-shore wind</w:t>
      </w:r>
      <w:r w:rsidRPr="00E15608">
        <w:rPr>
          <w:rFonts w:cstheme="minorHAnsi"/>
          <w:lang w:val="en-US"/>
        </w:rPr>
        <w:noBreakHyphen/>
        <w:t xml:space="preserve">based ammonia) appear as particularly appealing to lower the carbon footprint of these essential chemicals driven by market forces rather than by incentives. Hence, in addition to improving supply security, green ammonia and methanol could help the European chemical industry curb GHG emissions at a negative mitigation cost, </w:t>
      </w:r>
      <w:r w:rsidRPr="00E15608">
        <w:rPr>
          <w:rFonts w:cstheme="minorHAnsi"/>
          <w:iCs/>
          <w:lang w:val="en-US"/>
        </w:rPr>
        <w:t>in contrast to expensive NETs, which also face socio-political challenges.</w:t>
      </w:r>
    </w:p>
    <w:p w14:paraId="62D25E95" w14:textId="35568A53" w:rsidR="00E15608" w:rsidRPr="00E15608" w:rsidRDefault="00E15608" w:rsidP="00577897">
      <w:pPr>
        <w:jc w:val="both"/>
        <w:rPr>
          <w:rFonts w:cstheme="minorHAnsi"/>
          <w:iCs/>
          <w:lang w:val="en-US"/>
        </w:rPr>
      </w:pPr>
      <w:r w:rsidRPr="00E15608">
        <w:rPr>
          <w:rFonts w:cstheme="minorHAnsi"/>
          <w:iCs/>
          <w:lang w:val="en-US"/>
        </w:rPr>
        <w:t>A longer-term advantage will be gained if a fraction of this decisive investment is channeled toward research and development, boosting performance of water electrolysis</w:t>
      </w:r>
      <w:r w:rsidR="008B6718">
        <w:rPr>
          <w:rFonts w:cstheme="minorHAnsi"/>
          <w:iCs/>
          <w:lang w:val="en-US"/>
        </w:rPr>
        <w:t xml:space="preserve"> </w:t>
      </w:r>
      <w:r w:rsidRPr="00E15608">
        <w:rPr>
          <w:rFonts w:cstheme="minorHAnsi"/>
          <w:iCs/>
          <w:lang w:val="en-US"/>
        </w:rPr>
        <w:t>-as a key element of green Haber-Bosch-, direct N</w:t>
      </w:r>
      <w:r w:rsidRPr="00E15608">
        <w:rPr>
          <w:rFonts w:cstheme="minorHAnsi"/>
          <w:iCs/>
          <w:vertAlign w:val="subscript"/>
          <w:lang w:val="en-US"/>
        </w:rPr>
        <w:t>2</w:t>
      </w:r>
      <w:r w:rsidRPr="00E15608">
        <w:rPr>
          <w:rFonts w:cstheme="minorHAnsi"/>
          <w:iCs/>
          <w:lang w:val="en-US"/>
        </w:rPr>
        <w:t xml:space="preserve"> electroreduction, and direct CO</w:t>
      </w:r>
      <w:r w:rsidRPr="00E15608">
        <w:rPr>
          <w:rFonts w:cstheme="minorHAnsi"/>
          <w:iCs/>
          <w:vertAlign w:val="subscript"/>
          <w:lang w:val="en-US"/>
        </w:rPr>
        <w:t>2</w:t>
      </w:r>
      <w:r w:rsidRPr="00E15608">
        <w:rPr>
          <w:rFonts w:cstheme="minorHAnsi"/>
          <w:iCs/>
          <w:lang w:val="en-US"/>
        </w:rPr>
        <w:t xml:space="preserve"> hydrogenation. All these technologies have potential for mid- to large efficiency enhancement upon overcoming some key limitations related to catalyst design. </w:t>
      </w:r>
      <w:r w:rsidRPr="00E15608">
        <w:rPr>
          <w:rFonts w:cstheme="minorHAnsi"/>
          <w:lang w:val="en-US"/>
        </w:rPr>
        <w:t>The technological maturity of water electrolyzers will be displayed by lower cell voltages mainly arising from optimized anodes, ideally containing catalysts with lower Pt-group metal content</w:t>
      </w:r>
      <w:r>
        <w:rPr>
          <w:rFonts w:cstheme="minorHAnsi"/>
        </w:rPr>
        <w:fldChar w:fldCharType="begin"/>
      </w:r>
      <w:r w:rsidRPr="00E15608">
        <w:rPr>
          <w:rFonts w:cstheme="minorHAnsi"/>
          <w:lang w:val="en-US"/>
        </w:rPr>
        <w:instrText xml:space="preserve"> ADDIN ZOTERO_ITEM CSL_CITATION {"citationID":"zVrxVJYu","properties":{"formattedCitation":"\\super 46,47\\nosupersub{}","plainCitation":"46,47","noteIndex":0},"citationItems":[{"id":31776,"uris":["http://zotero.org/users/9157291/items/QSNU36QI"],"itemData":{"id":31776,"type":"article-journal","abstract":"Electrochemistry has the potential to sustainably transform molecules with electrons supplied by renewable electricity. It is one of many solutions towards a more circular, sustainable and equitable society. To achieve this, collaboration between industry and research laboratories is a must. Atomistic understanding from fundamental experiments and modelling can be used to engineer optimized systems whereas limitations set by the scaled-up technology can direct the systems studied in the research laboratory. In this Primer, best practices to run clean laboratory-scale electrochemical systems and tips for the analysis of electrochemical data to improve accuracy and reproducibility are introduced. How characterization and modelling are indispensable in providing routes to garner further insights into atomistic and mechanistic details is discussed. Finally, important considerations regarding material and cell design for scaling up water electrolysis are highlighted and the role of hydrogen in our society’s energy transition is discussed. The future of electrochemistry is bright and major breakthroughs will come with rigour and improvements in the collection, analysis, benchmarking and reporting of electrochemical water splitting data.","container-title":"Nature Reviews Methods Primers","DOI":"10.1038/s43586-022-00164-0","ISSN":"2662-8449","issue":"1","journalAbbreviation":"Nat Rev Methods Primers","language":"en","license":"2022 Springer Nature Limited","note":"number: 1\npublisher: Nature Publishing Group","page":"1-19","source":"www.nature.com","title":"Water electrolysis","volume":"2","author":[{"family":"Shih","given":"Arthur J."},{"family":"Monteiro","given":"Mariana C. O."},{"family":"Dattila","given":"Federico"},{"family":"Pavesi","given":"Davide"},{"family":"Philips","given":"Matthew"},{"family":"Silva","given":"Alisson H. M.","non-dropping-particle":"da"},{"family":"Vos","given":"Rafaël E."},{"family":"Ojha","given":"Kasinath"},{"family":"Park","given":"Sunghak"},{"family":"Heijden","given":"Onno","non-dropping-particle":"van der"},{"family":"Mar</w:instrText>
      </w:r>
      <w:r>
        <w:rPr>
          <w:rFonts w:cstheme="minorHAnsi"/>
        </w:rPr>
        <w:instrText>candalli","given":"Giulia"},{"family":"Goyal","given":"Akansha"},{"family":"Villalba","given":"Matias"},{"family":"Chen","given":"Xiaoting"},{"family":"Gunasooriya","given":"G. T. Kasun Kalhara"},{"family":"McCrum","given":"Ian"},{"family":"Mom","given":"Rik"},{"family":"López","given":"Núria"},{"family":"Koper","given":"Marc T. M."}],"issued":{"date-parts":[["2022",10,27]]}}},{"id":31778,"uris":["http://zotero.org/users/9157291/items/XLRY476D"],"itemData":{"id":31778,"type":"article-journal","abstract":"Replacing fossil fuels with energy sources and carriers that are sustainable, environmentally benign, and affordable is amongst the most pressing challenges for future socio-economic development. To that goal, hydrogen is presumed to be the most promising energy carrier. Electrocatalytic water splitting, if driven by green electricity, would provide hydrogen with minimal CO2 footprint. The viability of water electrolysis still hinges on the availability of durable earth-abundant electrocatalyst materials and the overall process efficiency. This review spans from the fundamentals of electrocatalytically initiated water splitting to the very latest scientific findings from university and institutional research, also covering specifications and special features of the current industrial processes and those processes currently being tested in large-scale applications. Recently developed strategies are described for the optimisation and discovery of active and durable materials for electrodes that ever-increasingly harness first-principles calculations and machine learning. In addition, a technoeconomic analysis of water electrolysis is included that allows an assessment of the extent to which a la</w:instrText>
      </w:r>
      <w:r w:rsidRPr="00E15608">
        <w:rPr>
          <w:rFonts w:cstheme="minorHAnsi"/>
          <w:lang w:val="en-US"/>
        </w:rPr>
        <w:instrText xml:space="preserve">rge-scale implementation of water splitting can help to combat climate change. This review article is intended to cross-pollinate and strengthen efforts from fundamental understanding to technical implementation and to improve the ‘junctions’ between the field's physical chemists, materials scientists and engineers, as well as stimulate much-needed exchange among these groups on challenges encountered in the different domains.","container-title":"Chemical Society Reviews","DOI":"10.1039/D0CS01079K","ISSN":"1460-4744","issue":"11","journalAbbreviation":"Chem. Soc. Rev.","language":"en","note":"publisher: The Royal Society of Chemistry","page":"4583-4762","source":"pubs.rsc.org","title":"Water electrolysis: from textbook knowledge to the latest scientific strategies and industrial developments","title-short":"Water electrolysis","volume":"51","author":[{"family":"Chatenet","given":"Marian"},{"family":"Pollet","given":"Bruno G."},{"family":"Dekel","given":"Dario R."},{"family":"Dionigi","given":"Fabio"},{"family":"Deseure","given":"Jonathan"},{"family":"Millet","given":"Pierre"},{"family":"Braatz","given":"Richard D."},{"family":"Bazant","given":"Martin Z."},{"family":"Eikerling","given":"Michael"},{"family":"Staffell","given":"Iain"},{"family":"Balcombe","given":"Paul"},{"family":"Shao-Horn","given":"Yang"},{"family":"Schäfer","given":"Helmut"}],"issued":{"date-parts":[["2022",6,6]]}}}],"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46,47</w:t>
      </w:r>
      <w:r>
        <w:rPr>
          <w:rFonts w:cstheme="minorHAnsi"/>
        </w:rPr>
        <w:fldChar w:fldCharType="end"/>
      </w:r>
      <w:r w:rsidRPr="00E15608">
        <w:rPr>
          <w:rFonts w:cstheme="minorHAnsi"/>
          <w:lang w:val="en-US"/>
        </w:rPr>
        <w:t>. A step behind in terms of development, the electrocatalytic reduction of N</w:t>
      </w:r>
      <w:r w:rsidRPr="00E15608">
        <w:rPr>
          <w:rFonts w:cstheme="minorHAnsi"/>
          <w:vertAlign w:val="subscript"/>
          <w:lang w:val="en-US"/>
        </w:rPr>
        <w:t>2</w:t>
      </w:r>
      <w:r w:rsidRPr="00E15608">
        <w:rPr>
          <w:rFonts w:cstheme="minorHAnsi"/>
          <w:lang w:val="en-US"/>
        </w:rPr>
        <w:t xml:space="preserve"> still faces early challenges such as identifying reference catalysts able to simultaneously provide promising activity, stability, and selectivity towards ammonia. As for methanol synthesis, an active challenge on CO</w:t>
      </w:r>
      <w:r w:rsidRPr="00E15608">
        <w:rPr>
          <w:rFonts w:cstheme="minorHAnsi"/>
          <w:vertAlign w:val="subscript"/>
          <w:lang w:val="en-US"/>
        </w:rPr>
        <w:t>2</w:t>
      </w:r>
      <w:r w:rsidRPr="00E15608">
        <w:rPr>
          <w:rFonts w:cstheme="minorHAnsi"/>
          <w:lang w:val="en-US"/>
        </w:rPr>
        <w:t xml:space="preserve"> hydrogenation is enhanced catalyst activity while attaining further progress in stability and selectivity</w:t>
      </w:r>
      <w:r>
        <w:rPr>
          <w:rFonts w:cstheme="minorHAnsi"/>
        </w:rPr>
        <w:fldChar w:fldCharType="begin"/>
      </w:r>
      <w:r w:rsidRPr="00E15608">
        <w:rPr>
          <w:rFonts w:cstheme="minorHAnsi"/>
          <w:lang w:val="en-US"/>
        </w:rPr>
        <w:instrText xml:space="preserve"> ADDIN ZOTERO_ITEM CSL_CITATION {"citationID":"bnaoirAC","properties":{"formattedCitation":"\\super 48\\nosupersub{}","plainCitation":"48","noteIndex":0},"citationItems":[{"id":31781,"uris":["http://zotero.org/users/9157291/items/CH6KXFUW"],"itemData":{"id":31781,"type":"article-journal","abstract":"Flame Spray Pyrolysis In article number 2103707, Núria López, Javier Pérez-Ramírez and co-workers apply flame spray pyrolysis as a standardized synthesis method to investigate promotional effects of nine transition metals in In2O3-catalyzed CO2 hydrogenation to methanol, revealing that catalyst architecture (single atoms, clusters, and nanoparticles) and corresponding reactivity are dictated by the nature of the promoter.","container-title":"Advanced Energy Materials","DOI":"10.1002/aenm.202270056","ISSN":"1614-6840","issue":"14","note":"_eprint: https://onlinelibrary.wiley.com/doi/pdf/10.1002/aenm.202270056","page":"2270056","source":"Wiley Online Library","title":"Flame Spray Pyrolysis as a Synthesis Platform to Assess Metal Promotion in In2O3-Catalyzed CO2 Hydrogenation (Adv. Energy Mater. 14/2022)","volume":"12","author":[{"family":"Pinheiro Araújo","given":"Thaylan"},{"family":"Morales-Vidal","given":"Jordi"},{"family":"Zou","given":"Tangsheng"},{"family":"García-Muelas","given":"Rodrigo"},{"family":"Willi","given":"Patrik O."},{"family":"Engel","given":"Konstantin M."},{"family":"Safonova","given":"Olga V."},{"family":"Faust Akl","given":"Dario"},{"family":"Krumeich","given":"Frank"},{"family":"Grass","given":"Robert N."},{"family":"Mondelli","given":"Cecilia"},{"family":"López","given":"Núria"},{"family":"Pérez-Ramírez","given":"Javier"}],"issued":{"date-parts":[["2022"]]}}}],"schema":"https://github.com/citation-style-language/schema/raw/master/csl-citation.json"}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48</w:t>
      </w:r>
      <w:r>
        <w:rPr>
          <w:rFonts w:cstheme="minorHAnsi"/>
        </w:rPr>
        <w:fldChar w:fldCharType="end"/>
      </w:r>
      <w:r w:rsidRPr="00E15608">
        <w:rPr>
          <w:rFonts w:cstheme="minorHAnsi"/>
          <w:lang w:val="en-US"/>
        </w:rPr>
        <w:t xml:space="preserve">. Importantly, the availability of different and mature routes could realize </w:t>
      </w:r>
      <w:r w:rsidRPr="00E15608">
        <w:rPr>
          <w:rFonts w:cstheme="minorHAnsi"/>
          <w:iCs/>
          <w:lang w:val="en-US"/>
        </w:rPr>
        <w:t>a new scenario where green centralized (large scale) and decentralized (small scale) production units exist. This possibility is especially appealing for those chemicals, like ammonia, with potential for direct use.</w:t>
      </w:r>
      <w:r w:rsidRPr="00E15608">
        <w:rPr>
          <w:rFonts w:cstheme="minorHAnsi"/>
          <w:lang w:val="en-US"/>
        </w:rPr>
        <w:t xml:space="preserve"> For example, small electrocatalytic reactors coupled to solar power, recently coined as ammonia leaves</w:t>
      </w:r>
      <w:r>
        <w:rPr>
          <w:rFonts w:cstheme="minorHAnsi"/>
        </w:rPr>
        <w:fldChar w:fldCharType="begin"/>
      </w:r>
      <w:r w:rsidRPr="00E15608">
        <w:rPr>
          <w:rFonts w:cstheme="minorHAnsi"/>
          <w:lang w:val="en-US"/>
        </w:rPr>
        <w:instrText xml:space="preserve"> ADDIN ZOTERO_ITEM CSL_CITATION {"citationID":"lqGgVQ3r","properties":{"formattedCitation":"\\super 49\\nosupersub{}","plainCitation":"49","noteIndex":0},"citationItems":[{"id":31784,"uris":["http://zotero.org/users/9157291/items/QIZNQB2H"],"itemData":{"id":31784,"type":"article-journal","abstract":"The centralized production of fuels, chemicals, and fertilizers by thermocatalytic processes sustained by fossil resources is a pillar of modern societies. Electrocatalytic transformations of the abundant small molecules, water, carbon dioxide, dinitrogen, and methane, are emerging routes. Their coupling with renewable sources such as sun power may give rise to a distributed model based on small-scale reactors, so-called artificial leaves. Realizing this vision calls for improved catalytic performance, efforts on reactor and process engineering, and supportive regulatory frameworks. This work puts emphasis in analyzing the core challenge of catalytic performance by defining a common set of figures of merit. This analysis is nuanced by peculiarities inherent to the proposed scheme. This perspective thus aspires to (1) provide a bird’s-eye view of the gap separating them from practical values, (2) identify sources of inefficiency, and (3) establish a qualitative comparison among their feasibility, resulting in H2O </w:instrText>
      </w:r>
      <w:r w:rsidRPr="00E15608">
        <w:rPr>
          <w:rFonts w:ascii="Cambria Math" w:hAnsi="Cambria Math" w:cs="Cambria Math"/>
          <w:lang w:val="en-US"/>
        </w:rPr>
        <w:instrText>≫</w:instrText>
      </w:r>
      <w:r w:rsidRPr="00E15608">
        <w:rPr>
          <w:rFonts w:cstheme="minorHAnsi"/>
          <w:lang w:val="en-US"/>
        </w:rPr>
        <w:instrText xml:space="preserve"> CO2 ≥ N2 &gt; CH4.","container-title":"Joule","DOI":"10.1016/j.joule.2019.09.007","ISSN":"2542-4351","issue":"11","journalAbbreviation":"Joule","language":"en","page":"2602-2621","source":"ScienceDirect","title":"Heading to Distributed Electrocatalytic Conversion of Small Abundant Molecules into Fuels, Chemicals, and Fertilizers","volume":"3","author":[{"family":"Martín","given":"Antonio José"},{"family":"Pérez-Ramírez","given":"Javier"}],"issued":{"date-parts":[["2019",11,20]]}}}],"schema":"https://github.com/citation-style-language/schema/raw/master/csl-citation.json"}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49</w:t>
      </w:r>
      <w:r>
        <w:rPr>
          <w:rFonts w:cstheme="minorHAnsi"/>
        </w:rPr>
        <w:fldChar w:fldCharType="end"/>
      </w:r>
      <w:r w:rsidRPr="00E15608">
        <w:rPr>
          <w:rFonts w:cstheme="minorHAnsi"/>
          <w:lang w:val="en-US"/>
        </w:rPr>
        <w:t>, may open the door to direct production of fertilizers at croplands. Such an innovative scheme could be replicated for other products such as ethanol obtained from CO</w:t>
      </w:r>
      <w:r w:rsidRPr="00E15608">
        <w:rPr>
          <w:rFonts w:cstheme="minorHAnsi"/>
          <w:vertAlign w:val="subscript"/>
          <w:lang w:val="en-US"/>
        </w:rPr>
        <w:t>2</w:t>
      </w:r>
      <w:r w:rsidRPr="00E15608">
        <w:rPr>
          <w:rFonts w:cstheme="minorHAnsi"/>
          <w:lang w:val="en-US"/>
        </w:rPr>
        <w:t xml:space="preserve"> and might contribute to optimize the future model of the chemical industry. </w:t>
      </w:r>
    </w:p>
    <w:p w14:paraId="3B835F48" w14:textId="77777777" w:rsidR="00E15608" w:rsidRPr="00E15608" w:rsidRDefault="00E15608" w:rsidP="00577897">
      <w:pPr>
        <w:jc w:val="both"/>
        <w:rPr>
          <w:rFonts w:cstheme="minorHAnsi"/>
          <w:lang w:val="en-US"/>
        </w:rPr>
      </w:pPr>
      <w:r w:rsidRPr="00E15608">
        <w:rPr>
          <w:rFonts w:cstheme="minorHAnsi"/>
          <w:lang w:val="en-US"/>
        </w:rPr>
        <w:lastRenderedPageBreak/>
        <w:t>Overall, our findings suggest that rising energy prices in Europe can make green ammonia and methanol production routes cost-competitive, thereby overcoming the primary barrier to their implementation. The current scenario represents a unique opportunity for the European chemical industry to start shifting to renewable feedstocks to reduce costs and GHG emissions simultaneously. Such a transition would also benefit European economies by establishing an adequate supply of essential commodities (</w:t>
      </w:r>
      <w:r w:rsidRPr="00E15608">
        <w:rPr>
          <w:rFonts w:cstheme="minorHAnsi"/>
          <w:i/>
          <w:iCs/>
          <w:lang w:val="en-US"/>
        </w:rPr>
        <w:t>i.e.</w:t>
      </w:r>
      <w:r w:rsidRPr="00E15608">
        <w:rPr>
          <w:rFonts w:cstheme="minorHAnsi"/>
          <w:lang w:val="en-US"/>
        </w:rPr>
        <w:t>, ammonia) and supporting the energy transition (</w:t>
      </w:r>
      <w:r w:rsidRPr="00E15608">
        <w:rPr>
          <w:rFonts w:cstheme="minorHAnsi"/>
          <w:i/>
          <w:iCs/>
          <w:lang w:val="en-US"/>
        </w:rPr>
        <w:t>i.e.</w:t>
      </w:r>
      <w:r w:rsidRPr="00E15608">
        <w:rPr>
          <w:rFonts w:cstheme="minorHAnsi"/>
          <w:lang w:val="en-US"/>
        </w:rPr>
        <w:t xml:space="preserve">, methanol). </w:t>
      </w:r>
      <w:r w:rsidRPr="00E15608">
        <w:rPr>
          <w:lang w:val="en-US"/>
        </w:rPr>
        <w:t>Moreover, by locally producing renewable feedstocks (</w:t>
      </w:r>
      <w:r w:rsidRPr="00E15608">
        <w:rPr>
          <w:rStyle w:val="Emphasis"/>
          <w:color w:val="0E101A"/>
          <w:lang w:val="en-US"/>
        </w:rPr>
        <w:t>i.e.</w:t>
      </w:r>
      <w:r w:rsidRPr="00E15608">
        <w:rPr>
          <w:lang w:val="en-US"/>
        </w:rPr>
        <w:t>, hydrogen and captured CO</w:t>
      </w:r>
      <w:r w:rsidRPr="00E15608">
        <w:rPr>
          <w:vertAlign w:val="subscript"/>
          <w:lang w:val="en-US"/>
        </w:rPr>
        <w:t>2</w:t>
      </w:r>
      <w:r w:rsidRPr="00E15608">
        <w:rPr>
          <w:lang w:val="en-US"/>
        </w:rPr>
        <w:t>), Europe would further reduce its dependence on imports and its vulnerability to market shocks.</w:t>
      </w:r>
      <w:r w:rsidRPr="00E15608">
        <w:rPr>
          <w:rFonts w:cstheme="minorHAnsi"/>
          <w:lang w:val="en-US"/>
        </w:rPr>
        <w:t xml:space="preserve"> However, the debate remains open concerning the potential future reliance of Europe on critical raw material imports to realize a complete transition towards renewable energy technologies</w:t>
      </w:r>
      <w:r>
        <w:rPr>
          <w:rFonts w:cstheme="minorHAnsi"/>
        </w:rPr>
        <w:fldChar w:fldCharType="begin"/>
      </w:r>
      <w:r w:rsidRPr="00E15608">
        <w:rPr>
          <w:rFonts w:cstheme="minorHAnsi"/>
          <w:lang w:val="en-US"/>
        </w:rPr>
        <w:instrText xml:space="preserve"> ADDIN ZOTERO_ITEM CSL_CITATION {"citationID":"enOLGjIM","properties":{"formattedCitation":"\\super 50\\nosupersub{}","plainCitation":"50","noteIndex":0},"citationItems":[{"id":23188,"uris":["http://zotero.org/users/9157291/items/B94W6S4W"],"itemData":{"id":23188,"type":"article-journal","container-title":"Science","DOI":"10.1126/science.aaz6003","issue":"6473","note":"publisher: American Association for the Advancement of Science","page":"30-33","source":"science.org (Atypon)","title":"Sustainable minerals and metals for a low-carbon future","volume":"367","author":[{"family":"Sovacool","given":"Benjamin K."},{"family":"Ali","given":"Saleem H."},{"family":"Bazilian","given":"Morgan"},{"family":"Radley","given":"Ben"},{"family":"Nemery","given":"Benoit"},{"family":"Okatz","given":"Julia"},{"family":"Mulvaney","given":"Dustin"}],"issued":{"date-parts":[["2020",1,3]]}}}],"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50</w:t>
      </w:r>
      <w:r>
        <w:rPr>
          <w:rFonts w:cstheme="minorHAnsi"/>
        </w:rPr>
        <w:fldChar w:fldCharType="end"/>
      </w:r>
      <w:r w:rsidRPr="00E15608">
        <w:rPr>
          <w:rFonts w:cstheme="minorHAnsi"/>
          <w:lang w:val="en-US"/>
        </w:rPr>
        <w:t xml:space="preserve">. </w:t>
      </w:r>
    </w:p>
    <w:p w14:paraId="39EB2F3D" w14:textId="77777777" w:rsidR="00E15608" w:rsidRPr="002D4245" w:rsidRDefault="00E15608" w:rsidP="00577897">
      <w:pPr>
        <w:pStyle w:val="Heading2"/>
        <w:jc w:val="both"/>
      </w:pPr>
      <w:commentRangeStart w:id="13"/>
      <w:r>
        <w:t>Methods</w:t>
      </w:r>
      <w:commentRangeEnd w:id="13"/>
      <w:r>
        <w:rPr>
          <w:rStyle w:val="CommentReference"/>
          <w:rFonts w:eastAsiaTheme="minorHAnsi" w:cstheme="minorBidi"/>
          <w:b w:val="0"/>
          <w:u w:val="none"/>
        </w:rPr>
        <w:commentReference w:id="13"/>
      </w:r>
    </w:p>
    <w:p w14:paraId="0E800816" w14:textId="7BE79E2E" w:rsidR="00E15608" w:rsidRPr="00E15608" w:rsidRDefault="00E15608" w:rsidP="00577897">
      <w:pPr>
        <w:autoSpaceDE w:val="0"/>
        <w:autoSpaceDN w:val="0"/>
        <w:adjustRightInd w:val="0"/>
        <w:spacing w:line="240" w:lineRule="auto"/>
        <w:jc w:val="both"/>
        <w:rPr>
          <w:rFonts w:cstheme="minorHAnsi"/>
          <w:lang w:val="en-US"/>
        </w:rPr>
      </w:pPr>
      <w:r w:rsidRPr="00E15608">
        <w:rPr>
          <w:rFonts w:cstheme="minorHAnsi"/>
          <w:b/>
          <w:bCs/>
          <w:lang w:val="en-US"/>
        </w:rPr>
        <w:t xml:space="preserve">Ammonia production routes. </w:t>
      </w:r>
      <w:r w:rsidRPr="00E15608">
        <w:rPr>
          <w:rFonts w:cstheme="minorHAnsi"/>
          <w:lang w:val="en-US"/>
        </w:rPr>
        <w:t xml:space="preserve">The fossil and green ammonia routes are based on D’Angelo </w:t>
      </w:r>
      <w:r w:rsidRPr="00E15608">
        <w:rPr>
          <w:rFonts w:cstheme="minorHAnsi"/>
          <w:i/>
          <w:lang w:val="en-US"/>
        </w:rPr>
        <w:t>et al.</w:t>
      </w:r>
      <w:r>
        <w:rPr>
          <w:rFonts w:cstheme="minorHAnsi"/>
          <w:i/>
        </w:rPr>
        <w:fldChar w:fldCharType="begin"/>
      </w:r>
      <w:r w:rsidRPr="00E15608">
        <w:rPr>
          <w:rFonts w:cstheme="minorHAnsi"/>
          <w:i/>
          <w:lang w:val="en-US"/>
        </w:rPr>
        <w:instrText xml:space="preserve"> ADDIN ZOTERO_ITEM CSL_CITATION {"citationID":"jw3WHYLI","properties":{"formattedCitation":"\\super 11\\nosupersub{}","plainCitation":"11","noteIndex":0},"citationItems":[{"id":3860,"uris":["http://zotero.org/users/9157291/items/AFKW7KRC"],"itemData":{"id":3860,"type":"article-journal","abstract":"At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w:instrText>
      </w:r>
      <w:r>
        <w:rPr>
          <w:rFonts w:cstheme="minorHAnsi"/>
          <w:i/>
        </w:rPr>
        <w:instrText>ﬁ</w:instrText>
      </w:r>
      <w:r w:rsidRPr="00E15608">
        <w:rPr>
          <w:rFonts w:cstheme="minorHAnsi"/>
          <w:i/>
          <w:lang w:val="en-US"/>
        </w:rPr>
        <w:instrText>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w:instrText>
      </w:r>
      <w:r>
        <w:rPr>
          <w:rFonts w:cstheme="minorHAnsi"/>
          <w:i/>
        </w:rPr>
        <w:instrText>ﬁ</w:instrText>
      </w:r>
      <w:r w:rsidRPr="00E15608">
        <w:rPr>
          <w:rFonts w:cstheme="minorHAnsi"/>
          <w:i/>
          <w:lang w:val="en-US"/>
        </w:rPr>
        <w:instrText xml:space="preserve">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Pr>
          <w:rFonts w:cstheme="minorHAnsi"/>
          <w:i/>
        </w:rPr>
        <w:fldChar w:fldCharType="separate"/>
      </w:r>
      <w:r w:rsidRPr="00E15608">
        <w:rPr>
          <w:rFonts w:ascii="Calibri" w:hAnsi="Calibri" w:cs="Calibri"/>
          <w:szCs w:val="24"/>
          <w:vertAlign w:val="superscript"/>
          <w:lang w:val="en-US"/>
        </w:rPr>
        <w:t>11</w:t>
      </w:r>
      <w:r>
        <w:rPr>
          <w:rFonts w:cstheme="minorHAnsi"/>
          <w:i/>
        </w:rPr>
        <w:fldChar w:fldCharType="end"/>
      </w:r>
      <w:r w:rsidRPr="00E15608">
        <w:rPr>
          <w:rFonts w:cstheme="minorHAnsi"/>
          <w:lang w:val="en-US"/>
        </w:rPr>
        <w:t>.</w:t>
      </w:r>
      <w:r w:rsidRPr="00E15608">
        <w:rPr>
          <w:rFonts w:cstheme="minorHAnsi"/>
          <w:b/>
          <w:bCs/>
          <w:lang w:val="en-US"/>
        </w:rPr>
        <w:t xml:space="preserve"> </w:t>
      </w:r>
      <w:r w:rsidRPr="00E15608">
        <w:rPr>
          <w:rFonts w:cstheme="minorHAnsi"/>
          <w:lang w:val="en-US"/>
        </w:rPr>
        <w:t xml:space="preserve">For fossil ammonia, natural gas and water are mixed and heated to 858 </w:t>
      </w:r>
      <w:r>
        <w:rPr>
          <w:rFonts w:ascii="Calibri" w:hAnsi="Calibri" w:cs="Calibri"/>
          <w:sz w:val="24"/>
          <w:szCs w:val="24"/>
          <w:lang w:val="en-US"/>
        </w:rPr>
        <w:t>°</w:t>
      </w:r>
      <w:r w:rsidRPr="00E15608">
        <w:rPr>
          <w:rFonts w:cstheme="minorHAnsi"/>
          <w:lang w:val="en-US"/>
        </w:rPr>
        <w:t xml:space="preserve">C and fed to a SMR unit where natural gas is converted to carbon monoxide and hydrogen (syngas). The output from the SMR is then fed into an autothermal reformer (ATR) along with air (78% nitrogen, 21% oxygen, and 1% argon). The oxygen in the air reacts with the residual methane and increases the temperature to 1,200 </w:t>
      </w:r>
      <w:r>
        <w:rPr>
          <w:rFonts w:ascii="Calibri" w:hAnsi="Calibri" w:cs="Calibri"/>
          <w:sz w:val="24"/>
          <w:szCs w:val="24"/>
          <w:lang w:val="en-US"/>
        </w:rPr>
        <w:t>°</w:t>
      </w:r>
      <w:r w:rsidRPr="00E15608">
        <w:rPr>
          <w:rFonts w:cstheme="minorHAnsi"/>
          <w:lang w:val="en-US"/>
        </w:rPr>
        <w:t xml:space="preserve">C inside the ATR. The output from the ATR is cooled to 400 </w:t>
      </w:r>
      <w:r>
        <w:rPr>
          <w:rFonts w:ascii="Calibri" w:hAnsi="Calibri" w:cs="Calibri"/>
          <w:sz w:val="24"/>
          <w:szCs w:val="24"/>
          <w:lang w:val="en-US"/>
        </w:rPr>
        <w:t>°</w:t>
      </w:r>
      <w:r w:rsidRPr="00E15608">
        <w:rPr>
          <w:rFonts w:cstheme="minorHAnsi"/>
          <w:lang w:val="en-US"/>
        </w:rPr>
        <w:t>C and sent to a series of water</w:t>
      </w:r>
      <w:r w:rsidRPr="00E15608">
        <w:rPr>
          <w:rFonts w:cstheme="minorHAnsi"/>
          <w:lang w:val="en-US"/>
        </w:rPr>
        <w:noBreakHyphen/>
        <w:t>gas</w:t>
      </w:r>
      <w:r w:rsidRPr="00E15608">
        <w:rPr>
          <w:rFonts w:cstheme="minorHAnsi"/>
          <w:lang w:val="en-US"/>
        </w:rPr>
        <w:noBreakHyphen/>
        <w:t>shift (WGS) reactors to convert carbon monoxide to CO</w:t>
      </w:r>
      <w:r w:rsidRPr="00E15608">
        <w:rPr>
          <w:rFonts w:cstheme="minorHAnsi"/>
          <w:vertAlign w:val="subscript"/>
          <w:lang w:val="en-US"/>
        </w:rPr>
        <w:t>2</w:t>
      </w:r>
      <w:r w:rsidRPr="00E15608">
        <w:rPr>
          <w:rFonts w:cstheme="minorHAnsi"/>
          <w:lang w:val="en-US"/>
        </w:rPr>
        <w:t>. The first one operates at a high temperature (26</w:t>
      </w:r>
      <w:r w:rsidR="008100B6">
        <w:rPr>
          <w:rFonts w:cstheme="minorHAnsi"/>
          <w:lang w:val="en-US"/>
        </w:rPr>
        <w:t>0</w:t>
      </w:r>
      <w:r w:rsidRPr="00E15608">
        <w:rPr>
          <w:rFonts w:cstheme="minorHAnsi"/>
          <w:lang w:val="en-US"/>
        </w:rPr>
        <w:t> </w:t>
      </w:r>
      <w:r>
        <w:rPr>
          <w:rFonts w:ascii="Calibri" w:hAnsi="Calibri" w:cs="Calibri"/>
          <w:sz w:val="24"/>
          <w:szCs w:val="24"/>
          <w:lang w:val="en-US"/>
        </w:rPr>
        <w:t>°</w:t>
      </w:r>
      <w:r w:rsidRPr="00E15608">
        <w:rPr>
          <w:rFonts w:cstheme="minorHAnsi"/>
          <w:lang w:val="en-US"/>
        </w:rPr>
        <w:t xml:space="preserve">C), </w:t>
      </w:r>
      <w:r w:rsidRPr="00E15608">
        <w:rPr>
          <w:rFonts w:cstheme="minorHAnsi"/>
          <w:i/>
          <w:lang w:val="en-US"/>
        </w:rPr>
        <w:t>i.e.</w:t>
      </w:r>
      <w:r w:rsidRPr="00E15608">
        <w:rPr>
          <w:rFonts w:cstheme="minorHAnsi"/>
          <w:lang w:val="en-US"/>
        </w:rPr>
        <w:t>, high-temperature water</w:t>
      </w:r>
      <w:r w:rsidRPr="00E15608">
        <w:rPr>
          <w:rFonts w:cstheme="minorHAnsi"/>
          <w:lang w:val="en-US"/>
        </w:rPr>
        <w:noBreakHyphen/>
        <w:t>gas</w:t>
      </w:r>
      <w:r w:rsidRPr="00E15608">
        <w:rPr>
          <w:rFonts w:cstheme="minorHAnsi"/>
          <w:lang w:val="en-US"/>
        </w:rPr>
        <w:noBreakHyphen/>
        <w:t>shift (HTWGS) reactor. The output stream from the HTWGS is fed to a low-temperature water</w:t>
      </w:r>
      <w:r w:rsidRPr="00E15608">
        <w:rPr>
          <w:rFonts w:cstheme="minorHAnsi"/>
          <w:lang w:val="en-US"/>
        </w:rPr>
        <w:noBreakHyphen/>
        <w:t>gas</w:t>
      </w:r>
      <w:r w:rsidRPr="00E15608">
        <w:rPr>
          <w:rFonts w:cstheme="minorHAnsi"/>
          <w:lang w:val="en-US"/>
        </w:rPr>
        <w:noBreakHyphen/>
        <w:t xml:space="preserve">shift (LTWGS) reactor, which operates at 50 </w:t>
      </w:r>
      <w:r>
        <w:rPr>
          <w:rFonts w:ascii="Calibri" w:hAnsi="Calibri" w:cs="Calibri"/>
          <w:sz w:val="24"/>
          <w:szCs w:val="24"/>
          <w:lang w:val="en-US"/>
        </w:rPr>
        <w:t>°</w:t>
      </w:r>
      <w:r w:rsidRPr="00E15608">
        <w:rPr>
          <w:rFonts w:cstheme="minorHAnsi"/>
          <w:lang w:val="en-US"/>
        </w:rPr>
        <w:t>C. The output stream from the WGS reactors is rich in CO</w:t>
      </w:r>
      <w:r w:rsidRPr="00E15608">
        <w:rPr>
          <w:rFonts w:cstheme="minorHAnsi"/>
          <w:vertAlign w:val="subscript"/>
          <w:lang w:val="en-US"/>
        </w:rPr>
        <w:t>2</w:t>
      </w:r>
      <w:r w:rsidRPr="00E15608">
        <w:rPr>
          <w:rFonts w:cstheme="minorHAnsi"/>
          <w:lang w:val="en-US"/>
        </w:rPr>
        <w:t>, which needs to be removed. This is done in an absorption column using a lean solvent stream with a composition of 90% water and 10% monoethanolamine (MEA) where 99.7% of the input CO</w:t>
      </w:r>
      <w:r w:rsidRPr="00E15608">
        <w:rPr>
          <w:rFonts w:cstheme="minorHAnsi"/>
          <w:vertAlign w:val="subscript"/>
          <w:lang w:val="en-US"/>
        </w:rPr>
        <w:t xml:space="preserve">2 </w:t>
      </w:r>
      <w:r w:rsidRPr="00E15608">
        <w:rPr>
          <w:rFonts w:cstheme="minorHAnsi"/>
          <w:lang w:val="en-US"/>
        </w:rPr>
        <w:t>is absorbed and removed in the liquid stream. The residual carbon monoxide and CO</w:t>
      </w:r>
      <w:r w:rsidRPr="00E15608">
        <w:rPr>
          <w:rFonts w:cstheme="minorHAnsi"/>
          <w:vertAlign w:val="subscript"/>
          <w:lang w:val="en-US"/>
        </w:rPr>
        <w:t xml:space="preserve">2 </w:t>
      </w:r>
      <w:r w:rsidRPr="00E15608">
        <w:rPr>
          <w:rFonts w:cstheme="minorHAnsi"/>
          <w:lang w:val="en-US"/>
        </w:rPr>
        <w:t>are eliminated to avoid poisoning the catalyst in the Haber-Bosch process</w:t>
      </w:r>
      <w:r>
        <w:rPr>
          <w:rFonts w:cstheme="minorHAnsi"/>
        </w:rPr>
        <w:fldChar w:fldCharType="begin"/>
      </w:r>
      <w:r w:rsidRPr="00E15608">
        <w:rPr>
          <w:rFonts w:cstheme="minorHAnsi"/>
          <w:lang w:val="en-US"/>
        </w:rPr>
        <w:instrText xml:space="preserve"> ADDIN ZOTERO_ITEM CSL_CITATION {"citationID":"ClXMHYM5","properties":{"formattedCitation":"\\super 51\\nosupersub{}","plainCitation":"51","noteIndex":0},"citationItems":[{"id":30056,"uris":["http://zotero.org/users/9157291/items/PBSG2UJD"],"itemData":{"id":30056,"type":"chapter","abstract":"The article contains sections titled: 1. Introduction 2. Historical Development 3. Thermodynamic Data 4. Ammonia Synthesis Reaction 4.1. General Aspects 4.2. Catalyst Surface and Reaction Mechanism 4.3. Kinetics 5. Catalysts 5.1. Classical Iron Catalysts 5.1.1. Composition 5.1.2. Particle Size and Shape 5.1.3. Catalyst-Precursor Manufacture 5.1.4. Catalyst Reduction 5.1.5. Catalyst Poisons 5.2. Other Catalysts 5.2.1. General Aspects 5.2.2. Metals with Catalytic Potential 5.2.3. Commercial Ruthenium Catalysts 6. Process Steps of Ammonia Production 6.1. Synthesis Gas Production 6.1.1. Feedstock Pretreatment and Raw Gas Production 6.1.2. Carbon Monoxide Shift Conversion 6.1.3. Gas Purification 6.2. Compression 6.3. Ammonia Synthesis 6.3.1. Synthesis Loop Configurations 6.3.2. Formation of Ammonia in the Converter 6.3.3. Waste-Heat Utilization and Cooling 6.3.4. Ammonia Recovery from the Ammonia Synthesis Loop 6.3.5. Inert-Gas and Purge-Gas Management 6.3.6. Influence of Pressure and Other Variables of the Synthesis Loop 6.3.7. Example of an Industrial Synthesis Loop","container-title":"Ullmann's Encyclopedia of Industrial Chemistry","ISBN":"978-3-527-30673-2","language":"en","note":"ISSN: 1435-6007\n_eprint: https://onlinelibrary.wiley.com/doi/pdf/10.1002/14356007.o02_o11\nDOI: 10.1002/14356007.o02_o11","publisher":"John Wiley &amp; Sons, Ltd","source":"Wiley Online Library","title":"Ammonia - Production Processes","URL":"https://onlinelibrary.wiley.com/doi/abs/10.1002/14356007.o02_o11","author":[{"family":"Appl","given":"Max"}],"accessed":{"date-parts":[["2023",1,18]]},"issued":{"date-parts":[["2011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51</w:t>
      </w:r>
      <w:r>
        <w:rPr>
          <w:rFonts w:cstheme="minorHAnsi"/>
        </w:rPr>
        <w:fldChar w:fldCharType="end"/>
      </w:r>
      <w:r w:rsidRPr="00E15608">
        <w:rPr>
          <w:rFonts w:cstheme="minorHAnsi"/>
          <w:lang w:val="en-US"/>
        </w:rPr>
        <w:t>. Accordingly, a methanation unit converts the residual carbon oxides to methane. In the Haber-Bosch process, the CO</w:t>
      </w:r>
      <w:r w:rsidRPr="00E15608">
        <w:rPr>
          <w:rFonts w:cstheme="minorHAnsi"/>
          <w:vertAlign w:val="subscript"/>
          <w:lang w:val="en-US"/>
        </w:rPr>
        <w:t xml:space="preserve">2 </w:t>
      </w:r>
      <w:r w:rsidRPr="00E15608">
        <w:rPr>
          <w:rFonts w:cstheme="minorHAnsi"/>
          <w:lang w:val="en-US"/>
        </w:rPr>
        <w:t xml:space="preserve">and carbon monoxide free stream are then compressed to 196 bar,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electrolyzer with a stack lifetime of 60,000 hours is considered for producing green hydrogen </w:t>
      </w:r>
      <w:r w:rsidRPr="00E15608">
        <w:rPr>
          <w:rFonts w:cstheme="minorHAnsi"/>
          <w:i/>
          <w:iCs/>
          <w:lang w:val="en-US"/>
        </w:rPr>
        <w:t>via</w:t>
      </w:r>
      <w:r w:rsidRPr="00E15608">
        <w:rPr>
          <w:rFonts w:cstheme="minorHAnsi"/>
          <w:lang w:val="en-US"/>
        </w:rPr>
        <w:t xml:space="preserve"> water electrolysis. </w:t>
      </w:r>
    </w:p>
    <w:p w14:paraId="60C2EE0F" w14:textId="75755937" w:rsidR="00E15608" w:rsidRPr="00E15608" w:rsidRDefault="00E15608" w:rsidP="00577897">
      <w:pPr>
        <w:autoSpaceDE w:val="0"/>
        <w:autoSpaceDN w:val="0"/>
        <w:adjustRightInd w:val="0"/>
        <w:spacing w:after="0" w:line="240" w:lineRule="auto"/>
        <w:jc w:val="both"/>
        <w:rPr>
          <w:rFonts w:cstheme="minorHAnsi"/>
          <w:lang w:val="en-US"/>
        </w:rPr>
      </w:pPr>
      <w:r w:rsidRPr="00E15608">
        <w:rPr>
          <w:rFonts w:cstheme="minorHAnsi"/>
          <w:b/>
          <w:bCs/>
          <w:lang w:val="en-US"/>
        </w:rPr>
        <w:t xml:space="preserve">Methanol production routes. </w:t>
      </w:r>
      <w:r w:rsidRPr="00E15608">
        <w:rPr>
          <w:rFonts w:cstheme="minorHAnsi"/>
          <w:lang w:val="en-US"/>
        </w:rPr>
        <w:t xml:space="preserve">The fossil and green production routes for methanol are based on González-Garay </w:t>
      </w:r>
      <w:r w:rsidRPr="00E15608">
        <w:rPr>
          <w:rFonts w:cstheme="minorHAnsi"/>
          <w:i/>
          <w:lang w:val="en-US"/>
        </w:rPr>
        <w:t>et al.</w:t>
      </w:r>
      <w:r w:rsidRPr="000666BB">
        <w:rPr>
          <w:rFonts w:cstheme="minorHAnsi"/>
          <w:i/>
        </w:rPr>
        <w:fldChar w:fldCharType="begin"/>
      </w:r>
      <w:r w:rsidRPr="00E15608">
        <w:rPr>
          <w:rFonts w:cstheme="minorHAnsi"/>
          <w:i/>
          <w:lang w:val="en-US"/>
        </w:rPr>
        <w:instrText xml:space="preserve"> ADDIN ZOTERO_ITEM CSL_CITATION {"citationID":"CJuxdWDb","properties":{"formattedCitation":"\\super 12\\nosupersub{}","plainCitation":"12","noteIndex":0},"citationItems":[{"id":272,"uris":["http://zotero.org/users/9157291/items/GTFADUPK"],"itemData":{"id":272,"type":"article-journal","abstract":"The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0666BB">
        <w:rPr>
          <w:rFonts w:cstheme="minorHAnsi"/>
          <w:i/>
        </w:rPr>
        <w:fldChar w:fldCharType="separate"/>
      </w:r>
      <w:r w:rsidRPr="00E15608">
        <w:rPr>
          <w:rFonts w:ascii="Calibri" w:hAnsi="Calibri" w:cs="Calibri"/>
          <w:szCs w:val="24"/>
          <w:vertAlign w:val="superscript"/>
          <w:lang w:val="en-US"/>
        </w:rPr>
        <w:t>12</w:t>
      </w:r>
      <w:r w:rsidRPr="000666BB">
        <w:rPr>
          <w:rFonts w:cstheme="minorHAnsi"/>
          <w:i/>
        </w:rPr>
        <w:fldChar w:fldCharType="end"/>
      </w:r>
      <w:r w:rsidRPr="00E15608">
        <w:rPr>
          <w:rFonts w:cstheme="minorHAnsi"/>
          <w:lang w:val="en-US"/>
        </w:rPr>
        <w:t xml:space="preserve">. Fossil methanol is produced from syngas from natural gas </w:t>
      </w:r>
      <w:r w:rsidRPr="00E15608">
        <w:rPr>
          <w:rFonts w:cstheme="minorHAnsi"/>
          <w:i/>
          <w:iCs/>
          <w:lang w:val="en-US"/>
        </w:rPr>
        <w:t>via</w:t>
      </w:r>
      <w:r w:rsidRPr="00E15608">
        <w:rPr>
          <w:rFonts w:cstheme="minorHAnsi"/>
          <w:lang w:val="en-US"/>
        </w:rPr>
        <w:t xml:space="preserve"> SMR. Syngas is then compressed to 110 bar, mixed with the recycle streams and then heated to 150 </w:t>
      </w:r>
      <w:r>
        <w:rPr>
          <w:rFonts w:ascii="Calibri" w:hAnsi="Calibri" w:cs="Calibri"/>
          <w:sz w:val="24"/>
          <w:szCs w:val="24"/>
          <w:lang w:val="en-US"/>
        </w:rPr>
        <w:t>°</w:t>
      </w:r>
      <w:r w:rsidRPr="00E15608">
        <w:rPr>
          <w:rFonts w:cstheme="minorHAnsi"/>
          <w:lang w:val="en-US"/>
        </w:rPr>
        <w:t>C before being fed to a plug-flow reactor where syngas is converted to methanol following the kinetic model in Bussche and Froment</w:t>
      </w:r>
      <w:r>
        <w:rPr>
          <w:rFonts w:cstheme="minorHAnsi"/>
        </w:rPr>
        <w:fldChar w:fldCharType="begin"/>
      </w:r>
      <w:r w:rsidRPr="00E15608">
        <w:rPr>
          <w:rFonts w:cstheme="minorHAnsi"/>
          <w:lang w:val="en-US"/>
        </w:rPr>
        <w:instrText xml:space="preserve"> ADDIN ZOTERO_ITEM CSL_CITATION {"citationID":"fh0TZc9f","properties":{"formattedCitation":"\\super 52\\nosupersub{}","plainCitation":"52","noteIndex":0},"citationItems":[{"id":30058,"uris":["http://zotero.org/users/9157291/items/HTPTDDNY"],"itemData":{"id":30058,"type":"article-journal","abstract":"A detailed reaction network, derived from literature data and our own experimental work, is used as a basis for the development of a steady-state kinetic model for methanol synthesis and the water gas shift reaction on a commercial Cu/ZnO/Al2O3catalyst. Experimental data, obtained in a bench scale setup, operating between 180 and 280°C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ofpCOandpCO2are briefly illustrated.","container-title":"Journal of Catalysis","DOI":"10.1006/jcat.1996.0156","ISSN":"0021-9517","issue":"1","journalAbbreviation":"Journal of Catalysis","language":"en","page":"1-10","source":"ScienceDirect","title":"A Steady-State Kinetic Model for Methanol Synthesis and the Water Gas Shift Reaction on a Commercial Cu/ZnO/Al2O3Catalyst","volume":"161","author":[{"family":"Bussche","given":"K. M. Vanden"},{"family":"Froment","given":"G. F."}],"issued":{"date-parts":[["1996",6,1]]}}}],"schema":"https://github.com/citation-style-language/schema/raw/master/csl-citation.json"}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52</w:t>
      </w:r>
      <w:r>
        <w:rPr>
          <w:rFonts w:cstheme="minorHAnsi"/>
        </w:rPr>
        <w:fldChar w:fldCharType="end"/>
      </w:r>
      <w:r w:rsidRPr="00E15608">
        <w:rPr>
          <w:rFonts w:cstheme="minorHAnsi"/>
          <w:lang w:val="en-US"/>
        </w:rPr>
        <w:t xml:space="preserve">. The output stream from the reactor is cooled to 38 </w:t>
      </w:r>
      <w:r>
        <w:rPr>
          <w:rFonts w:ascii="Calibri" w:hAnsi="Calibri" w:cs="Calibri"/>
          <w:sz w:val="24"/>
          <w:szCs w:val="24"/>
          <w:lang w:val="en-US"/>
        </w:rPr>
        <w:t>°</w:t>
      </w:r>
      <w:r w:rsidRPr="00E15608">
        <w:rPr>
          <w:rFonts w:cstheme="minorHAnsi"/>
          <w:lang w:val="en-US"/>
        </w:rPr>
        <w: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t>
      </w:r>
      <w:r w:rsidRPr="00E15608">
        <w:rPr>
          <w:rFonts w:cstheme="minorHAnsi"/>
          <w:vertAlign w:val="subscript"/>
          <w:lang w:val="en-US"/>
        </w:rPr>
        <w:t xml:space="preserve">2 </w:t>
      </w:r>
      <w:r w:rsidRPr="00E15608">
        <w:rPr>
          <w:rFonts w:cstheme="minorHAnsi"/>
          <w:lang w:val="en-US"/>
        </w:rPr>
        <w:t xml:space="preserve">from DAC and hydrogen is mixed with the recycle streams, compressed to 50 bar, and heated to 180-280 </w:t>
      </w:r>
      <w:r>
        <w:rPr>
          <w:rFonts w:ascii="Calibri" w:hAnsi="Calibri" w:cs="Calibri"/>
          <w:sz w:val="24"/>
          <w:szCs w:val="24"/>
          <w:lang w:val="en-US"/>
        </w:rPr>
        <w:t>°</w:t>
      </w:r>
      <w:r w:rsidRPr="00E15608">
        <w:rPr>
          <w:rFonts w:cstheme="minorHAnsi"/>
          <w:lang w:val="en-US"/>
        </w:rPr>
        <w:t>C. This stream is then sent to a reactor where, the reverse water-gas-shift (RWGS) reaction takes place, converting CO</w:t>
      </w:r>
      <w:r w:rsidRPr="00E15608">
        <w:rPr>
          <w:rFonts w:cstheme="minorHAnsi"/>
          <w:vertAlign w:val="subscript"/>
          <w:lang w:val="en-US"/>
        </w:rPr>
        <w:t xml:space="preserve">2 </w:t>
      </w:r>
      <w:r w:rsidRPr="00E15608">
        <w:rPr>
          <w:rFonts w:cstheme="minorHAnsi"/>
          <w:lang w:val="en-US"/>
        </w:rPr>
        <w:t xml:space="preserve">to carbon monoxide, which is consequently hydrogenated to methanol. Similar to fossil methanol, the outlet from the reactor </w:t>
      </w:r>
      <w:bookmarkStart w:id="14" w:name="_GoBack"/>
      <w:bookmarkEnd w:id="14"/>
      <w:r w:rsidRPr="00E15608">
        <w:rPr>
          <w:rFonts w:cstheme="minorHAnsi"/>
          <w:lang w:val="en-US"/>
        </w:rPr>
        <w:t>is sent to a series of two flash separators where the gas stream from the first flash is recycled (with a purge). The liquid stream from the second flash unit is sent to a distillation column which recovers methanol at a purity of 99.9%. The CO</w:t>
      </w:r>
      <w:r w:rsidRPr="00E15608">
        <w:rPr>
          <w:rFonts w:cstheme="minorHAnsi"/>
          <w:vertAlign w:val="subscript"/>
          <w:lang w:val="en-US"/>
        </w:rPr>
        <w:t xml:space="preserve">2 </w:t>
      </w:r>
      <w:r w:rsidRPr="00E15608">
        <w:rPr>
          <w:rFonts w:cstheme="minorHAnsi"/>
          <w:lang w:val="en-US"/>
        </w:rPr>
        <w:t xml:space="preserve">fed to the reactor is obtained </w:t>
      </w:r>
      <w:r w:rsidRPr="00E15608">
        <w:rPr>
          <w:rFonts w:cstheme="minorHAnsi"/>
          <w:i/>
          <w:lang w:val="en-US"/>
        </w:rPr>
        <w:t>via</w:t>
      </w:r>
      <w:r w:rsidRPr="00E15608">
        <w:rPr>
          <w:rFonts w:cstheme="minorHAnsi"/>
          <w:lang w:val="en-US"/>
        </w:rPr>
        <w:t xml:space="preserve"> the DAC technology adapted from the work by Keith </w:t>
      </w:r>
      <w:r w:rsidRPr="00E15608">
        <w:rPr>
          <w:rFonts w:cstheme="minorHAnsi"/>
          <w:i/>
          <w:lang w:val="en-US"/>
        </w:rPr>
        <w:t>et al.</w:t>
      </w:r>
      <w:r>
        <w:rPr>
          <w:rFonts w:cstheme="minorHAnsi"/>
        </w:rPr>
        <w:fldChar w:fldCharType="begin"/>
      </w:r>
      <w:r w:rsidRPr="00E15608">
        <w:rPr>
          <w:rFonts w:cstheme="minorHAnsi"/>
          <w:lang w:val="en-US"/>
        </w:rPr>
        <w:instrText xml:space="preserve"> ADDIN ZOTERO_ITEM CSL_CITATION {"citationID":"q0MD0WWg","properties":{"formattedCitation":"\\super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Pr="00E15608">
        <w:rPr>
          <w:rFonts w:ascii="Cambria Math" w:hAnsi="Cambria Math" w:cs="Cambria Math"/>
          <w:lang w:val="en-US"/>
        </w:rPr>
        <w:instrText>∼</w:instrText>
      </w:r>
      <w:r w:rsidRPr="00E15608">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 Here, aqueous potassium hydroxide (KOH) is used as a sorbent and a caustic calcium cycle is implemented for the regeneration of KOH. However, energy from natural gas is required for the calciner in the recovery cycle. Around 0.1 t of natural gas is required per t of CO</w:t>
      </w:r>
      <w:r w:rsidRPr="00E15608">
        <w:rPr>
          <w:rFonts w:cstheme="minorHAnsi"/>
          <w:vertAlign w:val="subscript"/>
          <w:lang w:val="en-US"/>
        </w:rPr>
        <w:t xml:space="preserve">2 </w:t>
      </w:r>
      <w:r w:rsidRPr="00E15608">
        <w:rPr>
          <w:rFonts w:cstheme="minorHAnsi"/>
          <w:lang w:val="en-US"/>
        </w:rPr>
        <w:t>captured</w:t>
      </w:r>
      <w:r>
        <w:rPr>
          <w:rFonts w:cstheme="minorHAnsi"/>
        </w:rPr>
        <w:fldChar w:fldCharType="begin"/>
      </w:r>
      <w:r w:rsidRPr="00E15608">
        <w:rPr>
          <w:rFonts w:cstheme="minorHAnsi"/>
          <w:lang w:val="en-US"/>
        </w:rPr>
        <w:instrText xml:space="preserve"> ADDIN ZOTERO_ITEM CSL_CITATION {"citationID":"I0djXns0","properties":{"formattedCitation":"\\super 34\\nosupersub{}","plainCitation":"34","noteIndex":0},"citationItems":[{"id":9964,"uris":["http://zotero.org/users/9157291/items/SHKUDHUW"],"itemData":{"id":9964,"type":"article-journal","abstract":"We describe a process for capturing CO2 from the atmosphere in an industrial plant. The design captures </w:instrText>
      </w:r>
      <w:r w:rsidRPr="00E15608">
        <w:rPr>
          <w:rFonts w:ascii="Cambria Math" w:hAnsi="Cambria Math" w:cs="Cambria Math"/>
          <w:lang w:val="en-US"/>
        </w:rPr>
        <w:instrText>∼</w:instrText>
      </w:r>
      <w:r w:rsidRPr="00E15608">
        <w:rPr>
          <w:rFonts w:cstheme="minorHAnsi"/>
          <w:lang w:val="en-US"/>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Pr>
          <w:rFonts w:cstheme="minorHAnsi"/>
        </w:rPr>
        <w:fldChar w:fldCharType="separate"/>
      </w:r>
      <w:r w:rsidRPr="00E15608">
        <w:rPr>
          <w:rFonts w:ascii="Calibri" w:hAnsi="Calibri" w:cs="Calibri"/>
          <w:szCs w:val="24"/>
          <w:vertAlign w:val="superscript"/>
          <w:lang w:val="en-US"/>
        </w:rPr>
        <w:t>34</w:t>
      </w:r>
      <w:r>
        <w:rPr>
          <w:rFonts w:cstheme="minorHAnsi"/>
        </w:rPr>
        <w:fldChar w:fldCharType="end"/>
      </w:r>
      <w:r w:rsidRPr="00E15608">
        <w:rPr>
          <w:rFonts w:cstheme="minorHAnsi"/>
          <w:lang w:val="en-US"/>
        </w:rPr>
        <w:t>.</w:t>
      </w:r>
    </w:p>
    <w:p w14:paraId="3133ACE3" w14:textId="77777777" w:rsidR="00E15608" w:rsidRPr="00E15608" w:rsidRDefault="00E15608" w:rsidP="00577897">
      <w:pPr>
        <w:autoSpaceDE w:val="0"/>
        <w:autoSpaceDN w:val="0"/>
        <w:adjustRightInd w:val="0"/>
        <w:spacing w:after="0" w:line="240" w:lineRule="auto"/>
        <w:jc w:val="both"/>
        <w:rPr>
          <w:rFonts w:ascii="MS Shell Dlg 2" w:hAnsi="MS Shell Dlg 2" w:cs="MS Shell Dlg 2"/>
          <w:sz w:val="16"/>
          <w:szCs w:val="16"/>
          <w:lang w:val="en-US"/>
        </w:rPr>
      </w:pPr>
    </w:p>
    <w:p w14:paraId="267C4879" w14:textId="0FB43314" w:rsidR="00E15608" w:rsidRPr="00E15608" w:rsidRDefault="00E15608" w:rsidP="00577897">
      <w:pPr>
        <w:jc w:val="both"/>
        <w:rPr>
          <w:rFonts w:cstheme="minorHAnsi"/>
          <w:bCs/>
          <w:lang w:val="en-US"/>
        </w:rPr>
      </w:pPr>
      <w:r w:rsidRPr="00E15608">
        <w:rPr>
          <w:rFonts w:cstheme="minorHAnsi"/>
          <w:b/>
          <w:bCs/>
          <w:lang w:val="en-US"/>
        </w:rPr>
        <w:lastRenderedPageBreak/>
        <w:t xml:space="preserve">Economic assessment. </w:t>
      </w:r>
      <w:r w:rsidRPr="00E15608">
        <w:rPr>
          <w:rFonts w:cstheme="minorHAnsi"/>
          <w:bCs/>
          <w:lang w:val="en-US"/>
        </w:rPr>
        <w:t xml:space="preserve">The production costs of fossil and green ammonia and methanol routes were calculated from the operational and capital expenditures (OPEX and CAPEX) and fixed production costs. The OPEX accounts for feedstock and other raw materials and utilities. The CAPEX accounts for the equipment cost, and the fixed costs consider the </w:t>
      </w:r>
      <w:r w:rsidR="00FA0C55" w:rsidRPr="00E15608">
        <w:rPr>
          <w:rFonts w:cstheme="minorHAnsi"/>
          <w:bCs/>
          <w:lang w:val="en-US"/>
        </w:rPr>
        <w:t>labor</w:t>
      </w:r>
      <w:r w:rsidRPr="00E15608">
        <w:rPr>
          <w:rFonts w:cstheme="minorHAnsi"/>
          <w:bCs/>
          <w:lang w:val="en-US"/>
        </w:rPr>
        <w:t xml:space="preserve"> and maintenance costs in addition to overhead expenses and interest. The detailed procedure adapted for the economic assessment is described in detail i</w:t>
      </w:r>
      <w:r w:rsidRPr="00FA0C55">
        <w:rPr>
          <w:rFonts w:cstheme="minorHAnsi"/>
          <w:bCs/>
          <w:lang w:val="en-US"/>
        </w:rPr>
        <w:t>n</w:t>
      </w:r>
      <w:r w:rsidRPr="00FA0C55">
        <w:rPr>
          <w:rFonts w:cstheme="minorHAnsi"/>
          <w:lang w:val="en-US"/>
        </w:rPr>
        <w:t xml:space="preserve"> section </w:t>
      </w:r>
      <w:r w:rsidR="00FA0C55" w:rsidRPr="00FA0C55">
        <w:rPr>
          <w:rFonts w:cstheme="minorHAnsi"/>
          <w:lang w:val="en-US"/>
        </w:rPr>
        <w:t>1 of the ESI</w:t>
      </w:r>
      <w:r w:rsidRPr="00E15608">
        <w:rPr>
          <w:rFonts w:cstheme="minorHAnsi"/>
          <w:lang w:val="en-US"/>
        </w:rPr>
        <w:t>.</w:t>
      </w:r>
    </w:p>
    <w:p w14:paraId="08F512CB" w14:textId="77777777" w:rsidR="00E15608" w:rsidRPr="00E15608" w:rsidRDefault="00E15608" w:rsidP="00577897">
      <w:pPr>
        <w:jc w:val="both"/>
        <w:rPr>
          <w:rFonts w:cstheme="minorHAnsi"/>
          <w:lang w:val="en-US"/>
        </w:rPr>
      </w:pPr>
      <w:r>
        <w:rPr>
          <w:b/>
          <w:lang w:val="en-US"/>
        </w:rPr>
        <w:t>A</w:t>
      </w:r>
      <w:r w:rsidRPr="005E073F">
        <w:rPr>
          <w:b/>
          <w:lang w:val="en-US"/>
        </w:rPr>
        <w:t>voidance costs</w:t>
      </w:r>
      <w:r>
        <w:rPr>
          <w:lang w:val="en-US"/>
        </w:rPr>
        <w:t xml:space="preserve">. </w:t>
      </w:r>
      <w:r w:rsidRPr="00E15608">
        <w:rPr>
          <w:rFonts w:cstheme="minorHAnsi"/>
          <w:lang w:val="en-US"/>
        </w:rPr>
        <w:t>The avoidance cost for each green chemical in as follows:</w:t>
      </w:r>
    </w:p>
    <w:p w14:paraId="3CDE9824" w14:textId="77777777" w:rsidR="00E15608" w:rsidRPr="00E15608" w:rsidRDefault="00E15608" w:rsidP="00577897">
      <w:pPr>
        <w:jc w:val="both"/>
        <w:rPr>
          <w:rFonts w:eastAsiaTheme="minorEastAsia" w:cstheme="minorHAnsi"/>
          <w:i/>
          <w:lang w:val="en-US"/>
        </w:rPr>
      </w:pPr>
      <m:oMathPara>
        <m:oMathParaPr>
          <m:jc m:val="center"/>
        </m:oMathParaPr>
        <m:oMath>
          <m:r>
            <m:rPr>
              <m:nor/>
            </m:rPr>
            <w:rPr>
              <w:rFonts w:ascii="Cambria Math" w:hAnsi="Cambria Math" w:cstheme="minorHAnsi"/>
              <w:i/>
              <w:lang w:val="en-US"/>
            </w:rPr>
            <m:t>AC</m:t>
          </m:r>
          <m:r>
            <m:rPr>
              <m:nor/>
            </m:rPr>
            <w:rPr>
              <w:rFonts w:cstheme="minorHAnsi"/>
              <w:lang w:val="en-US"/>
            </w:rPr>
            <m:t xml:space="preserve"> </m:t>
          </m:r>
          <m:r>
            <m:rPr>
              <m:nor/>
            </m:rPr>
            <w:rPr>
              <w:rFonts w:ascii="Cambria Math" w:cstheme="minorHAnsi"/>
              <w:lang w:val="en-US"/>
            </w:rPr>
            <m:t xml:space="preserve"> </m:t>
          </m:r>
          <m:r>
            <m:rPr>
              <m:nor/>
            </m:rPr>
            <w:rPr>
              <w:rFonts w:cstheme="minorHAnsi"/>
              <w:lang w:val="en-US"/>
            </w:rPr>
            <m:t xml:space="preserve">= </m:t>
          </m:r>
          <m:f>
            <m:fPr>
              <m:ctrlPr>
                <w:rPr>
                  <w:rFonts w:ascii="Cambria Math" w:hAnsi="Cambria Math" w:cstheme="minorHAnsi"/>
                </w:rPr>
              </m:ctrlPr>
            </m:fPr>
            <m:num>
              <m:sSub>
                <m:sSubPr>
                  <m:ctrlPr>
                    <w:rPr>
                      <w:rFonts w:ascii="Cambria Math" w:hAnsi="Cambria Math" w:cstheme="minorHAnsi"/>
                    </w:rPr>
                  </m:ctrlPr>
                </m:sSubPr>
                <m:e>
                  <m:r>
                    <m:rPr>
                      <m:nor/>
                    </m:rPr>
                    <w:rPr>
                      <w:rFonts w:cstheme="minorHAnsi"/>
                      <w:lang w:val="en-US"/>
                    </w:rPr>
                    <m:t>PC</m:t>
                  </m:r>
                </m:e>
                <m:sub>
                  <m:r>
                    <m:rPr>
                      <m:nor/>
                    </m:rPr>
                    <w:rPr>
                      <w:rFonts w:cstheme="minorHAnsi"/>
                      <w:lang w:val="en-US"/>
                    </w:rPr>
                    <m:t>Green</m:t>
                  </m:r>
                </m:sub>
              </m:sSub>
              <m:r>
                <m:rPr>
                  <m:nor/>
                </m:rPr>
                <w:rPr>
                  <w:rFonts w:cstheme="minorHAnsi"/>
                  <w:lang w:val="en-US"/>
                </w:rPr>
                <m:t xml:space="preserve"> - </m:t>
              </m:r>
              <m:sSub>
                <m:sSubPr>
                  <m:ctrlPr>
                    <w:rPr>
                      <w:rFonts w:ascii="Cambria Math" w:hAnsi="Cambria Math" w:cstheme="minorHAnsi"/>
                    </w:rPr>
                  </m:ctrlPr>
                </m:sSubPr>
                <m:e>
                  <m:r>
                    <m:rPr>
                      <m:nor/>
                    </m:rPr>
                    <w:rPr>
                      <w:rFonts w:cstheme="minorHAnsi"/>
                      <w:lang w:val="en-US"/>
                    </w:rPr>
                    <m:t>PC</m:t>
                  </m:r>
                </m:e>
                <m:sub>
                  <m:r>
                    <m:rPr>
                      <m:nor/>
                    </m:rPr>
                    <w:rPr>
                      <w:rFonts w:cstheme="minorHAnsi"/>
                      <w:lang w:val="en-US"/>
                    </w:rPr>
                    <m:t>Fossil</m:t>
                  </m:r>
                </m:sub>
              </m:sSub>
            </m:num>
            <m:den>
              <m:sSub>
                <m:sSubPr>
                  <m:ctrlPr>
                    <w:rPr>
                      <w:rFonts w:ascii="Cambria Math" w:hAnsi="Cambria Math" w:cstheme="minorHAnsi"/>
                    </w:rPr>
                  </m:ctrlPr>
                </m:sSubPr>
                <m:e>
                  <m:r>
                    <m:rPr>
                      <m:nor/>
                    </m:rPr>
                    <w:rPr>
                      <w:rFonts w:cstheme="minorHAnsi"/>
                      <w:lang w:val="en-US"/>
                    </w:rPr>
                    <m:t>CF</m:t>
                  </m:r>
                </m:e>
                <m:sub>
                  <m:r>
                    <m:rPr>
                      <m:nor/>
                    </m:rPr>
                    <w:rPr>
                      <w:rFonts w:cstheme="minorHAnsi"/>
                      <w:lang w:val="en-US"/>
                    </w:rPr>
                    <m:t>Fossil</m:t>
                  </m:r>
                </m:sub>
              </m:sSub>
              <m:r>
                <m:rPr>
                  <m:nor/>
                </m:rPr>
                <w:rPr>
                  <w:rFonts w:cstheme="minorHAnsi"/>
                  <w:lang w:val="en-US"/>
                </w:rPr>
                <m:t xml:space="preserve"> - </m:t>
              </m:r>
              <m:sSub>
                <m:sSubPr>
                  <m:ctrlPr>
                    <w:rPr>
                      <w:rFonts w:ascii="Cambria Math" w:hAnsi="Cambria Math" w:cstheme="minorHAnsi"/>
                    </w:rPr>
                  </m:ctrlPr>
                </m:sSubPr>
                <m:e>
                  <m:r>
                    <m:rPr>
                      <m:nor/>
                    </m:rPr>
                    <w:rPr>
                      <w:rFonts w:cstheme="minorHAnsi"/>
                      <w:lang w:val="en-US"/>
                    </w:rPr>
                    <m:t>CF</m:t>
                  </m:r>
                </m:e>
                <m:sub>
                  <m:r>
                    <m:rPr>
                      <m:nor/>
                    </m:rPr>
                    <w:rPr>
                      <w:rFonts w:cstheme="minorHAnsi"/>
                      <w:lang w:val="en-US"/>
                    </w:rPr>
                    <m:t>Green</m:t>
                  </m:r>
                </m:sub>
              </m:sSub>
            </m:den>
          </m:f>
          <m:r>
            <m:rPr>
              <m:nor/>
            </m:rPr>
            <w:rPr>
              <w:rFonts w:cstheme="minorHAnsi"/>
              <w:lang w:val="en-US"/>
            </w:rPr>
            <m:t xml:space="preserve">              (Equation 1)</m:t>
          </m:r>
        </m:oMath>
      </m:oMathPara>
    </w:p>
    <w:p w14:paraId="427F5EDE" w14:textId="77777777" w:rsidR="00E15608" w:rsidRPr="00E15608" w:rsidRDefault="00E15608" w:rsidP="00577897">
      <w:pPr>
        <w:jc w:val="both"/>
        <w:rPr>
          <w:rFonts w:eastAsiaTheme="minorEastAsia" w:cstheme="minorHAnsi"/>
          <w:iCs/>
          <w:lang w:val="en-US"/>
        </w:rPr>
      </w:pPr>
      <w:r w:rsidRPr="00E15608">
        <w:rPr>
          <w:rFonts w:eastAsiaTheme="minorEastAsia" w:cstheme="minorHAnsi"/>
          <w:iCs/>
          <w:lang w:val="en-US"/>
        </w:rPr>
        <w:t xml:space="preserve">where </w:t>
      </w:r>
      <m:oMath>
        <m:r>
          <m:rPr>
            <m:sty m:val="p"/>
          </m:rPr>
          <w:rPr>
            <w:rFonts w:ascii="Cambria Math" w:hAnsi="Cambria Math" w:cs="Calibri"/>
            <w:lang w:val="en-US"/>
          </w:rPr>
          <m:t>AC</m:t>
        </m:r>
      </m:oMath>
      <w:r w:rsidRPr="00E15608">
        <w:rPr>
          <w:rFonts w:eastAsiaTheme="minorEastAsia" w:cstheme="minorHAnsi"/>
          <w:iCs/>
          <w:lang w:val="en-US"/>
        </w:rPr>
        <w:t xml:space="preserve"> is the avoidance cost in </w:t>
      </w:r>
      <w:r w:rsidRPr="00E15608">
        <w:rPr>
          <w:rFonts w:cstheme="minorHAnsi"/>
          <w:lang w:val="en-US"/>
        </w:rPr>
        <w:t>USD t</w:t>
      </w:r>
      <w:r w:rsidRPr="00E15608">
        <w:rPr>
          <w:rFonts w:cstheme="minorHAnsi"/>
          <w:vertAlign w:val="superscript"/>
          <w:lang w:val="en-US"/>
        </w:rPr>
        <w:t xml:space="preserve">−1 </w:t>
      </w:r>
      <w:r w:rsidRPr="00E15608">
        <w:rPr>
          <w:rFonts w:cstheme="minorHAnsi"/>
          <w:lang w:val="en-US"/>
        </w:rPr>
        <w:t>CO</w:t>
      </w:r>
      <w:r w:rsidRPr="00E15608">
        <w:rPr>
          <w:rFonts w:cstheme="minorHAnsi"/>
          <w:sz w:val="16"/>
          <w:szCs w:val="16"/>
          <w:vertAlign w:val="subscript"/>
          <w:lang w:val="en-US"/>
        </w:rPr>
        <w:t>2</w:t>
      </w:r>
      <w:r w:rsidRPr="00E15608">
        <w:rPr>
          <w:rFonts w:cstheme="minorHAnsi"/>
          <w:lang w:val="en-US"/>
        </w:rPr>
        <w:t>-eq</w:t>
      </w:r>
      <w:r w:rsidRPr="00E15608">
        <w:rPr>
          <w:rFonts w:cstheme="minorHAnsi"/>
          <w:sz w:val="18"/>
          <w:szCs w:val="18"/>
          <w:lang w:val="en-US"/>
        </w:rPr>
        <w:t xml:space="preserve">, </w:t>
      </w:r>
      <m:oMath>
        <m:sSub>
          <m:sSubPr>
            <m:ctrlPr>
              <w:rPr>
                <w:rFonts w:ascii="Cambria Math" w:hAnsi="Cambria Math" w:cstheme="minorHAnsi"/>
              </w:rPr>
            </m:ctrlPr>
          </m:sSubPr>
          <m:e>
            <m:r>
              <m:rPr>
                <m:nor/>
              </m:rPr>
              <w:rPr>
                <w:rFonts w:cstheme="minorHAnsi"/>
                <w:lang w:val="en-US"/>
              </w:rPr>
              <m:t>PC</m:t>
            </m:r>
          </m:e>
          <m:sub>
            <m:r>
              <m:rPr>
                <m:nor/>
              </m:rPr>
              <w:rPr>
                <w:rFonts w:ascii="Cambria Math" w:cstheme="minorHAnsi"/>
                <w:lang w:val="en-US"/>
              </w:rPr>
              <m:t>Fossil/</m:t>
            </m:r>
            <m:r>
              <m:rPr>
                <m:nor/>
              </m:rPr>
              <w:rPr>
                <w:rFonts w:cstheme="minorHAnsi"/>
                <w:lang w:val="en-US"/>
              </w:rPr>
              <m:t>Green</m:t>
            </m:r>
          </m:sub>
        </m:sSub>
      </m:oMath>
      <w:r w:rsidRPr="00E15608">
        <w:rPr>
          <w:rFonts w:eastAsiaTheme="minorEastAsia" w:cstheme="minorHAnsi"/>
          <w:iCs/>
          <w:lang w:val="en-US"/>
        </w:rPr>
        <w:t>represents the production cost in USD t</w:t>
      </w:r>
      <w:r w:rsidRPr="00E15608">
        <w:rPr>
          <w:rFonts w:eastAsiaTheme="minorEastAsia" w:cstheme="minorHAnsi"/>
          <w:iCs/>
          <w:vertAlign w:val="superscript"/>
          <w:lang w:val="en-US"/>
        </w:rPr>
        <w:t xml:space="preserve">−1 </w:t>
      </w:r>
      <w:r w:rsidRPr="00E15608">
        <w:rPr>
          <w:rFonts w:eastAsiaTheme="minorEastAsia" w:cstheme="minorHAnsi"/>
          <w:iCs/>
          <w:lang w:val="en-US"/>
        </w:rPr>
        <w:t xml:space="preserve">for the fossil and green routes, and </w:t>
      </w:r>
      <m:oMath>
        <m:sSub>
          <m:sSubPr>
            <m:ctrlPr>
              <w:rPr>
                <w:rFonts w:ascii="Cambria Math" w:hAnsi="Cambria Math" w:cstheme="minorHAnsi"/>
              </w:rPr>
            </m:ctrlPr>
          </m:sSubPr>
          <m:e>
            <m:r>
              <m:rPr>
                <m:nor/>
              </m:rPr>
              <w:rPr>
                <w:rFonts w:cstheme="minorHAnsi"/>
                <w:lang w:val="en-US"/>
              </w:rPr>
              <m:t>CF</m:t>
            </m:r>
          </m:e>
          <m:sub>
            <m:r>
              <m:rPr>
                <m:nor/>
              </m:rPr>
              <w:rPr>
                <w:rFonts w:ascii="Cambria Math" w:cstheme="minorHAnsi"/>
                <w:lang w:val="en-US"/>
              </w:rPr>
              <m:t>Fossil/</m:t>
            </m:r>
            <m:r>
              <m:rPr>
                <m:nor/>
              </m:rPr>
              <w:rPr>
                <w:rFonts w:cstheme="minorHAnsi"/>
                <w:lang w:val="en-US"/>
              </w:rPr>
              <m:t>Green</m:t>
            </m:r>
          </m:sub>
        </m:sSub>
      </m:oMath>
      <w:r w:rsidRPr="00E15608">
        <w:rPr>
          <w:rFonts w:eastAsiaTheme="minorEastAsia" w:cstheme="minorHAnsi"/>
          <w:iCs/>
          <w:vertAlign w:val="subscript"/>
          <w:lang w:val="en-US"/>
        </w:rPr>
        <w:t xml:space="preserve"> </w:t>
      </w:r>
      <w:r w:rsidRPr="00E15608">
        <w:rPr>
          <w:rFonts w:eastAsiaTheme="minorEastAsia" w:cstheme="minorHAnsi"/>
          <w:iCs/>
          <w:lang w:val="en-US"/>
        </w:rPr>
        <w:t xml:space="preserve">represents the carbon footprint in t </w:t>
      </w:r>
      <w:r w:rsidRPr="00E15608">
        <w:rPr>
          <w:rFonts w:cstheme="minorHAnsi"/>
          <w:lang w:val="en-US"/>
        </w:rPr>
        <w:t>CO</w:t>
      </w:r>
      <w:r w:rsidRPr="00E15608">
        <w:rPr>
          <w:rFonts w:cstheme="minorHAnsi"/>
          <w:sz w:val="16"/>
          <w:szCs w:val="16"/>
          <w:vertAlign w:val="subscript"/>
          <w:lang w:val="en-US"/>
        </w:rPr>
        <w:t>2</w:t>
      </w:r>
      <w:r w:rsidRPr="00E15608">
        <w:rPr>
          <w:rFonts w:cstheme="minorHAnsi"/>
          <w:lang w:val="en-US"/>
        </w:rPr>
        <w:t>-eq</w:t>
      </w:r>
      <w:r w:rsidRPr="00E15608">
        <w:rPr>
          <w:rFonts w:eastAsiaTheme="minorEastAsia" w:cstheme="minorHAnsi"/>
          <w:iCs/>
          <w:lang w:val="en-US"/>
        </w:rPr>
        <w:t xml:space="preserve"> t</w:t>
      </w:r>
      <w:r w:rsidRPr="00E15608">
        <w:rPr>
          <w:rFonts w:eastAsiaTheme="minorEastAsia" w:cstheme="minorHAnsi"/>
          <w:iCs/>
          <w:vertAlign w:val="superscript"/>
          <w:lang w:val="en-US"/>
        </w:rPr>
        <w:t>−1</w:t>
      </w:r>
      <w:r w:rsidRPr="00E15608">
        <w:rPr>
          <w:rFonts w:eastAsiaTheme="minorEastAsia" w:cstheme="minorHAnsi"/>
          <w:iCs/>
          <w:lang w:val="en-US"/>
        </w:rPr>
        <w:t>.</w:t>
      </w:r>
    </w:p>
    <w:p w14:paraId="2B67308F" w14:textId="1E4DE4DB" w:rsidR="00E15608" w:rsidRPr="00AC7A5A" w:rsidRDefault="00E15608" w:rsidP="00577897">
      <w:pPr>
        <w:jc w:val="both"/>
        <w:rPr>
          <w:lang w:val="en-US"/>
        </w:rPr>
      </w:pPr>
      <w:r w:rsidRPr="00E15608">
        <w:rPr>
          <w:rFonts w:eastAsiaTheme="minorEastAsia" w:cstheme="minorHAnsi"/>
          <w:iCs/>
          <w:lang w:val="en-US"/>
        </w:rPr>
        <w:t>We estimate the chemicals carbon footprint with an attributional life cycle assessment (LCA) in accordance with the ISO 14040/14044 standards</w:t>
      </w:r>
      <w:r w:rsidRPr="000733F9">
        <w:rPr>
          <w:lang w:val="en-US"/>
        </w:rPr>
        <w:fldChar w:fldCharType="begin"/>
      </w:r>
      <w:r>
        <w:rPr>
          <w:lang w:val="en-US"/>
        </w:rPr>
        <w:instrText xml:space="preserve"> ADDIN ZOTERO_ITEM CSL_CITATION {"citationID":"YqA10csG","properties":{"formattedCitation":"\\super 53,54\\nosupersub{}","plainCitation":"53,54","noteIndex":0},"citationItems":[{"id":23878,"uris":["http://zotero.org/users/9157291/items/8THP7CZS"],"itemData":{"id":23878,"type":"report","page":"2020","title":"Environmental management — Life cycle assessment — Principles and framework","author":[{"family":"ISO 14040:2006","given":""}]}},{"id":23877,"uris":["http://zotero.org/users/9157291/items/LVIHQH94"],"itemData":{"id":23877,"type":"report","page":"2020","title":"Environmental management — Life cycle assessment — Requirements and guidelines","author":[{"family":"ISO 14044:2006","given":""}]}}],"schema":"https://github.com/citation-style-language/schema/raw/master/csl-citation.json"} </w:instrText>
      </w:r>
      <w:r w:rsidRPr="000733F9">
        <w:rPr>
          <w:lang w:val="en-US"/>
        </w:rPr>
        <w:fldChar w:fldCharType="separate"/>
      </w:r>
      <w:r w:rsidRPr="00E15608">
        <w:rPr>
          <w:rFonts w:ascii="Calibri" w:hAnsi="Calibri" w:cs="Calibri"/>
          <w:szCs w:val="24"/>
          <w:vertAlign w:val="superscript"/>
          <w:lang w:val="en-US"/>
        </w:rPr>
        <w:t>53,54</w:t>
      </w:r>
      <w:r w:rsidRPr="000733F9">
        <w:rPr>
          <w:lang w:val="en-US"/>
        </w:rPr>
        <w:fldChar w:fldCharType="end"/>
      </w:r>
      <w:r w:rsidRPr="00E15608">
        <w:rPr>
          <w:rFonts w:eastAsiaTheme="minorEastAsia" w:cstheme="minorHAnsi"/>
          <w:iCs/>
          <w:lang w:val="en-US"/>
        </w:rPr>
        <w:t>. LCA quantifies environmental impacts over the life cycle of products, from raw materials extraction to end-user disposal</w:t>
      </w:r>
      <w:r w:rsidRPr="007C75D7">
        <w:rPr>
          <w:lang w:val="en-US"/>
        </w:rPr>
        <w:fldChar w:fldCharType="begin"/>
      </w:r>
      <w:r>
        <w:rPr>
          <w:lang w:val="en-US"/>
        </w:rPr>
        <w:instrText xml:space="preserve"> ADDIN ZOTERO_ITEM CSL_CITATION {"citationID":"wYvYfYmm","properties":{"formattedCitation":"\\super 55\\nosupersub{}","plainCitation":"55","noteIndex":0},"citationItems":[{"id":23865,"uris":["http://zotero.org/users/9157291/items/5YE28A2T"],"itemData":{"id":23865,"type":"article-journal","abstract":"In the modern economy, international value chains—production, use, and disposal of goods—have global environmental impacts. Life Cycle Assessment (LCA) aims to track these impacts and assess them from a systems perspective, identifying strategies for improvement without burden shifting. We review recent developments in LCA, including existing and emerging applications aimed at supporting environmentally informed decisions in policy-making, product development and procurement, and consumer choices. LCA constitutes a viable screening tool that can pinpoint environmental hotspots in complex value chains, but we also caution that completeness in scope comes at the price of simplifications and uncertainties. Future advances of LCA in enhancing regional detail and accuracy as well as broadening the assessment to economic and social aspects will make it more relevant for producers and consumers alike.","container-title":"Science","DOI":"10.1126/science.1248361","ISSN":"0036-8075, 1095-9203","issue":"6188","journalAbbreviation":"Science","language":"en","page":"1109-1113","source":"DOI.org (Crossref)","title":"Emerging approaches, challenges and opportunities in life cycle assessment","volume":"344","author":[{"family":"Hellweg","given":"Stefanie"},{"family":"Milà i Canals","given":"Llorenç"}],"issued":{"date-parts":[["2014",6,6]]}}}],"schema":"https://github.com/citation-style-language/schema/raw/master/csl-citation.json"} </w:instrText>
      </w:r>
      <w:r w:rsidRPr="007C75D7">
        <w:rPr>
          <w:lang w:val="en-US"/>
        </w:rPr>
        <w:fldChar w:fldCharType="separate"/>
      </w:r>
      <w:r w:rsidRPr="00E15608">
        <w:rPr>
          <w:rFonts w:ascii="Calibri" w:hAnsi="Calibri" w:cs="Calibri"/>
          <w:szCs w:val="24"/>
          <w:vertAlign w:val="superscript"/>
          <w:lang w:val="en-US"/>
        </w:rPr>
        <w:t>55</w:t>
      </w:r>
      <w:r w:rsidRPr="007C75D7">
        <w:rPr>
          <w:lang w:val="en-US"/>
        </w:rPr>
        <w:fldChar w:fldCharType="end"/>
      </w:r>
      <w:r w:rsidRPr="007C75D7">
        <w:rPr>
          <w:lang w:val="en-US"/>
        </w:rPr>
        <w:t>.</w:t>
      </w:r>
      <w:r>
        <w:rPr>
          <w:lang w:val="en-US"/>
        </w:rPr>
        <w:t xml:space="preserve"> The functional unit for the LCA is defined as “the production of 1 kg chemicals (ammonia or methanol)”. The scope of the assessment is cradle-to-gate, meaning </w:t>
      </w:r>
      <w:r w:rsidRPr="00AC7A5A">
        <w:rPr>
          <w:lang w:val="en-US"/>
        </w:rPr>
        <w:t>that the burdens considered cover all the stages from the extraction of raw materials (</w:t>
      </w:r>
      <w:r w:rsidRPr="00AC7A5A">
        <w:rPr>
          <w:i/>
          <w:lang w:val="en-US"/>
        </w:rPr>
        <w:t>e.g.</w:t>
      </w:r>
      <w:r w:rsidRPr="00AC7A5A">
        <w:rPr>
          <w:lang w:val="en-US"/>
        </w:rPr>
        <w:t xml:space="preserve">, natural gas) until the production of </w:t>
      </w:r>
      <w:r w:rsidRPr="00056AD3">
        <w:rPr>
          <w:lang w:val="en-US"/>
        </w:rPr>
        <w:t xml:space="preserve">the chemicals. We omit the use phase since it is assumed that impacts are the same for the fossil and green chemicals. The mass and energy flows for the production routes were primarily obtained from </w:t>
      </w:r>
      <w:r w:rsidRPr="00056AD3">
        <w:rPr>
          <w:rFonts w:cstheme="minorHAnsi"/>
          <w:lang w:val="en-US"/>
        </w:rPr>
        <w:t xml:space="preserve">D’Angelo </w:t>
      </w:r>
      <w:r w:rsidRPr="00056AD3">
        <w:rPr>
          <w:rFonts w:cstheme="minorHAnsi"/>
          <w:i/>
          <w:lang w:val="en-US"/>
        </w:rPr>
        <w:t>et al.</w:t>
      </w:r>
      <w:r w:rsidRPr="00056AD3">
        <w:rPr>
          <w:rFonts w:cstheme="minorHAnsi"/>
          <w:i/>
          <w:lang w:val="en-US"/>
        </w:rPr>
        <w:fldChar w:fldCharType="begin"/>
      </w:r>
      <w:r w:rsidRPr="00056AD3">
        <w:rPr>
          <w:rFonts w:cstheme="minorHAnsi"/>
          <w:i/>
          <w:lang w:val="en-US"/>
        </w:rPr>
        <w:instrText xml:space="preserve"> ADDIN ZOTERO_ITEM CSL_CITATION {"citationID":"VXxpLMcX","properties":{"formattedCitation":"\\super 11\\nosupersub{}","plainCitation":"11","noteIndex":0},"citationItems":[{"id":3860,"uris":["http://zotero.org/users/9157291/items/AFKW7KRC"],"itemData":{"id":3860,"type":"article-journal","abstract":"At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056AD3">
        <w:rPr>
          <w:rFonts w:cstheme="minorHAnsi"/>
          <w:i/>
          <w:lang w:val="en-US"/>
        </w:rPr>
        <w:fldChar w:fldCharType="separate"/>
      </w:r>
      <w:r w:rsidRPr="00056AD3">
        <w:rPr>
          <w:rFonts w:ascii="Calibri" w:hAnsi="Calibri" w:cs="Calibri"/>
          <w:szCs w:val="24"/>
          <w:vertAlign w:val="superscript"/>
          <w:lang w:val="en-US"/>
        </w:rPr>
        <w:t>11</w:t>
      </w:r>
      <w:r w:rsidRPr="00056AD3">
        <w:rPr>
          <w:rFonts w:cstheme="minorHAnsi"/>
          <w:i/>
          <w:lang w:val="en-US"/>
        </w:rPr>
        <w:fldChar w:fldCharType="end"/>
      </w:r>
      <w:r w:rsidRPr="00056AD3">
        <w:rPr>
          <w:rFonts w:cstheme="minorHAnsi"/>
          <w:i/>
          <w:lang w:val="en-US"/>
        </w:rPr>
        <w:t xml:space="preserve"> </w:t>
      </w:r>
      <w:r w:rsidRPr="00056AD3">
        <w:rPr>
          <w:lang w:val="en-US"/>
        </w:rPr>
        <w:t xml:space="preserve">and </w:t>
      </w:r>
      <w:r w:rsidRPr="00056AD3">
        <w:rPr>
          <w:rFonts w:cstheme="minorHAnsi"/>
          <w:lang w:val="en-US"/>
        </w:rPr>
        <w:t xml:space="preserve">González-Garay </w:t>
      </w:r>
      <w:r w:rsidRPr="00056AD3">
        <w:rPr>
          <w:rFonts w:cstheme="minorHAnsi"/>
          <w:i/>
          <w:lang w:val="en-US"/>
        </w:rPr>
        <w:t>et al.</w:t>
      </w:r>
      <w:r w:rsidRPr="00056AD3">
        <w:rPr>
          <w:rFonts w:cstheme="minorHAnsi"/>
          <w:i/>
          <w:lang w:val="en-US"/>
        </w:rPr>
        <w:fldChar w:fldCharType="begin"/>
      </w:r>
      <w:r w:rsidRPr="00056AD3">
        <w:rPr>
          <w:rFonts w:cstheme="minorHAnsi"/>
          <w:i/>
          <w:lang w:val="en-US"/>
        </w:rPr>
        <w:instrText xml:space="preserve"> ADDIN ZOTERO_ITEM CSL_CITATION {"citationID":"xRwYEfTg","properties":{"formattedCitation":"\\super 12\\nosupersub{}","plainCitation":"12","noteIndex":0},"citationItems":[{"id":272,"uris":["http://zotero.org/users/9157291/items/GTFADUPK"],"itemData":{"id":272,"type":"article-journal","abstract":"The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Pr="00056AD3">
        <w:rPr>
          <w:rFonts w:cstheme="minorHAnsi"/>
          <w:i/>
          <w:lang w:val="en-US"/>
        </w:rPr>
        <w:fldChar w:fldCharType="separate"/>
      </w:r>
      <w:r w:rsidRPr="00056AD3">
        <w:rPr>
          <w:rFonts w:ascii="Calibri" w:hAnsi="Calibri" w:cs="Calibri"/>
          <w:szCs w:val="24"/>
          <w:vertAlign w:val="superscript"/>
          <w:lang w:val="en-US"/>
        </w:rPr>
        <w:t>12</w:t>
      </w:r>
      <w:r w:rsidRPr="00056AD3">
        <w:rPr>
          <w:rFonts w:cstheme="minorHAnsi"/>
          <w:i/>
          <w:lang w:val="en-US"/>
        </w:rPr>
        <w:fldChar w:fldCharType="end"/>
      </w:r>
      <w:r w:rsidR="00056AD3" w:rsidRPr="00056AD3">
        <w:rPr>
          <w:rFonts w:cstheme="minorHAnsi"/>
          <w:i/>
          <w:lang w:val="en-US"/>
        </w:rPr>
        <w:t xml:space="preserve"> </w:t>
      </w:r>
      <w:r w:rsidR="00056AD3" w:rsidRPr="00056AD3">
        <w:rPr>
          <w:rFonts w:cstheme="minorHAnsi"/>
          <w:lang w:val="en-US"/>
        </w:rPr>
        <w:t>(see Table S1 and Table S2 of the ESI)</w:t>
      </w:r>
      <w:r w:rsidRPr="00056AD3">
        <w:rPr>
          <w:rFonts w:cstheme="minorHAnsi"/>
          <w:lang w:val="en-US"/>
        </w:rPr>
        <w:t>, as described above.</w:t>
      </w:r>
      <w:r w:rsidRPr="00056AD3">
        <w:rPr>
          <w:lang w:val="en-US"/>
        </w:rPr>
        <w:t xml:space="preserve"> Data for the background system (</w:t>
      </w:r>
      <w:r w:rsidRPr="00056AD3">
        <w:rPr>
          <w:i/>
          <w:lang w:val="en-US"/>
        </w:rPr>
        <w:t>e.g.</w:t>
      </w:r>
      <w:r w:rsidRPr="00056AD3">
        <w:rPr>
          <w:lang w:val="en-US"/>
        </w:rPr>
        <w:t>, natural gas and electricity supply) were obtained</w:t>
      </w:r>
      <w:r w:rsidRPr="00AC7A5A">
        <w:rPr>
          <w:lang w:val="en-US"/>
        </w:rPr>
        <w:t xml:space="preserve"> from the Ecoinvent v3.5 database</w:t>
      </w:r>
      <w:r w:rsidRPr="00AC7A5A">
        <w:rPr>
          <w:lang w:val="en-US"/>
        </w:rPr>
        <w:fldChar w:fldCharType="begin"/>
      </w:r>
      <w:r w:rsidRPr="00AC7A5A">
        <w:rPr>
          <w:lang w:val="en-US"/>
        </w:rPr>
        <w:instrText xml:space="preserve"> ADDIN ZOTERO_ITEM CSL_CITATION {"citationID":"JU3ZCGo0","properties":{"formattedCitation":"\\super 56\\nosupersub{}","plainCitation":"56","noteIndex":0},"citationItems":[{"id":2104,"uris":["http://zotero.org/users/9157291/items/ED4WDBP2"],"itemData":{"id":2104,"type":"article-journal","abstract":"Purpose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developments.","container-title":"The International Journal of Life Cycle Assessment","DOI":"10.1007/s11367-016-1087-8","ISSN":"0948-3349, 1614-7502","issue":"9","journalAbbreviation":"Int J Life Cycle Assess","language":"en","page":"1218-1230","source":"DOI.org (Crossref)","title":"The ecoinvent database version 3 (part I): overview and methodology","title-short":"The ecoinvent database version 3 (part I)","volume":"21","author":[{"family":"Wernet","given":"Gregor"},{"family":"Bauer","given":"Christian"},{"family":"Steubing","given":"Bernhard"},{"family":"Reinhard","given":"Jürgen"},{"family":"Moreno-Ruiz","given":"Emilia"},{"family":"Weidema","given":"Bo"}],"issued":{"date-parts":[["2016",9]]}}}],"schema":"https://github.com/citation-style-language/schema/raw/master/csl-citation.json"} </w:instrText>
      </w:r>
      <w:r w:rsidRPr="00AC7A5A">
        <w:rPr>
          <w:lang w:val="en-US"/>
        </w:rPr>
        <w:fldChar w:fldCharType="separate"/>
      </w:r>
      <w:r w:rsidRPr="00AC7A5A">
        <w:rPr>
          <w:rFonts w:ascii="Calibri" w:hAnsi="Calibri" w:cs="Calibri"/>
          <w:szCs w:val="24"/>
          <w:vertAlign w:val="superscript"/>
          <w:lang w:val="en-US"/>
        </w:rPr>
        <w:t>56</w:t>
      </w:r>
      <w:r w:rsidRPr="00AC7A5A">
        <w:rPr>
          <w:lang w:val="en-US"/>
        </w:rPr>
        <w:fldChar w:fldCharType="end"/>
      </w:r>
      <w:r w:rsidR="00B60AC5">
        <w:rPr>
          <w:lang w:val="en-US"/>
        </w:rPr>
        <w:t xml:space="preserve"> (see Table S8 of the ESI)</w:t>
      </w:r>
      <w:r w:rsidRPr="00AC7A5A">
        <w:rPr>
          <w:lang w:val="en-US"/>
        </w:rPr>
        <w:t>. Regarding the climate impact assessment, we consider the 100-year global warming potentials (GWPs) as implemented in the ReCiPe 2016 methodology</w:t>
      </w:r>
      <w:r w:rsidRPr="00AC7A5A">
        <w:rPr>
          <w:lang w:val="en-US"/>
        </w:rPr>
        <w:fldChar w:fldCharType="begin"/>
      </w:r>
      <w:r w:rsidRPr="00AC7A5A">
        <w:rPr>
          <w:lang w:val="en-US"/>
        </w:rPr>
        <w:instrText xml:space="preserve"> ADDIN ZOTERO_ITEM CSL_CITATION {"citationID":"DBi8jiTE","properties":{"formattedCitation":"\\super 57\\nosupersub{}","plainCitation":"57","noteIndex":0},"citationItems":[{"id":30060,"uris":["http://zotero.org/users/9157291/items/BPUY94KP"],"itemData":{"id":30060,"type":"article-journal","abstract":"Life cycle impact assessment (LCIA) translates emissions and resource extractions into a limited number of environmental impact scores by means of so-called characterisation factors. There are two mainstream ways to derive characterisation factors, i.e. at midpoint level and at endpoint level. To further progress LCIA method development, we updated the ReCiPe2008 method to its version of 2016. This paper provides an overview of the key elements of the ReCiPe2016 method.","container-title":"The International Journal of Life Cycle Assessment","DOI":"10.1007/s11367-016-1246-y","ISSN":"1614-7502","issue":"2","journalAbbreviation":"Int J Life Cycle Assess","language":"en","page":"138-147","source":"Springer Link","title":"ReCiPe2016: a harmonised life cycle impact assessment method at midpoint and endpoint level","title-short":"ReCiPe2016","volume":"22","author":[{"family":"Huijbregts","given":"Mark A. J."},{"family":"Steinmann","given":"Zoran J. N."},{"family":"Elshout","given":"Pieter M. F."},{"family":"Stam","given":"Gea"},{"family":"Verones","given":"Francesca"},{"family":"Vieira","given":"Marisa"},{"family":"Zijp","given":"Michiel"},{"family":"Hollander","given":"Anne"},{"family":"Zelm","given":"Rosalie","non-dropping-particle":"van"}],"issued":{"date-parts":[["2017",2,1]]}}}],"schema":"https://github.com/citation-style-language/schema/raw/master/csl-citation.json"} </w:instrText>
      </w:r>
      <w:r w:rsidRPr="00AC7A5A">
        <w:rPr>
          <w:lang w:val="en-US"/>
        </w:rPr>
        <w:fldChar w:fldCharType="separate"/>
      </w:r>
      <w:r w:rsidRPr="00AC7A5A">
        <w:rPr>
          <w:rFonts w:ascii="Calibri" w:hAnsi="Calibri" w:cs="Calibri"/>
          <w:szCs w:val="24"/>
          <w:vertAlign w:val="superscript"/>
          <w:lang w:val="en-US"/>
        </w:rPr>
        <w:t>57</w:t>
      </w:r>
      <w:r w:rsidRPr="00AC7A5A">
        <w:rPr>
          <w:lang w:val="en-US"/>
        </w:rPr>
        <w:fldChar w:fldCharType="end"/>
      </w:r>
      <w:r w:rsidRPr="00AC7A5A">
        <w:rPr>
          <w:lang w:val="en-US"/>
        </w:rPr>
        <w:t>.</w:t>
      </w:r>
    </w:p>
    <w:p w14:paraId="30BEA37C" w14:textId="77777777" w:rsidR="00E15608" w:rsidRPr="00E2198A" w:rsidRDefault="00E15608" w:rsidP="00577897">
      <w:pPr>
        <w:pStyle w:val="Heading2"/>
        <w:jc w:val="both"/>
      </w:pPr>
      <w:commentRangeStart w:id="15"/>
      <w:r w:rsidRPr="00E2198A">
        <w:t>References</w:t>
      </w:r>
      <w:commentRangeEnd w:id="15"/>
      <w:r>
        <w:rPr>
          <w:rStyle w:val="CommentReference"/>
          <w:rFonts w:eastAsiaTheme="minorHAnsi" w:cstheme="minorBidi"/>
          <w:b w:val="0"/>
          <w:u w:val="none"/>
        </w:rPr>
        <w:commentReference w:id="15"/>
      </w:r>
    </w:p>
    <w:p w14:paraId="1C92951B" w14:textId="77777777" w:rsidR="00E15608" w:rsidRDefault="00E15608" w:rsidP="00577897">
      <w:pPr>
        <w:pStyle w:val="Bibliography"/>
        <w:jc w:val="both"/>
      </w:pPr>
      <w:r>
        <w:rPr>
          <w:rFonts w:cstheme="minorHAnsi"/>
        </w:rPr>
        <w:fldChar w:fldCharType="begin"/>
      </w:r>
      <w:r>
        <w:rPr>
          <w:rFonts w:cstheme="minorHAnsi"/>
        </w:rPr>
        <w:instrText xml:space="preserve"> ADDIN ZOTERO_BIBL {"uncited":[],"omitted":[],"custom":[]} CSL_BIBLIOGRAPHY </w:instrText>
      </w:r>
      <w:r>
        <w:rPr>
          <w:rFonts w:cstheme="minorHAnsi"/>
        </w:rPr>
        <w:fldChar w:fldCharType="separate"/>
      </w:r>
      <w:r>
        <w:t>1</w:t>
      </w:r>
      <w:r>
        <w:tab/>
        <w:t xml:space="preserve">IEA, </w:t>
      </w:r>
      <w:r>
        <w:rPr>
          <w:i/>
          <w:iCs/>
        </w:rPr>
        <w:t>The Future of Petrochemicals: Towards more sustainable plastics and fertilisers</w:t>
      </w:r>
      <w:r>
        <w:t>, International Energy Agency, 2018.</w:t>
      </w:r>
    </w:p>
    <w:p w14:paraId="3E6EE41B" w14:textId="77777777" w:rsidR="00E15608" w:rsidRDefault="00E15608" w:rsidP="00577897">
      <w:pPr>
        <w:pStyle w:val="Bibliography"/>
        <w:jc w:val="both"/>
      </w:pPr>
      <w:r>
        <w:t>2</w:t>
      </w:r>
      <w:r>
        <w:tab/>
        <w:t xml:space="preserve">F. Bauer, J. P. </w:t>
      </w:r>
      <w:proofErr w:type="spellStart"/>
      <w:r>
        <w:t>Tilsted</w:t>
      </w:r>
      <w:proofErr w:type="spellEnd"/>
      <w:r>
        <w:t xml:space="preserve">, S. Pfister, C. </w:t>
      </w:r>
      <w:proofErr w:type="spellStart"/>
      <w:r>
        <w:t>Oberschelp</w:t>
      </w:r>
      <w:proofErr w:type="spellEnd"/>
      <w:r>
        <w:t xml:space="preserve"> and V. </w:t>
      </w:r>
      <w:proofErr w:type="spellStart"/>
      <w:r>
        <w:t>Kulionis</w:t>
      </w:r>
      <w:proofErr w:type="spellEnd"/>
      <w:r>
        <w:t xml:space="preserve">, </w:t>
      </w:r>
      <w:r>
        <w:rPr>
          <w:i/>
          <w:iCs/>
        </w:rPr>
        <w:t>Current Opinion in Chemical Engineering</w:t>
      </w:r>
      <w:r>
        <w:t xml:space="preserve">, 2023, </w:t>
      </w:r>
      <w:r>
        <w:rPr>
          <w:b/>
          <w:bCs/>
        </w:rPr>
        <w:t>39</w:t>
      </w:r>
      <w:r>
        <w:t>, 100881.</w:t>
      </w:r>
    </w:p>
    <w:p w14:paraId="3F31BB99" w14:textId="77777777" w:rsidR="00E15608" w:rsidRDefault="00E15608" w:rsidP="00577897">
      <w:pPr>
        <w:pStyle w:val="Bibliography"/>
        <w:jc w:val="both"/>
      </w:pPr>
      <w:r>
        <w:t>3</w:t>
      </w:r>
      <w:r>
        <w:tab/>
        <w:t xml:space="preserve">F. Bauer, V. </w:t>
      </w:r>
      <w:proofErr w:type="spellStart"/>
      <w:r>
        <w:t>Kulionis</w:t>
      </w:r>
      <w:proofErr w:type="spellEnd"/>
      <w:r>
        <w:t xml:space="preserve">, C. </w:t>
      </w:r>
      <w:proofErr w:type="spellStart"/>
      <w:r>
        <w:t>Oberschelp</w:t>
      </w:r>
      <w:proofErr w:type="spellEnd"/>
      <w:r>
        <w:t xml:space="preserve">, S. Pfister, J. P. </w:t>
      </w:r>
      <w:proofErr w:type="spellStart"/>
      <w:r>
        <w:t>Tilsted</w:t>
      </w:r>
      <w:proofErr w:type="spellEnd"/>
      <w:r>
        <w:t xml:space="preserve">, G. D. </w:t>
      </w:r>
      <w:proofErr w:type="spellStart"/>
      <w:r>
        <w:t>Finkill</w:t>
      </w:r>
      <w:proofErr w:type="spellEnd"/>
      <w:r>
        <w:t xml:space="preserve"> and S. </w:t>
      </w:r>
      <w:proofErr w:type="spellStart"/>
      <w:r>
        <w:t>Fjäll</w:t>
      </w:r>
      <w:proofErr w:type="spellEnd"/>
      <w:r>
        <w:t xml:space="preserve">, </w:t>
      </w:r>
      <w:r>
        <w:rPr>
          <w:i/>
          <w:iCs/>
        </w:rPr>
        <w:t>Petrochemicals and Climate Change: Tracing Globally Growing Emissions and Key Blind Spots in a Fossil-Based Industry</w:t>
      </w:r>
      <w:r>
        <w:t>, Lund University, Lund, 2022.</w:t>
      </w:r>
    </w:p>
    <w:p w14:paraId="71F6A39D" w14:textId="77777777" w:rsidR="00E15608" w:rsidRDefault="00E15608" w:rsidP="00577897">
      <w:pPr>
        <w:pStyle w:val="Bibliography"/>
        <w:jc w:val="both"/>
      </w:pPr>
      <w:r>
        <w:t>4</w:t>
      </w:r>
      <w:r>
        <w:tab/>
        <w:t xml:space="preserve">J. W. </w:t>
      </w:r>
      <w:proofErr w:type="spellStart"/>
      <w:r>
        <w:t>Erisman</w:t>
      </w:r>
      <w:proofErr w:type="spellEnd"/>
      <w:r>
        <w:t xml:space="preserve">, M. A. Sutton, J. Galloway, Z. </w:t>
      </w:r>
      <w:proofErr w:type="spellStart"/>
      <w:r>
        <w:t>Klimont</w:t>
      </w:r>
      <w:proofErr w:type="spellEnd"/>
      <w:r>
        <w:t xml:space="preserve"> and W. </w:t>
      </w:r>
      <w:proofErr w:type="spellStart"/>
      <w:r>
        <w:t>Winiwarter</w:t>
      </w:r>
      <w:proofErr w:type="spellEnd"/>
      <w:r>
        <w:t xml:space="preserve">, </w:t>
      </w:r>
      <w:r>
        <w:rPr>
          <w:i/>
          <w:iCs/>
        </w:rPr>
        <w:t xml:space="preserve">Nature </w:t>
      </w:r>
      <w:proofErr w:type="spellStart"/>
      <w:r>
        <w:rPr>
          <w:i/>
          <w:iCs/>
        </w:rPr>
        <w:t>Geosci</w:t>
      </w:r>
      <w:proofErr w:type="spellEnd"/>
      <w:r>
        <w:t xml:space="preserve">, 2008, </w:t>
      </w:r>
      <w:r>
        <w:rPr>
          <w:b/>
          <w:bCs/>
        </w:rPr>
        <w:t>1</w:t>
      </w:r>
      <w:r>
        <w:t>, 636–639.</w:t>
      </w:r>
    </w:p>
    <w:p w14:paraId="1DEF9F5F" w14:textId="77777777" w:rsidR="00E15608" w:rsidRPr="00291255" w:rsidRDefault="00E15608" w:rsidP="00577897">
      <w:pPr>
        <w:pStyle w:val="Bibliography"/>
        <w:jc w:val="both"/>
        <w:rPr>
          <w:lang w:val="de-CH"/>
        </w:rPr>
      </w:pPr>
      <w:r>
        <w:t>5</w:t>
      </w:r>
      <w:r>
        <w:tab/>
        <w:t xml:space="preserve">L. Rosa and P. </w:t>
      </w:r>
      <w:proofErr w:type="spellStart"/>
      <w:r>
        <w:t>Gabrielli</w:t>
      </w:r>
      <w:proofErr w:type="spellEnd"/>
      <w:r>
        <w:t xml:space="preserve">, </w:t>
      </w:r>
      <w:r>
        <w:rPr>
          <w:i/>
          <w:iCs/>
        </w:rPr>
        <w:t xml:space="preserve">Environ. </w:t>
      </w:r>
      <w:r w:rsidRPr="00291255">
        <w:rPr>
          <w:i/>
          <w:iCs/>
          <w:lang w:val="de-CH"/>
        </w:rPr>
        <w:t xml:space="preserve">Res. </w:t>
      </w:r>
      <w:proofErr w:type="spellStart"/>
      <w:r w:rsidRPr="00291255">
        <w:rPr>
          <w:i/>
          <w:iCs/>
          <w:lang w:val="de-CH"/>
        </w:rPr>
        <w:t>Lett</w:t>
      </w:r>
      <w:proofErr w:type="spellEnd"/>
      <w:r w:rsidRPr="00291255">
        <w:rPr>
          <w:i/>
          <w:iCs/>
          <w:lang w:val="de-CH"/>
        </w:rPr>
        <w:t>.</w:t>
      </w:r>
      <w:r w:rsidRPr="00291255">
        <w:rPr>
          <w:lang w:val="de-CH"/>
        </w:rPr>
        <w:t xml:space="preserve">, 2022, </w:t>
      </w:r>
      <w:r w:rsidRPr="00291255">
        <w:rPr>
          <w:b/>
          <w:bCs/>
          <w:lang w:val="de-CH"/>
        </w:rPr>
        <w:t>18</w:t>
      </w:r>
      <w:r w:rsidRPr="00291255">
        <w:rPr>
          <w:lang w:val="de-CH"/>
        </w:rPr>
        <w:t>, 014008.</w:t>
      </w:r>
    </w:p>
    <w:p w14:paraId="0CC1B131" w14:textId="77777777" w:rsidR="00E15608" w:rsidRPr="00291255" w:rsidRDefault="00E15608" w:rsidP="00577897">
      <w:pPr>
        <w:pStyle w:val="Bibliography"/>
        <w:jc w:val="both"/>
        <w:rPr>
          <w:lang w:val="de-CH"/>
        </w:rPr>
      </w:pPr>
      <w:r w:rsidRPr="00291255">
        <w:rPr>
          <w:lang w:val="de-CH"/>
        </w:rPr>
        <w:t>6</w:t>
      </w:r>
      <w:r w:rsidRPr="00291255">
        <w:rPr>
          <w:lang w:val="de-CH"/>
        </w:rPr>
        <w:tab/>
        <w:t xml:space="preserve">G. A. </w:t>
      </w:r>
      <w:proofErr w:type="spellStart"/>
      <w:r w:rsidRPr="00291255">
        <w:rPr>
          <w:lang w:val="de-CH"/>
        </w:rPr>
        <w:t>Olah</w:t>
      </w:r>
      <w:proofErr w:type="spellEnd"/>
      <w:r w:rsidRPr="00291255">
        <w:rPr>
          <w:lang w:val="de-CH"/>
        </w:rPr>
        <w:t xml:space="preserve">, </w:t>
      </w:r>
      <w:r w:rsidRPr="00291255">
        <w:rPr>
          <w:i/>
          <w:iCs/>
          <w:lang w:val="de-CH"/>
        </w:rPr>
        <w:t>Angewandte Chemie International Edition</w:t>
      </w:r>
      <w:r w:rsidRPr="00291255">
        <w:rPr>
          <w:lang w:val="de-CH"/>
        </w:rPr>
        <w:t xml:space="preserve">, 2005, </w:t>
      </w:r>
      <w:r w:rsidRPr="00291255">
        <w:rPr>
          <w:b/>
          <w:bCs/>
          <w:lang w:val="de-CH"/>
        </w:rPr>
        <w:t>44</w:t>
      </w:r>
      <w:r w:rsidRPr="00291255">
        <w:rPr>
          <w:lang w:val="de-CH"/>
        </w:rPr>
        <w:t>, 2636–2639.</w:t>
      </w:r>
    </w:p>
    <w:p w14:paraId="7DB768AF" w14:textId="77777777" w:rsidR="00E15608" w:rsidRDefault="00E15608" w:rsidP="00577897">
      <w:pPr>
        <w:pStyle w:val="Bibliography"/>
        <w:jc w:val="both"/>
      </w:pPr>
      <w:r>
        <w:t>7</w:t>
      </w:r>
      <w:r>
        <w:tab/>
        <w:t xml:space="preserve">J. Humphreys, R. Lan and S. Tao, </w:t>
      </w:r>
      <w:r>
        <w:rPr>
          <w:i/>
          <w:iCs/>
        </w:rPr>
        <w:t>Advanced Energy and Sustainability Research</w:t>
      </w:r>
      <w:r>
        <w:t xml:space="preserve">, 2021, </w:t>
      </w:r>
      <w:r>
        <w:rPr>
          <w:b/>
          <w:bCs/>
        </w:rPr>
        <w:t>2</w:t>
      </w:r>
      <w:r>
        <w:t>, 2000043.</w:t>
      </w:r>
    </w:p>
    <w:p w14:paraId="0037F126" w14:textId="77777777" w:rsidR="00E15608" w:rsidRDefault="00E15608" w:rsidP="00577897">
      <w:pPr>
        <w:pStyle w:val="Bibliography"/>
        <w:jc w:val="both"/>
      </w:pPr>
      <w:r>
        <w:t>8</w:t>
      </w:r>
      <w:r>
        <w:tab/>
        <w:t xml:space="preserve">IEA, </w:t>
      </w:r>
      <w:r>
        <w:rPr>
          <w:i/>
          <w:iCs/>
        </w:rPr>
        <w:t>Ammonia Technology Roadmap: Towards more sustainable nitrogen fertiliser production</w:t>
      </w:r>
      <w:r>
        <w:t>, OECD, 2021.</w:t>
      </w:r>
    </w:p>
    <w:p w14:paraId="7D2ADDBF" w14:textId="77777777" w:rsidR="00E15608" w:rsidRDefault="00E15608" w:rsidP="00577897">
      <w:pPr>
        <w:pStyle w:val="Bibliography"/>
        <w:jc w:val="both"/>
      </w:pPr>
      <w:r w:rsidRPr="00291255">
        <w:rPr>
          <w:lang w:val="fr-CH"/>
        </w:rPr>
        <w:t>9</w:t>
      </w:r>
      <w:r w:rsidRPr="00291255">
        <w:rPr>
          <w:lang w:val="fr-CH"/>
        </w:rPr>
        <w:tab/>
        <w:t>O. Martin and J. Pérez-</w:t>
      </w:r>
      <w:proofErr w:type="spellStart"/>
      <w:r w:rsidRPr="00291255">
        <w:rPr>
          <w:lang w:val="fr-CH"/>
        </w:rPr>
        <w:t>Ramírez</w:t>
      </w:r>
      <w:proofErr w:type="spellEnd"/>
      <w:r w:rsidRPr="00291255">
        <w:rPr>
          <w:lang w:val="fr-CH"/>
        </w:rPr>
        <w:t xml:space="preserve">, </w:t>
      </w:r>
      <w:proofErr w:type="spellStart"/>
      <w:r w:rsidRPr="00291255">
        <w:rPr>
          <w:i/>
          <w:iCs/>
          <w:lang w:val="fr-CH"/>
        </w:rPr>
        <w:t>Catal</w:t>
      </w:r>
      <w:proofErr w:type="spellEnd"/>
      <w:r w:rsidRPr="00291255">
        <w:rPr>
          <w:i/>
          <w:iCs/>
          <w:lang w:val="fr-CH"/>
        </w:rPr>
        <w:t xml:space="preserve">. </w:t>
      </w:r>
      <w:r>
        <w:rPr>
          <w:i/>
          <w:iCs/>
        </w:rPr>
        <w:t>Sci. Technol.</w:t>
      </w:r>
      <w:r>
        <w:t xml:space="preserve">, 2013, </w:t>
      </w:r>
      <w:r>
        <w:rPr>
          <w:b/>
          <w:bCs/>
        </w:rPr>
        <w:t>3</w:t>
      </w:r>
      <w:r>
        <w:t>, 3343–3352.</w:t>
      </w:r>
    </w:p>
    <w:p w14:paraId="7089E943" w14:textId="77777777" w:rsidR="00E15608" w:rsidRDefault="00E15608" w:rsidP="00577897">
      <w:pPr>
        <w:pStyle w:val="Bibliography"/>
        <w:jc w:val="both"/>
      </w:pPr>
      <w:r>
        <w:t>10</w:t>
      </w:r>
      <w:r>
        <w:tab/>
        <w:t xml:space="preserve">IRENA, </w:t>
      </w:r>
      <w:r>
        <w:rPr>
          <w:i/>
          <w:iCs/>
        </w:rPr>
        <w:t>Innovation Outlook: Renewable Methanol</w:t>
      </w:r>
      <w:r>
        <w:t>, 2021.</w:t>
      </w:r>
    </w:p>
    <w:p w14:paraId="75C6A7BF" w14:textId="77777777" w:rsidR="00E15608" w:rsidRDefault="00E15608" w:rsidP="00577897">
      <w:pPr>
        <w:pStyle w:val="Bibliography"/>
        <w:jc w:val="both"/>
      </w:pPr>
      <w:r>
        <w:t>11</w:t>
      </w:r>
      <w:r>
        <w:tab/>
        <w:t xml:space="preserve">S. C. D’Angelo, S. </w:t>
      </w:r>
      <w:proofErr w:type="spellStart"/>
      <w:r>
        <w:t>Cobo</w:t>
      </w:r>
      <w:proofErr w:type="spellEnd"/>
      <w:r>
        <w:t xml:space="preserve">, V. </w:t>
      </w:r>
      <w:proofErr w:type="spellStart"/>
      <w:r>
        <w:t>Tulus</w:t>
      </w:r>
      <w:proofErr w:type="spellEnd"/>
      <w:r>
        <w:t xml:space="preserve">, A. Nabera, A. J. Martín, J. Pérez-Ramírez and G. Guillén-Gosálbez, </w:t>
      </w:r>
      <w:r>
        <w:rPr>
          <w:i/>
          <w:iCs/>
        </w:rPr>
        <w:t>ACS Sustainable Chem. Eng.</w:t>
      </w:r>
      <w:r>
        <w:t xml:space="preserve">, 2021, </w:t>
      </w:r>
      <w:r>
        <w:rPr>
          <w:b/>
          <w:bCs/>
        </w:rPr>
        <w:t>9</w:t>
      </w:r>
      <w:r>
        <w:t>, 9740–9749.</w:t>
      </w:r>
    </w:p>
    <w:p w14:paraId="611E46B1" w14:textId="77777777" w:rsidR="00E15608" w:rsidRDefault="00E15608" w:rsidP="00577897">
      <w:pPr>
        <w:pStyle w:val="Bibliography"/>
        <w:jc w:val="both"/>
      </w:pPr>
      <w:r>
        <w:t>12</w:t>
      </w:r>
      <w:r>
        <w:tab/>
        <w:t xml:space="preserve">A. González-Garay, M. S. Frei, A. Al-Qahtani, C. </w:t>
      </w:r>
      <w:proofErr w:type="spellStart"/>
      <w:r>
        <w:t>Mondelli</w:t>
      </w:r>
      <w:proofErr w:type="spellEnd"/>
      <w:r>
        <w:t xml:space="preserve">, G. Guillén-Gosálbez and J. Pérez-Ramírez, </w:t>
      </w:r>
      <w:r>
        <w:rPr>
          <w:i/>
          <w:iCs/>
        </w:rPr>
        <w:t>Energy Environ. Sci.</w:t>
      </w:r>
      <w:r>
        <w:t xml:space="preserve">, 2019, </w:t>
      </w:r>
      <w:r>
        <w:rPr>
          <w:b/>
          <w:bCs/>
        </w:rPr>
        <w:t>12</w:t>
      </w:r>
      <w:r>
        <w:t>, 3425–3436.</w:t>
      </w:r>
    </w:p>
    <w:p w14:paraId="618ADB53" w14:textId="77777777" w:rsidR="00E15608" w:rsidRDefault="00E15608" w:rsidP="00577897">
      <w:pPr>
        <w:pStyle w:val="Bibliography"/>
        <w:jc w:val="both"/>
      </w:pPr>
      <w:r>
        <w:t>13</w:t>
      </w:r>
      <w:r>
        <w:tab/>
        <w:t xml:space="preserve">Z. J. Schiffer and K. </w:t>
      </w:r>
      <w:proofErr w:type="spellStart"/>
      <w:r>
        <w:t>Manthiram</w:t>
      </w:r>
      <w:proofErr w:type="spellEnd"/>
      <w:r>
        <w:t xml:space="preserve">, </w:t>
      </w:r>
      <w:r>
        <w:rPr>
          <w:i/>
          <w:iCs/>
        </w:rPr>
        <w:t>Joule</w:t>
      </w:r>
      <w:r>
        <w:t xml:space="preserve">, 2017, </w:t>
      </w:r>
      <w:r>
        <w:rPr>
          <w:b/>
          <w:bCs/>
        </w:rPr>
        <w:t>1</w:t>
      </w:r>
      <w:r>
        <w:t>, 10–14.</w:t>
      </w:r>
    </w:p>
    <w:p w14:paraId="270CF5FE" w14:textId="77777777" w:rsidR="00E15608" w:rsidRDefault="00E15608" w:rsidP="00577897">
      <w:pPr>
        <w:pStyle w:val="Bibliography"/>
        <w:jc w:val="both"/>
      </w:pPr>
      <w:r>
        <w:t>14</w:t>
      </w:r>
      <w:r>
        <w:tab/>
        <w:t xml:space="preserve">J.-P. Lange, </w:t>
      </w:r>
      <w:r>
        <w:rPr>
          <w:i/>
          <w:iCs/>
        </w:rPr>
        <w:t>Energy Environ. Sci.</w:t>
      </w:r>
      <w:r>
        <w:t xml:space="preserve">, 2021, </w:t>
      </w:r>
      <w:r>
        <w:rPr>
          <w:b/>
          <w:bCs/>
        </w:rPr>
        <w:t>14</w:t>
      </w:r>
      <w:r>
        <w:t>, 4358–4376.</w:t>
      </w:r>
    </w:p>
    <w:p w14:paraId="3745C7E6" w14:textId="77777777" w:rsidR="00E15608" w:rsidRDefault="00E15608" w:rsidP="00577897">
      <w:pPr>
        <w:pStyle w:val="Bibliography"/>
        <w:jc w:val="both"/>
      </w:pPr>
      <w:r>
        <w:t>15</w:t>
      </w:r>
      <w:r>
        <w:tab/>
        <w:t xml:space="preserve">F. </w:t>
      </w:r>
      <w:proofErr w:type="spellStart"/>
      <w:r>
        <w:t>Ausfelder</w:t>
      </w:r>
      <w:proofErr w:type="spellEnd"/>
      <w:r>
        <w:t xml:space="preserve">, E. O. </w:t>
      </w:r>
      <w:proofErr w:type="spellStart"/>
      <w:r>
        <w:t>Herrman</w:t>
      </w:r>
      <w:proofErr w:type="spellEnd"/>
      <w:r>
        <w:t xml:space="preserve"> and L. F. López González, </w:t>
      </w:r>
      <w:r>
        <w:rPr>
          <w:i/>
          <w:iCs/>
        </w:rPr>
        <w:t>Technology options for CO2-emission reduction of hydrogen feedstock in ammonia production</w:t>
      </w:r>
      <w:r>
        <w:t xml:space="preserve">, DECHEMA Gesellschaft </w:t>
      </w:r>
      <w:proofErr w:type="spellStart"/>
      <w:r>
        <w:t>für</w:t>
      </w:r>
      <w:proofErr w:type="spellEnd"/>
      <w:r>
        <w:t xml:space="preserve"> </w:t>
      </w:r>
      <w:proofErr w:type="spellStart"/>
      <w:r>
        <w:t>Chemische</w:t>
      </w:r>
      <w:proofErr w:type="spellEnd"/>
      <w:r>
        <w:t xml:space="preserve"> Technik und </w:t>
      </w:r>
      <w:proofErr w:type="spellStart"/>
      <w:r>
        <w:t>Biotechnologie</w:t>
      </w:r>
      <w:proofErr w:type="spellEnd"/>
      <w:r>
        <w:t xml:space="preserve"> </w:t>
      </w:r>
      <w:proofErr w:type="spellStart"/>
      <w:r>
        <w:t>e.V</w:t>
      </w:r>
      <w:proofErr w:type="spellEnd"/>
      <w:r>
        <w:t>, 2022.</w:t>
      </w:r>
    </w:p>
    <w:p w14:paraId="0B1285FE" w14:textId="77777777" w:rsidR="00E15608" w:rsidRDefault="00E15608" w:rsidP="00577897">
      <w:pPr>
        <w:pStyle w:val="Bibliography"/>
        <w:jc w:val="both"/>
      </w:pPr>
      <w:r>
        <w:t>16</w:t>
      </w:r>
      <w:r>
        <w:tab/>
        <w:t xml:space="preserve">K. Smart, </w:t>
      </w:r>
      <w:r>
        <w:rPr>
          <w:i/>
          <w:iCs/>
        </w:rPr>
        <w:t>Johnson Matthey Technology Review</w:t>
      </w:r>
      <w:r>
        <w:t xml:space="preserve">, 2022, </w:t>
      </w:r>
      <w:r>
        <w:rPr>
          <w:b/>
          <w:bCs/>
        </w:rPr>
        <w:t>66</w:t>
      </w:r>
      <w:r>
        <w:t>, 230–244.</w:t>
      </w:r>
    </w:p>
    <w:p w14:paraId="60AB2708" w14:textId="77777777" w:rsidR="00E15608" w:rsidRDefault="00E15608" w:rsidP="00577897">
      <w:pPr>
        <w:pStyle w:val="Bibliography"/>
        <w:jc w:val="both"/>
      </w:pPr>
      <w:r>
        <w:t>17</w:t>
      </w:r>
      <w:r>
        <w:tab/>
        <w:t xml:space="preserve">O. Martin, A. J. Martín, C. </w:t>
      </w:r>
      <w:proofErr w:type="spellStart"/>
      <w:r>
        <w:t>Mondelli</w:t>
      </w:r>
      <w:proofErr w:type="spellEnd"/>
      <w:r>
        <w:t xml:space="preserve">, S. Mitchell, T. F. </w:t>
      </w:r>
      <w:proofErr w:type="spellStart"/>
      <w:r>
        <w:t>Segawa</w:t>
      </w:r>
      <w:proofErr w:type="spellEnd"/>
      <w:r>
        <w:t xml:space="preserve">, R. </w:t>
      </w:r>
      <w:proofErr w:type="spellStart"/>
      <w:r>
        <w:t>Hauert</w:t>
      </w:r>
      <w:proofErr w:type="spellEnd"/>
      <w:r>
        <w:t xml:space="preserve">, C. </w:t>
      </w:r>
      <w:proofErr w:type="spellStart"/>
      <w:r>
        <w:t>Drouilly</w:t>
      </w:r>
      <w:proofErr w:type="spellEnd"/>
      <w:r>
        <w:t xml:space="preserve">, D. </w:t>
      </w:r>
      <w:proofErr w:type="spellStart"/>
      <w:r>
        <w:t>Curulla-Ferré</w:t>
      </w:r>
      <w:proofErr w:type="spellEnd"/>
      <w:r>
        <w:t xml:space="preserve"> and J. Pérez-Ramírez, </w:t>
      </w:r>
      <w:proofErr w:type="spellStart"/>
      <w:r>
        <w:rPr>
          <w:i/>
          <w:iCs/>
        </w:rPr>
        <w:t>Angewandte</w:t>
      </w:r>
      <w:proofErr w:type="spellEnd"/>
      <w:r>
        <w:rPr>
          <w:i/>
          <w:iCs/>
        </w:rPr>
        <w:t xml:space="preserve"> </w:t>
      </w:r>
      <w:proofErr w:type="spellStart"/>
      <w:r>
        <w:rPr>
          <w:i/>
          <w:iCs/>
        </w:rPr>
        <w:t>Chemie</w:t>
      </w:r>
      <w:proofErr w:type="spellEnd"/>
      <w:r>
        <w:t xml:space="preserve">, 2016, </w:t>
      </w:r>
      <w:r>
        <w:rPr>
          <w:b/>
          <w:bCs/>
        </w:rPr>
        <w:t>128</w:t>
      </w:r>
      <w:r>
        <w:t>, 6369–6373.</w:t>
      </w:r>
    </w:p>
    <w:p w14:paraId="21053BDE" w14:textId="77777777" w:rsidR="00E15608" w:rsidRDefault="00E15608" w:rsidP="00577897">
      <w:pPr>
        <w:pStyle w:val="Bibliography"/>
        <w:jc w:val="both"/>
      </w:pPr>
      <w:r>
        <w:t>18</w:t>
      </w:r>
      <w:r>
        <w:tab/>
        <w:t xml:space="preserve">T. Pinheiro Araújo, C. </w:t>
      </w:r>
      <w:proofErr w:type="spellStart"/>
      <w:r>
        <w:t>Mondelli</w:t>
      </w:r>
      <w:proofErr w:type="spellEnd"/>
      <w:r>
        <w:t xml:space="preserve">, M. </w:t>
      </w:r>
      <w:proofErr w:type="spellStart"/>
      <w:r>
        <w:t>Agrachev</w:t>
      </w:r>
      <w:proofErr w:type="spellEnd"/>
      <w:r>
        <w:t xml:space="preserve">, T. Zou, P. O. Willi, K. M. Engel, R. N. Grass, W. J. Stark, O. V. </w:t>
      </w:r>
      <w:proofErr w:type="spellStart"/>
      <w:r>
        <w:t>Safonova</w:t>
      </w:r>
      <w:proofErr w:type="spellEnd"/>
      <w:r>
        <w:t xml:space="preserve">, G. </w:t>
      </w:r>
      <w:proofErr w:type="spellStart"/>
      <w:r>
        <w:t>Jeschke</w:t>
      </w:r>
      <w:proofErr w:type="spellEnd"/>
      <w:r>
        <w:t xml:space="preserve">, S. Mitchell and J. Pérez-Ramírez, </w:t>
      </w:r>
      <w:r>
        <w:rPr>
          <w:i/>
          <w:iCs/>
        </w:rPr>
        <w:t xml:space="preserve">Nat </w:t>
      </w:r>
      <w:proofErr w:type="spellStart"/>
      <w:r>
        <w:rPr>
          <w:i/>
          <w:iCs/>
        </w:rPr>
        <w:t>Commun</w:t>
      </w:r>
      <w:proofErr w:type="spellEnd"/>
      <w:r>
        <w:t xml:space="preserve">, 2022, </w:t>
      </w:r>
      <w:r>
        <w:rPr>
          <w:b/>
          <w:bCs/>
        </w:rPr>
        <w:t>13</w:t>
      </w:r>
      <w:r>
        <w:t>, 5610.</w:t>
      </w:r>
    </w:p>
    <w:p w14:paraId="60D684F2" w14:textId="77777777" w:rsidR="00E15608" w:rsidRDefault="00E15608" w:rsidP="00577897">
      <w:pPr>
        <w:pStyle w:val="Bibliography"/>
        <w:jc w:val="both"/>
      </w:pPr>
      <w:r>
        <w:lastRenderedPageBreak/>
        <w:t>19</w:t>
      </w:r>
      <w:r>
        <w:tab/>
        <w:t xml:space="preserve">J. Wang, G. Li, Z. Li, C. Tang, Z. Feng, H. An, H. Liu, T. Liu and C. Li, </w:t>
      </w:r>
      <w:r>
        <w:rPr>
          <w:i/>
          <w:iCs/>
        </w:rPr>
        <w:t>Science Advances</w:t>
      </w:r>
      <w:r>
        <w:t xml:space="preserve">, 2017, </w:t>
      </w:r>
      <w:r>
        <w:rPr>
          <w:b/>
          <w:bCs/>
        </w:rPr>
        <w:t>3</w:t>
      </w:r>
      <w:r>
        <w:t>, e1701290.</w:t>
      </w:r>
    </w:p>
    <w:p w14:paraId="20B714D4" w14:textId="77777777" w:rsidR="00E15608" w:rsidRDefault="00E15608" w:rsidP="00577897">
      <w:pPr>
        <w:pStyle w:val="Bibliography"/>
        <w:jc w:val="both"/>
      </w:pPr>
      <w:r>
        <w:t>20</w:t>
      </w:r>
      <w:r>
        <w:tab/>
        <w:t xml:space="preserve">S. </w:t>
      </w:r>
      <w:proofErr w:type="spellStart"/>
      <w:r>
        <w:t>Nitopi</w:t>
      </w:r>
      <w:proofErr w:type="spellEnd"/>
      <w:r>
        <w:t xml:space="preserve">, E. </w:t>
      </w:r>
      <w:proofErr w:type="spellStart"/>
      <w:r>
        <w:t>Bertheussen</w:t>
      </w:r>
      <w:proofErr w:type="spellEnd"/>
      <w:r>
        <w:t xml:space="preserve">, S. B. Scott, X. Liu, A. K. </w:t>
      </w:r>
      <w:proofErr w:type="spellStart"/>
      <w:r>
        <w:t>Engstfeld</w:t>
      </w:r>
      <w:proofErr w:type="spellEnd"/>
      <w:r>
        <w:t xml:space="preserve">, S. </w:t>
      </w:r>
      <w:proofErr w:type="spellStart"/>
      <w:r>
        <w:t>Horch</w:t>
      </w:r>
      <w:proofErr w:type="spellEnd"/>
      <w:r>
        <w:t xml:space="preserve">, B. Seger, I. E. L. Stephens, K. Chan, C. Hahn, J. K. </w:t>
      </w:r>
      <w:proofErr w:type="spellStart"/>
      <w:r>
        <w:t>Nørskov</w:t>
      </w:r>
      <w:proofErr w:type="spellEnd"/>
      <w:r>
        <w:t xml:space="preserve">, T. F. Jaramillo and I. </w:t>
      </w:r>
      <w:proofErr w:type="spellStart"/>
      <w:r>
        <w:t>Chorkendorff</w:t>
      </w:r>
      <w:proofErr w:type="spellEnd"/>
      <w:r>
        <w:t xml:space="preserve">, </w:t>
      </w:r>
      <w:r>
        <w:rPr>
          <w:i/>
          <w:iCs/>
        </w:rPr>
        <w:t>Chem. Rev.</w:t>
      </w:r>
      <w:r>
        <w:t xml:space="preserve">, 2019, </w:t>
      </w:r>
      <w:r>
        <w:rPr>
          <w:b/>
          <w:bCs/>
        </w:rPr>
        <w:t>119</w:t>
      </w:r>
      <w:r>
        <w:t>, 7610–7672.</w:t>
      </w:r>
    </w:p>
    <w:p w14:paraId="2AA6C57C" w14:textId="77777777" w:rsidR="00E15608" w:rsidRDefault="00E15608" w:rsidP="00577897">
      <w:pPr>
        <w:pStyle w:val="Bibliography"/>
        <w:jc w:val="both"/>
      </w:pPr>
      <w:r>
        <w:t>21</w:t>
      </w:r>
      <w:r>
        <w:tab/>
        <w:t xml:space="preserve">IEA, </w:t>
      </w:r>
      <w:r>
        <w:rPr>
          <w:i/>
          <w:iCs/>
        </w:rPr>
        <w:t>Technology Roadmap Energy and GHG Reductions in the Chemical Industry via Catalytic Processes</w:t>
      </w:r>
      <w:r>
        <w:t>, International Energy Agency, 2013.</w:t>
      </w:r>
    </w:p>
    <w:p w14:paraId="5AF2EFED" w14:textId="77777777" w:rsidR="00E15608" w:rsidRDefault="00E15608" w:rsidP="00577897">
      <w:pPr>
        <w:pStyle w:val="Bibliography"/>
        <w:jc w:val="both"/>
      </w:pPr>
      <w:r>
        <w:t>22</w:t>
      </w:r>
      <w:r>
        <w:tab/>
        <w:t xml:space="preserve">J. </w:t>
      </w:r>
      <w:proofErr w:type="spellStart"/>
      <w:r>
        <w:t>Huo</w:t>
      </w:r>
      <w:proofErr w:type="spellEnd"/>
      <w:r>
        <w:t xml:space="preserve">, Z. Wang, C. </w:t>
      </w:r>
      <w:proofErr w:type="spellStart"/>
      <w:r>
        <w:t>Oberschelp</w:t>
      </w:r>
      <w:proofErr w:type="spellEnd"/>
      <w:r>
        <w:t xml:space="preserve">, G. Guillén-Gosálbez and S. Hellweg, </w:t>
      </w:r>
      <w:r>
        <w:rPr>
          <w:i/>
          <w:iCs/>
        </w:rPr>
        <w:t>Green Chem.</w:t>
      </w:r>
      <w:r>
        <w:t xml:space="preserve">, 2023, </w:t>
      </w:r>
      <w:r>
        <w:rPr>
          <w:b/>
          <w:bCs/>
        </w:rPr>
        <w:t>25</w:t>
      </w:r>
      <w:r>
        <w:t>, 415–430.</w:t>
      </w:r>
    </w:p>
    <w:p w14:paraId="34EB34AF" w14:textId="77777777" w:rsidR="00E15608" w:rsidRDefault="00E15608" w:rsidP="00577897">
      <w:pPr>
        <w:pStyle w:val="Bibliography"/>
        <w:jc w:val="both"/>
      </w:pPr>
      <w:r>
        <w:t>23</w:t>
      </w:r>
      <w:r>
        <w:tab/>
        <w:t xml:space="preserve">Á. </w:t>
      </w:r>
      <w:proofErr w:type="spellStart"/>
      <w:r>
        <w:t>Galán</w:t>
      </w:r>
      <w:proofErr w:type="spellEnd"/>
      <w:r>
        <w:t xml:space="preserve">-Martín, V. </w:t>
      </w:r>
      <w:proofErr w:type="spellStart"/>
      <w:r>
        <w:t>Tulus</w:t>
      </w:r>
      <w:proofErr w:type="spellEnd"/>
      <w:r>
        <w:t xml:space="preserve">, I. Díaz, C. </w:t>
      </w:r>
      <w:proofErr w:type="spellStart"/>
      <w:r>
        <w:t>Pozo</w:t>
      </w:r>
      <w:proofErr w:type="spellEnd"/>
      <w:r>
        <w:t xml:space="preserve">, J. Pérez-Ramírez and G. Guillén-Gosálbez, </w:t>
      </w:r>
      <w:r>
        <w:rPr>
          <w:i/>
          <w:iCs/>
        </w:rPr>
        <w:t>One Earth</w:t>
      </w:r>
      <w:r>
        <w:t xml:space="preserve">, 2021, </w:t>
      </w:r>
      <w:r>
        <w:rPr>
          <w:b/>
          <w:bCs/>
        </w:rPr>
        <w:t>4</w:t>
      </w:r>
      <w:r>
        <w:t>, 565–583.</w:t>
      </w:r>
    </w:p>
    <w:p w14:paraId="3E50F265" w14:textId="77777777" w:rsidR="00E15608" w:rsidRDefault="00E15608" w:rsidP="00577897">
      <w:pPr>
        <w:pStyle w:val="Bibliography"/>
        <w:jc w:val="both"/>
      </w:pPr>
      <w:r>
        <w:t>24</w:t>
      </w:r>
      <w:r>
        <w:tab/>
        <w:t xml:space="preserve">I. </w:t>
      </w:r>
      <w:proofErr w:type="spellStart"/>
      <w:r>
        <w:t>Ioannou</w:t>
      </w:r>
      <w:proofErr w:type="spellEnd"/>
      <w:r>
        <w:t xml:space="preserve">, Á. </w:t>
      </w:r>
      <w:proofErr w:type="spellStart"/>
      <w:r>
        <w:t>Galán</w:t>
      </w:r>
      <w:proofErr w:type="spellEnd"/>
      <w:r>
        <w:t xml:space="preserve">-Martín, J. Pérez-Ramírez and G. Guillén-Gosálbez, </w:t>
      </w:r>
      <w:r>
        <w:rPr>
          <w:i/>
          <w:iCs/>
        </w:rPr>
        <w:t>Energy Environ. Sci.</w:t>
      </w:r>
      <w:proofErr w:type="gramStart"/>
      <w:r>
        <w:t>, ,</w:t>
      </w:r>
      <w:proofErr w:type="gramEnd"/>
      <w:r>
        <w:t xml:space="preserve"> DOI:10.1039/D2EE01153K.</w:t>
      </w:r>
    </w:p>
    <w:p w14:paraId="426FD7D8" w14:textId="77777777" w:rsidR="00E15608" w:rsidRDefault="00E15608" w:rsidP="00577897">
      <w:pPr>
        <w:pStyle w:val="Bibliography"/>
        <w:jc w:val="both"/>
      </w:pPr>
      <w:r>
        <w:t>25</w:t>
      </w:r>
      <w:r>
        <w:tab/>
        <w:t xml:space="preserve">A. </w:t>
      </w:r>
      <w:proofErr w:type="spellStart"/>
      <w:r>
        <w:t>Kätelhön</w:t>
      </w:r>
      <w:proofErr w:type="spellEnd"/>
      <w:r>
        <w:t xml:space="preserve">, R. </w:t>
      </w:r>
      <w:proofErr w:type="spellStart"/>
      <w:r>
        <w:t>Meys</w:t>
      </w:r>
      <w:proofErr w:type="spellEnd"/>
      <w:r>
        <w:t xml:space="preserve">, S. Deutz, S. Suh and A. </w:t>
      </w:r>
      <w:proofErr w:type="spellStart"/>
      <w:r>
        <w:t>Bardow</w:t>
      </w:r>
      <w:proofErr w:type="spellEnd"/>
      <w:r>
        <w:t xml:space="preserve">, </w:t>
      </w:r>
      <w:r>
        <w:rPr>
          <w:i/>
          <w:iCs/>
        </w:rPr>
        <w:t>Proceedings of the National Academy of Sciences</w:t>
      </w:r>
      <w:r>
        <w:t xml:space="preserve">, 2019, </w:t>
      </w:r>
      <w:r>
        <w:rPr>
          <w:b/>
          <w:bCs/>
        </w:rPr>
        <w:t>116</w:t>
      </w:r>
      <w:r>
        <w:t>, 11187–11194.</w:t>
      </w:r>
    </w:p>
    <w:p w14:paraId="57B85A6D" w14:textId="77777777" w:rsidR="00E15608" w:rsidRDefault="00E15608" w:rsidP="00577897">
      <w:pPr>
        <w:pStyle w:val="Bibliography"/>
        <w:jc w:val="both"/>
      </w:pPr>
      <w:r>
        <w:t>26</w:t>
      </w:r>
      <w:r>
        <w:tab/>
        <w:t xml:space="preserve">C. Hepburn, E. </w:t>
      </w:r>
      <w:proofErr w:type="spellStart"/>
      <w:r>
        <w:t>Adlen</w:t>
      </w:r>
      <w:proofErr w:type="spellEnd"/>
      <w:r>
        <w:t xml:space="preserve">, J. Beddington, E. A. Carter, S. Fuss, N. Mac Dowell, J. C. Minx, P. Smith and C. K. Williams, </w:t>
      </w:r>
      <w:r>
        <w:rPr>
          <w:i/>
          <w:iCs/>
        </w:rPr>
        <w:t>Nature</w:t>
      </w:r>
      <w:r>
        <w:t xml:space="preserve">, 2019, </w:t>
      </w:r>
      <w:r>
        <w:rPr>
          <w:b/>
          <w:bCs/>
        </w:rPr>
        <w:t>575</w:t>
      </w:r>
      <w:r>
        <w:t>, 87–97.</w:t>
      </w:r>
    </w:p>
    <w:p w14:paraId="5671E316" w14:textId="77777777" w:rsidR="00E15608" w:rsidRDefault="00E15608" w:rsidP="00577897">
      <w:pPr>
        <w:pStyle w:val="Bibliography"/>
        <w:jc w:val="both"/>
      </w:pPr>
      <w:r>
        <w:t>27</w:t>
      </w:r>
      <w:r>
        <w:tab/>
        <w:t xml:space="preserve">P. Heather, </w:t>
      </w:r>
      <w:r>
        <w:rPr>
          <w:i/>
          <w:iCs/>
        </w:rPr>
        <w:t>European Traded Gas Hubs: the supremacy of TTF</w:t>
      </w:r>
      <w:r>
        <w:t>, The Oxford Institute for Energy Studies, 2022.</w:t>
      </w:r>
    </w:p>
    <w:p w14:paraId="6A219483" w14:textId="77777777" w:rsidR="00E15608" w:rsidRDefault="00E15608" w:rsidP="00577897">
      <w:pPr>
        <w:pStyle w:val="Bibliography"/>
        <w:jc w:val="both"/>
      </w:pPr>
      <w:r>
        <w:t>28</w:t>
      </w:r>
      <w:r>
        <w:tab/>
        <w:t xml:space="preserve">The World Bank, </w:t>
      </w:r>
      <w:r>
        <w:rPr>
          <w:i/>
          <w:iCs/>
        </w:rPr>
        <w:t>Commodity Markets Outlook: The Impact of the War in Ukraine on Commodity Markets</w:t>
      </w:r>
      <w:r>
        <w:t>, The World Bank Group, Washington DC, 2022.</w:t>
      </w:r>
    </w:p>
    <w:p w14:paraId="254B5768" w14:textId="77777777" w:rsidR="00E15608" w:rsidRDefault="00E15608" w:rsidP="00577897">
      <w:pPr>
        <w:pStyle w:val="Bibliography"/>
        <w:jc w:val="both"/>
      </w:pPr>
      <w:r>
        <w:t>29</w:t>
      </w:r>
      <w:r>
        <w:tab/>
      </w:r>
      <w:proofErr w:type="spellStart"/>
      <w:r>
        <w:t>cefic</w:t>
      </w:r>
      <w:proofErr w:type="spellEnd"/>
      <w:r>
        <w:t xml:space="preserve">, </w:t>
      </w:r>
      <w:r>
        <w:rPr>
          <w:i/>
          <w:iCs/>
        </w:rPr>
        <w:t>Chemical Monthly Report (CMR) - High energy prices and economic uncertainty continue to drive down the chemicals output in the EU27 area</w:t>
      </w:r>
      <w:r>
        <w:t>, European Chemical Industry Council, 2022.</w:t>
      </w:r>
    </w:p>
    <w:p w14:paraId="5665073F" w14:textId="77777777" w:rsidR="00E15608" w:rsidRDefault="00E15608" w:rsidP="00577897">
      <w:pPr>
        <w:pStyle w:val="Bibliography"/>
        <w:jc w:val="both"/>
      </w:pPr>
      <w:r>
        <w:t>30</w:t>
      </w:r>
      <w:r>
        <w:tab/>
        <w:t xml:space="preserve">A. de Sousa, S. </w:t>
      </w:r>
      <w:proofErr w:type="spellStart"/>
      <w:r>
        <w:t>Gebre</w:t>
      </w:r>
      <w:proofErr w:type="spellEnd"/>
      <w:r>
        <w:t xml:space="preserve"> and S. Treloar, </w:t>
      </w:r>
      <w:r>
        <w:rPr>
          <w:i/>
          <w:iCs/>
        </w:rPr>
        <w:t>Bloomberg.com</w:t>
      </w:r>
      <w:r>
        <w:t>, 2022.</w:t>
      </w:r>
    </w:p>
    <w:p w14:paraId="7CD3ED40" w14:textId="77777777" w:rsidR="00E15608" w:rsidRDefault="00E15608" w:rsidP="00577897">
      <w:pPr>
        <w:pStyle w:val="Bibliography"/>
        <w:jc w:val="both"/>
      </w:pPr>
      <w:r>
        <w:t>31</w:t>
      </w:r>
      <w:r>
        <w:tab/>
        <w:t>J. Lopez, EPCA ’22, https://www.icis.com/explore/resources/news/2022/10/04/10811649/epca-22-european-shut-ammonia-production-unlikely-to-return-analyst, (accessed December 9, 2022).</w:t>
      </w:r>
    </w:p>
    <w:p w14:paraId="6941A9A2" w14:textId="77777777" w:rsidR="00E15608" w:rsidRDefault="00E15608" w:rsidP="00577897">
      <w:pPr>
        <w:pStyle w:val="Bibliography"/>
        <w:jc w:val="both"/>
      </w:pPr>
      <w:r>
        <w:t>32</w:t>
      </w:r>
      <w:r>
        <w:tab/>
        <w:t xml:space="preserve">IRENA, </w:t>
      </w:r>
      <w:r>
        <w:rPr>
          <w:i/>
          <w:iCs/>
        </w:rPr>
        <w:t>Making the breakthrough: Green hydrogen policies and technology costs</w:t>
      </w:r>
      <w:r>
        <w:t>, International Renewable Energy Agency, Abu Dhabi, 2021.</w:t>
      </w:r>
    </w:p>
    <w:p w14:paraId="17158F95" w14:textId="77777777" w:rsidR="00E15608" w:rsidRDefault="00E15608" w:rsidP="00577897">
      <w:pPr>
        <w:pStyle w:val="Bibliography"/>
        <w:jc w:val="both"/>
      </w:pPr>
      <w:r>
        <w:t>33</w:t>
      </w:r>
      <w:r>
        <w:tab/>
        <w:t xml:space="preserve">B. Parkinson, P. Balcombe, J. F. Speirs, A. D. Hawkes and K. </w:t>
      </w:r>
      <w:proofErr w:type="spellStart"/>
      <w:r>
        <w:t>Hellgardt</w:t>
      </w:r>
      <w:proofErr w:type="spellEnd"/>
      <w:r>
        <w:t xml:space="preserve">, </w:t>
      </w:r>
      <w:r>
        <w:rPr>
          <w:i/>
          <w:iCs/>
        </w:rPr>
        <w:t>Energy Environ. Sci.</w:t>
      </w:r>
      <w:r>
        <w:t xml:space="preserve">, 2019, </w:t>
      </w:r>
      <w:r>
        <w:rPr>
          <w:b/>
          <w:bCs/>
        </w:rPr>
        <w:t>12</w:t>
      </w:r>
      <w:r>
        <w:t>, 19–40.</w:t>
      </w:r>
    </w:p>
    <w:p w14:paraId="313217E7" w14:textId="77777777" w:rsidR="00E15608" w:rsidRDefault="00E15608" w:rsidP="00577897">
      <w:pPr>
        <w:pStyle w:val="Bibliography"/>
        <w:jc w:val="both"/>
      </w:pPr>
      <w:r>
        <w:t>34</w:t>
      </w:r>
      <w:r>
        <w:tab/>
        <w:t xml:space="preserve">D. W. Keith, G. Holmes, D. St. Angelo and K. </w:t>
      </w:r>
      <w:proofErr w:type="spellStart"/>
      <w:r>
        <w:t>Heidel</w:t>
      </w:r>
      <w:proofErr w:type="spellEnd"/>
      <w:r>
        <w:t xml:space="preserve">, </w:t>
      </w:r>
      <w:r>
        <w:rPr>
          <w:i/>
          <w:iCs/>
        </w:rPr>
        <w:t>Joule</w:t>
      </w:r>
      <w:r>
        <w:t xml:space="preserve">, 2018, </w:t>
      </w:r>
      <w:r>
        <w:rPr>
          <w:b/>
          <w:bCs/>
        </w:rPr>
        <w:t>2</w:t>
      </w:r>
      <w:r>
        <w:t>, 1573–1594.</w:t>
      </w:r>
    </w:p>
    <w:p w14:paraId="69CBCB69" w14:textId="77777777" w:rsidR="00E15608" w:rsidRDefault="00E15608" w:rsidP="00577897">
      <w:pPr>
        <w:pStyle w:val="Bibliography"/>
        <w:jc w:val="both"/>
      </w:pPr>
      <w:r>
        <w:t>35</w:t>
      </w:r>
      <w:r>
        <w:tab/>
        <w:t xml:space="preserve">S. </w:t>
      </w:r>
      <w:proofErr w:type="spellStart"/>
      <w:r>
        <w:t>Cobo</w:t>
      </w:r>
      <w:proofErr w:type="spellEnd"/>
      <w:r>
        <w:t xml:space="preserve">, Á. </w:t>
      </w:r>
      <w:proofErr w:type="spellStart"/>
      <w:r>
        <w:t>Galán</w:t>
      </w:r>
      <w:proofErr w:type="spellEnd"/>
      <w:r>
        <w:t xml:space="preserve">-Martín, V. </w:t>
      </w:r>
      <w:proofErr w:type="spellStart"/>
      <w:r>
        <w:t>Tulus</w:t>
      </w:r>
      <w:proofErr w:type="spellEnd"/>
      <w:r>
        <w:t xml:space="preserve">, M. A. J. </w:t>
      </w:r>
      <w:proofErr w:type="spellStart"/>
      <w:r>
        <w:t>Huijbregts</w:t>
      </w:r>
      <w:proofErr w:type="spellEnd"/>
      <w:r>
        <w:t xml:space="preserve"> and G. Guillén-Gosálbez, </w:t>
      </w:r>
      <w:r>
        <w:rPr>
          <w:i/>
          <w:iCs/>
        </w:rPr>
        <w:t xml:space="preserve">Nat </w:t>
      </w:r>
      <w:proofErr w:type="spellStart"/>
      <w:r>
        <w:rPr>
          <w:i/>
          <w:iCs/>
        </w:rPr>
        <w:t>Commun</w:t>
      </w:r>
      <w:proofErr w:type="spellEnd"/>
      <w:r>
        <w:t xml:space="preserve">, 2022, </w:t>
      </w:r>
      <w:r>
        <w:rPr>
          <w:b/>
          <w:bCs/>
        </w:rPr>
        <w:t>13</w:t>
      </w:r>
      <w:r>
        <w:t>, 2535.</w:t>
      </w:r>
    </w:p>
    <w:p w14:paraId="4A477AD2" w14:textId="77777777" w:rsidR="00E15608" w:rsidRDefault="00E15608" w:rsidP="00577897">
      <w:pPr>
        <w:pStyle w:val="Bibliography"/>
        <w:jc w:val="both"/>
      </w:pPr>
      <w:r>
        <w:t>36</w:t>
      </w:r>
      <w:r>
        <w:tab/>
        <w:t xml:space="preserve">S. Fuss, W. F. Lamb, M. W. Callaghan, J. Hilaire, F. </w:t>
      </w:r>
      <w:proofErr w:type="spellStart"/>
      <w:r>
        <w:t>Creutzig</w:t>
      </w:r>
      <w:proofErr w:type="spellEnd"/>
      <w:r>
        <w:t xml:space="preserve">, T. Amann, T. </w:t>
      </w:r>
      <w:proofErr w:type="spellStart"/>
      <w:r>
        <w:t>Beringer</w:t>
      </w:r>
      <w:proofErr w:type="spellEnd"/>
      <w:r>
        <w:t xml:space="preserve">, W. de O. Garcia, J. Hartmann, T. Khanna, G. </w:t>
      </w:r>
      <w:proofErr w:type="spellStart"/>
      <w:r>
        <w:t>Luderer</w:t>
      </w:r>
      <w:proofErr w:type="spellEnd"/>
      <w:r>
        <w:t xml:space="preserve">, G. F. </w:t>
      </w:r>
      <w:proofErr w:type="spellStart"/>
      <w:r>
        <w:t>Nemet</w:t>
      </w:r>
      <w:proofErr w:type="spellEnd"/>
      <w:r>
        <w:t xml:space="preserve">, J. </w:t>
      </w:r>
      <w:proofErr w:type="spellStart"/>
      <w:r>
        <w:t>Rogelj</w:t>
      </w:r>
      <w:proofErr w:type="spellEnd"/>
      <w:r>
        <w:t xml:space="preserve">, P. Smith, J. L. V. Vicente, J. Wilcox, M. del M. Z. Dominguez and J. C. Minx, </w:t>
      </w:r>
      <w:r>
        <w:rPr>
          <w:i/>
          <w:iCs/>
        </w:rPr>
        <w:t>Environ. Res. Lett.</w:t>
      </w:r>
      <w:r>
        <w:t xml:space="preserve">, 2018, </w:t>
      </w:r>
      <w:r>
        <w:rPr>
          <w:b/>
          <w:bCs/>
        </w:rPr>
        <w:t>13</w:t>
      </w:r>
      <w:r>
        <w:t>, 063002.</w:t>
      </w:r>
    </w:p>
    <w:p w14:paraId="333FB7E9" w14:textId="77777777" w:rsidR="00E15608" w:rsidRDefault="00E15608" w:rsidP="00577897">
      <w:pPr>
        <w:pStyle w:val="Bibliography"/>
        <w:jc w:val="both"/>
      </w:pPr>
      <w:r>
        <w:t>37</w:t>
      </w:r>
      <w:r>
        <w:tab/>
        <w:t>The World Bank, Commodity Markets, https://www.worldbank.org/en/research/commodity-markets, (accessed January 12, 2023).</w:t>
      </w:r>
    </w:p>
    <w:p w14:paraId="2E7F3585" w14:textId="77777777" w:rsidR="00E15608" w:rsidRDefault="00E15608" w:rsidP="00577897">
      <w:pPr>
        <w:pStyle w:val="Bibliography"/>
        <w:jc w:val="both"/>
      </w:pPr>
      <w:r>
        <w:t>38</w:t>
      </w:r>
      <w:r>
        <w:tab/>
        <w:t xml:space="preserve">IEA, </w:t>
      </w:r>
      <w:r>
        <w:rPr>
          <w:i/>
          <w:iCs/>
        </w:rPr>
        <w:t>How to Avoid Gas Shortages in the European Union in 2023</w:t>
      </w:r>
      <w:r>
        <w:t>, 2022.</w:t>
      </w:r>
    </w:p>
    <w:p w14:paraId="6134FAEB" w14:textId="77777777" w:rsidR="00E15608" w:rsidRDefault="00E15608" w:rsidP="00577897">
      <w:pPr>
        <w:pStyle w:val="Bibliography"/>
        <w:jc w:val="both"/>
      </w:pPr>
      <w:r>
        <w:t>39</w:t>
      </w:r>
      <w:r>
        <w:tab/>
        <w:t>CME Group, Dutch TTF Natural Gas Calendar Month Futures Quotes, https://www.cmegroup.com/markets/energy/natural-gas/dutch-ttf-natural-gas-calendar-month.quotes.html, (accessed January 9, 2023).</w:t>
      </w:r>
    </w:p>
    <w:p w14:paraId="488AEDC6" w14:textId="77777777" w:rsidR="00E15608" w:rsidRDefault="00E15608" w:rsidP="00577897">
      <w:pPr>
        <w:pStyle w:val="Bibliography"/>
        <w:jc w:val="both"/>
      </w:pPr>
      <w:r>
        <w:t>40</w:t>
      </w:r>
      <w:r>
        <w:tab/>
        <w:t xml:space="preserve">R. Way, M. C. Ives, P. Mealy and J. D. Farmer, </w:t>
      </w:r>
      <w:r>
        <w:rPr>
          <w:i/>
          <w:iCs/>
        </w:rPr>
        <w:t>Joule</w:t>
      </w:r>
      <w:r>
        <w:t xml:space="preserve">, 2022, </w:t>
      </w:r>
      <w:r>
        <w:rPr>
          <w:b/>
          <w:bCs/>
        </w:rPr>
        <w:t>6</w:t>
      </w:r>
      <w:r>
        <w:t>, 2057–2082.</w:t>
      </w:r>
    </w:p>
    <w:p w14:paraId="14D0AE0F" w14:textId="77777777" w:rsidR="00E15608" w:rsidRDefault="00E15608" w:rsidP="00577897">
      <w:pPr>
        <w:pStyle w:val="Bibliography"/>
        <w:jc w:val="both"/>
      </w:pPr>
      <w:r>
        <w:t>41</w:t>
      </w:r>
      <w:r>
        <w:tab/>
        <w:t xml:space="preserve">T. N. Do, C. You and J. Kim, </w:t>
      </w:r>
      <w:r>
        <w:rPr>
          <w:i/>
          <w:iCs/>
        </w:rPr>
        <w:t>Energy Environ. Sci.</w:t>
      </w:r>
      <w:r>
        <w:t xml:space="preserve">, 2022, </w:t>
      </w:r>
      <w:r>
        <w:rPr>
          <w:b/>
          <w:bCs/>
        </w:rPr>
        <w:t>15</w:t>
      </w:r>
      <w:r>
        <w:t>, 169–184.</w:t>
      </w:r>
    </w:p>
    <w:p w14:paraId="24B222DC" w14:textId="77777777" w:rsidR="00E15608" w:rsidRDefault="00E15608" w:rsidP="00577897">
      <w:pPr>
        <w:pStyle w:val="Bibliography"/>
        <w:jc w:val="both"/>
      </w:pPr>
      <w:r>
        <w:t>42</w:t>
      </w:r>
      <w:r>
        <w:tab/>
        <w:t xml:space="preserve">A. </w:t>
      </w:r>
      <w:proofErr w:type="spellStart"/>
      <w:r>
        <w:t>Boulamanti</w:t>
      </w:r>
      <w:proofErr w:type="spellEnd"/>
      <w:r>
        <w:t xml:space="preserve"> and J. A. Moya, </w:t>
      </w:r>
      <w:r>
        <w:rPr>
          <w:i/>
          <w:iCs/>
        </w:rPr>
        <w:t>Renewable and Sustainable Energy Reviews</w:t>
      </w:r>
      <w:r>
        <w:t xml:space="preserve">, 2017, </w:t>
      </w:r>
      <w:r>
        <w:rPr>
          <w:b/>
          <w:bCs/>
        </w:rPr>
        <w:t>68</w:t>
      </w:r>
      <w:r>
        <w:t>, 1205–1212.</w:t>
      </w:r>
    </w:p>
    <w:p w14:paraId="60F0083E" w14:textId="77777777" w:rsidR="00E15608" w:rsidRDefault="00E15608" w:rsidP="00577897">
      <w:pPr>
        <w:pStyle w:val="Bibliography"/>
        <w:jc w:val="both"/>
      </w:pPr>
      <w:r>
        <w:t>43</w:t>
      </w:r>
      <w:r>
        <w:tab/>
      </w:r>
      <w:proofErr w:type="spellStart"/>
      <w:r>
        <w:t>cefic</w:t>
      </w:r>
      <w:proofErr w:type="spellEnd"/>
      <w:r>
        <w:t xml:space="preserve">, </w:t>
      </w:r>
      <w:r>
        <w:rPr>
          <w:i/>
          <w:iCs/>
        </w:rPr>
        <w:t>The European Chemical Industry - Facts &amp; Figures 2022</w:t>
      </w:r>
      <w:r>
        <w:t>, 2022.</w:t>
      </w:r>
    </w:p>
    <w:p w14:paraId="737926CF" w14:textId="77777777" w:rsidR="00E15608" w:rsidRDefault="00E15608" w:rsidP="00577897">
      <w:pPr>
        <w:pStyle w:val="Bibliography"/>
        <w:jc w:val="both"/>
      </w:pPr>
      <w:r>
        <w:t>44</w:t>
      </w:r>
      <w:r>
        <w:tab/>
        <w:t xml:space="preserve">European Commission, </w:t>
      </w:r>
      <w:r>
        <w:rPr>
          <w:i/>
          <w:iCs/>
        </w:rPr>
        <w:t>“Fit for 55”: delivering the EU’s 2030 Climate Target on the way to climate neutrality</w:t>
      </w:r>
      <w:r>
        <w:t xml:space="preserve">, </w:t>
      </w:r>
      <w:proofErr w:type="gramStart"/>
      <w:r>
        <w:t>COM(</w:t>
      </w:r>
      <w:proofErr w:type="gramEnd"/>
      <w:r>
        <w:t>2021) 550 final, Brussels, 2021.</w:t>
      </w:r>
    </w:p>
    <w:p w14:paraId="09D2CFCF" w14:textId="77777777" w:rsidR="00E15608" w:rsidRPr="00291255" w:rsidRDefault="00E15608" w:rsidP="00577897">
      <w:pPr>
        <w:pStyle w:val="Bibliography"/>
        <w:jc w:val="both"/>
        <w:rPr>
          <w:lang w:val="de-CH"/>
        </w:rPr>
      </w:pPr>
      <w:r w:rsidRPr="00291255">
        <w:rPr>
          <w:lang w:val="de-CH"/>
        </w:rPr>
        <w:t>45</w:t>
      </w:r>
      <w:r w:rsidRPr="00291255">
        <w:rPr>
          <w:lang w:val="de-CH"/>
        </w:rPr>
        <w:tab/>
        <w:t xml:space="preserve">L. </w:t>
      </w:r>
      <w:proofErr w:type="spellStart"/>
      <w:r w:rsidRPr="00291255">
        <w:rPr>
          <w:lang w:val="de-CH"/>
        </w:rPr>
        <w:t>Klaaßen</w:t>
      </w:r>
      <w:proofErr w:type="spellEnd"/>
      <w:r w:rsidRPr="00291255">
        <w:rPr>
          <w:lang w:val="de-CH"/>
        </w:rPr>
        <w:t xml:space="preserve"> and B. Steffen, </w:t>
      </w:r>
      <w:r w:rsidRPr="00291255">
        <w:rPr>
          <w:i/>
          <w:iCs/>
          <w:lang w:val="de-CH"/>
        </w:rPr>
        <w:t xml:space="preserve">Nat. </w:t>
      </w:r>
      <w:proofErr w:type="spellStart"/>
      <w:r w:rsidRPr="00291255">
        <w:rPr>
          <w:i/>
          <w:iCs/>
          <w:lang w:val="de-CH"/>
        </w:rPr>
        <w:t>Clim</w:t>
      </w:r>
      <w:proofErr w:type="spellEnd"/>
      <w:r w:rsidRPr="00291255">
        <w:rPr>
          <w:i/>
          <w:iCs/>
          <w:lang w:val="de-CH"/>
        </w:rPr>
        <w:t>. Chang.</w:t>
      </w:r>
      <w:r w:rsidRPr="00291255">
        <w:rPr>
          <w:lang w:val="de-CH"/>
        </w:rPr>
        <w:t>, 2023, 1–9.</w:t>
      </w:r>
    </w:p>
    <w:p w14:paraId="777AEE5F" w14:textId="77777777" w:rsidR="00E15608" w:rsidRPr="00291255" w:rsidRDefault="00E15608" w:rsidP="00577897">
      <w:pPr>
        <w:pStyle w:val="Bibliography"/>
        <w:jc w:val="both"/>
        <w:rPr>
          <w:lang w:val="de-CH"/>
        </w:rPr>
      </w:pPr>
      <w:r w:rsidRPr="00291255">
        <w:rPr>
          <w:lang w:val="de-CH"/>
        </w:rPr>
        <w:t>46</w:t>
      </w:r>
      <w:r w:rsidRPr="00291255">
        <w:rPr>
          <w:lang w:val="de-CH"/>
        </w:rPr>
        <w:tab/>
        <w:t xml:space="preserve">A. J. </w:t>
      </w:r>
      <w:proofErr w:type="spellStart"/>
      <w:r w:rsidRPr="00291255">
        <w:rPr>
          <w:lang w:val="de-CH"/>
        </w:rPr>
        <w:t>Shih</w:t>
      </w:r>
      <w:proofErr w:type="spellEnd"/>
      <w:r w:rsidRPr="00291255">
        <w:rPr>
          <w:lang w:val="de-CH"/>
        </w:rPr>
        <w:t xml:space="preserve">, M. C. O. Monteiro, F. </w:t>
      </w:r>
      <w:proofErr w:type="spellStart"/>
      <w:r w:rsidRPr="00291255">
        <w:rPr>
          <w:lang w:val="de-CH"/>
        </w:rPr>
        <w:t>Dattila</w:t>
      </w:r>
      <w:proofErr w:type="spellEnd"/>
      <w:r w:rsidRPr="00291255">
        <w:rPr>
          <w:lang w:val="de-CH"/>
        </w:rPr>
        <w:t xml:space="preserve">, D. </w:t>
      </w:r>
      <w:proofErr w:type="spellStart"/>
      <w:r w:rsidRPr="00291255">
        <w:rPr>
          <w:lang w:val="de-CH"/>
        </w:rPr>
        <w:t>Pavesi</w:t>
      </w:r>
      <w:proofErr w:type="spellEnd"/>
      <w:r w:rsidRPr="00291255">
        <w:rPr>
          <w:lang w:val="de-CH"/>
        </w:rPr>
        <w:t xml:space="preserve">, M. Philips, A. H. M. da Silva, R. E. Vos, K. </w:t>
      </w:r>
      <w:proofErr w:type="spellStart"/>
      <w:r w:rsidRPr="00291255">
        <w:rPr>
          <w:lang w:val="de-CH"/>
        </w:rPr>
        <w:t>Ojha</w:t>
      </w:r>
      <w:proofErr w:type="spellEnd"/>
      <w:r w:rsidRPr="00291255">
        <w:rPr>
          <w:lang w:val="de-CH"/>
        </w:rPr>
        <w:t xml:space="preserve">, S. Park, O. van der </w:t>
      </w:r>
      <w:proofErr w:type="spellStart"/>
      <w:r w:rsidRPr="00291255">
        <w:rPr>
          <w:lang w:val="de-CH"/>
        </w:rPr>
        <w:t>Heijden</w:t>
      </w:r>
      <w:proofErr w:type="spellEnd"/>
      <w:r w:rsidRPr="00291255">
        <w:rPr>
          <w:lang w:val="de-CH"/>
        </w:rPr>
        <w:t xml:space="preserve">, G. </w:t>
      </w:r>
      <w:proofErr w:type="spellStart"/>
      <w:r w:rsidRPr="00291255">
        <w:rPr>
          <w:lang w:val="de-CH"/>
        </w:rPr>
        <w:t>Marcandalli</w:t>
      </w:r>
      <w:proofErr w:type="spellEnd"/>
      <w:r w:rsidRPr="00291255">
        <w:rPr>
          <w:lang w:val="de-CH"/>
        </w:rPr>
        <w:t xml:space="preserve">, A. </w:t>
      </w:r>
      <w:proofErr w:type="spellStart"/>
      <w:r w:rsidRPr="00291255">
        <w:rPr>
          <w:lang w:val="de-CH"/>
        </w:rPr>
        <w:t>Goyal</w:t>
      </w:r>
      <w:proofErr w:type="spellEnd"/>
      <w:r w:rsidRPr="00291255">
        <w:rPr>
          <w:lang w:val="de-CH"/>
        </w:rPr>
        <w:t xml:space="preserve">, M. Villalba, X. Chen, G. T. K. K. </w:t>
      </w:r>
      <w:proofErr w:type="spellStart"/>
      <w:r w:rsidRPr="00291255">
        <w:rPr>
          <w:lang w:val="de-CH"/>
        </w:rPr>
        <w:t>Gunasooriya</w:t>
      </w:r>
      <w:proofErr w:type="spellEnd"/>
      <w:r w:rsidRPr="00291255">
        <w:rPr>
          <w:lang w:val="de-CH"/>
        </w:rPr>
        <w:t xml:space="preserve">, I. </w:t>
      </w:r>
      <w:proofErr w:type="spellStart"/>
      <w:r w:rsidRPr="00291255">
        <w:rPr>
          <w:lang w:val="de-CH"/>
        </w:rPr>
        <w:t>McCrum</w:t>
      </w:r>
      <w:proofErr w:type="spellEnd"/>
      <w:r w:rsidRPr="00291255">
        <w:rPr>
          <w:lang w:val="de-CH"/>
        </w:rPr>
        <w:t xml:space="preserve">, R. </w:t>
      </w:r>
      <w:proofErr w:type="spellStart"/>
      <w:r w:rsidRPr="00291255">
        <w:rPr>
          <w:lang w:val="de-CH"/>
        </w:rPr>
        <w:t>Mom</w:t>
      </w:r>
      <w:proofErr w:type="spellEnd"/>
      <w:r w:rsidRPr="00291255">
        <w:rPr>
          <w:lang w:val="de-CH"/>
        </w:rPr>
        <w:t xml:space="preserve">, N. López and M. T. M. </w:t>
      </w:r>
      <w:proofErr w:type="spellStart"/>
      <w:r w:rsidRPr="00291255">
        <w:rPr>
          <w:lang w:val="de-CH"/>
        </w:rPr>
        <w:t>Koper</w:t>
      </w:r>
      <w:proofErr w:type="spellEnd"/>
      <w:r w:rsidRPr="00291255">
        <w:rPr>
          <w:lang w:val="de-CH"/>
        </w:rPr>
        <w:t xml:space="preserve">, </w:t>
      </w:r>
      <w:r w:rsidRPr="00291255">
        <w:rPr>
          <w:i/>
          <w:iCs/>
          <w:lang w:val="de-CH"/>
        </w:rPr>
        <w:t>Nat Rev Methods Primers</w:t>
      </w:r>
      <w:r w:rsidRPr="00291255">
        <w:rPr>
          <w:lang w:val="de-CH"/>
        </w:rPr>
        <w:t xml:space="preserve">, 2022, </w:t>
      </w:r>
      <w:r w:rsidRPr="00291255">
        <w:rPr>
          <w:b/>
          <w:bCs/>
          <w:lang w:val="de-CH"/>
        </w:rPr>
        <w:t>2</w:t>
      </w:r>
      <w:r w:rsidRPr="00291255">
        <w:rPr>
          <w:lang w:val="de-CH"/>
        </w:rPr>
        <w:t>, 1–19.</w:t>
      </w:r>
    </w:p>
    <w:p w14:paraId="421798DD" w14:textId="77777777" w:rsidR="00E15608" w:rsidRPr="00291255" w:rsidRDefault="00E15608" w:rsidP="00577897">
      <w:pPr>
        <w:pStyle w:val="Bibliography"/>
        <w:jc w:val="both"/>
        <w:rPr>
          <w:lang w:val="de-CH"/>
        </w:rPr>
      </w:pPr>
      <w:r w:rsidRPr="00291255">
        <w:rPr>
          <w:lang w:val="de-CH"/>
        </w:rPr>
        <w:t>47</w:t>
      </w:r>
      <w:r w:rsidRPr="00291255">
        <w:rPr>
          <w:lang w:val="de-CH"/>
        </w:rPr>
        <w:tab/>
        <w:t xml:space="preserve">M. </w:t>
      </w:r>
      <w:proofErr w:type="spellStart"/>
      <w:r w:rsidRPr="00291255">
        <w:rPr>
          <w:lang w:val="de-CH"/>
        </w:rPr>
        <w:t>Chatenet</w:t>
      </w:r>
      <w:proofErr w:type="spellEnd"/>
      <w:r w:rsidRPr="00291255">
        <w:rPr>
          <w:lang w:val="de-CH"/>
        </w:rPr>
        <w:t xml:space="preserve">, B. G. </w:t>
      </w:r>
      <w:proofErr w:type="spellStart"/>
      <w:r w:rsidRPr="00291255">
        <w:rPr>
          <w:lang w:val="de-CH"/>
        </w:rPr>
        <w:t>Pollet</w:t>
      </w:r>
      <w:proofErr w:type="spellEnd"/>
      <w:r w:rsidRPr="00291255">
        <w:rPr>
          <w:lang w:val="de-CH"/>
        </w:rPr>
        <w:t xml:space="preserve">, D. R. </w:t>
      </w:r>
      <w:proofErr w:type="spellStart"/>
      <w:r w:rsidRPr="00291255">
        <w:rPr>
          <w:lang w:val="de-CH"/>
        </w:rPr>
        <w:t>Dekel</w:t>
      </w:r>
      <w:proofErr w:type="spellEnd"/>
      <w:r w:rsidRPr="00291255">
        <w:rPr>
          <w:lang w:val="de-CH"/>
        </w:rPr>
        <w:t xml:space="preserve">, F. </w:t>
      </w:r>
      <w:proofErr w:type="spellStart"/>
      <w:r w:rsidRPr="00291255">
        <w:rPr>
          <w:lang w:val="de-CH"/>
        </w:rPr>
        <w:t>Dionigi</w:t>
      </w:r>
      <w:proofErr w:type="spellEnd"/>
      <w:r w:rsidRPr="00291255">
        <w:rPr>
          <w:lang w:val="de-CH"/>
        </w:rPr>
        <w:t xml:space="preserve">, J. </w:t>
      </w:r>
      <w:proofErr w:type="spellStart"/>
      <w:r w:rsidRPr="00291255">
        <w:rPr>
          <w:lang w:val="de-CH"/>
        </w:rPr>
        <w:t>Deseure</w:t>
      </w:r>
      <w:proofErr w:type="spellEnd"/>
      <w:r w:rsidRPr="00291255">
        <w:rPr>
          <w:lang w:val="de-CH"/>
        </w:rPr>
        <w:t xml:space="preserve">, P. Millet, R. D. Braatz, M. Z. </w:t>
      </w:r>
      <w:proofErr w:type="spellStart"/>
      <w:r w:rsidRPr="00291255">
        <w:rPr>
          <w:lang w:val="de-CH"/>
        </w:rPr>
        <w:t>Bazant</w:t>
      </w:r>
      <w:proofErr w:type="spellEnd"/>
      <w:r w:rsidRPr="00291255">
        <w:rPr>
          <w:lang w:val="de-CH"/>
        </w:rPr>
        <w:t xml:space="preserve">, M. Eikerling, I. </w:t>
      </w:r>
      <w:proofErr w:type="spellStart"/>
      <w:r w:rsidRPr="00291255">
        <w:rPr>
          <w:lang w:val="de-CH"/>
        </w:rPr>
        <w:t>Staffell</w:t>
      </w:r>
      <w:proofErr w:type="spellEnd"/>
      <w:r w:rsidRPr="00291255">
        <w:rPr>
          <w:lang w:val="de-CH"/>
        </w:rPr>
        <w:t xml:space="preserve">, P. </w:t>
      </w:r>
      <w:proofErr w:type="spellStart"/>
      <w:r w:rsidRPr="00291255">
        <w:rPr>
          <w:lang w:val="de-CH"/>
        </w:rPr>
        <w:t>Balcombe</w:t>
      </w:r>
      <w:proofErr w:type="spellEnd"/>
      <w:r w:rsidRPr="00291255">
        <w:rPr>
          <w:lang w:val="de-CH"/>
        </w:rPr>
        <w:t xml:space="preserve">, Y. Shao-Horn and H. Schäfer, </w:t>
      </w:r>
      <w:r w:rsidRPr="00291255">
        <w:rPr>
          <w:i/>
          <w:iCs/>
          <w:lang w:val="de-CH"/>
        </w:rPr>
        <w:t xml:space="preserve">Chem. </w:t>
      </w:r>
      <w:proofErr w:type="spellStart"/>
      <w:r w:rsidRPr="00291255">
        <w:rPr>
          <w:i/>
          <w:iCs/>
          <w:lang w:val="de-CH"/>
        </w:rPr>
        <w:t>Soc</w:t>
      </w:r>
      <w:proofErr w:type="spellEnd"/>
      <w:r w:rsidRPr="00291255">
        <w:rPr>
          <w:i/>
          <w:iCs/>
          <w:lang w:val="de-CH"/>
        </w:rPr>
        <w:t>. Rev.</w:t>
      </w:r>
      <w:r w:rsidRPr="00291255">
        <w:rPr>
          <w:lang w:val="de-CH"/>
        </w:rPr>
        <w:t xml:space="preserve">, 2022, </w:t>
      </w:r>
      <w:r w:rsidRPr="00291255">
        <w:rPr>
          <w:b/>
          <w:bCs/>
          <w:lang w:val="de-CH"/>
        </w:rPr>
        <w:t>51</w:t>
      </w:r>
      <w:r w:rsidRPr="00291255">
        <w:rPr>
          <w:lang w:val="de-CH"/>
        </w:rPr>
        <w:t>, 4583–4762.</w:t>
      </w:r>
    </w:p>
    <w:p w14:paraId="1E5034EC" w14:textId="77777777" w:rsidR="00E15608" w:rsidRPr="00291255" w:rsidRDefault="00E15608" w:rsidP="00577897">
      <w:pPr>
        <w:pStyle w:val="Bibliography"/>
        <w:jc w:val="both"/>
        <w:rPr>
          <w:lang w:val="de-CH"/>
        </w:rPr>
      </w:pPr>
      <w:r w:rsidRPr="00291255">
        <w:rPr>
          <w:lang w:val="de-CH"/>
        </w:rPr>
        <w:t>48</w:t>
      </w:r>
      <w:r w:rsidRPr="00291255">
        <w:rPr>
          <w:lang w:val="de-CH"/>
        </w:rPr>
        <w:tab/>
        <w:t>T. Pinheiro Araújo, J. Morales-Vidal, T. Zou, R. García-</w:t>
      </w:r>
      <w:proofErr w:type="spellStart"/>
      <w:r w:rsidRPr="00291255">
        <w:rPr>
          <w:lang w:val="de-CH"/>
        </w:rPr>
        <w:t>Muelas</w:t>
      </w:r>
      <w:proofErr w:type="spellEnd"/>
      <w:r w:rsidRPr="00291255">
        <w:rPr>
          <w:lang w:val="de-CH"/>
        </w:rPr>
        <w:t xml:space="preserve">, P. O. Willi, K. M. Engel, O. V. </w:t>
      </w:r>
      <w:proofErr w:type="spellStart"/>
      <w:r w:rsidRPr="00291255">
        <w:rPr>
          <w:lang w:val="de-CH"/>
        </w:rPr>
        <w:t>Safonova</w:t>
      </w:r>
      <w:proofErr w:type="spellEnd"/>
      <w:r w:rsidRPr="00291255">
        <w:rPr>
          <w:lang w:val="de-CH"/>
        </w:rPr>
        <w:t xml:space="preserve">, D. Faust </w:t>
      </w:r>
      <w:proofErr w:type="spellStart"/>
      <w:r w:rsidRPr="00291255">
        <w:rPr>
          <w:lang w:val="de-CH"/>
        </w:rPr>
        <w:t>Akl</w:t>
      </w:r>
      <w:proofErr w:type="spellEnd"/>
      <w:r w:rsidRPr="00291255">
        <w:rPr>
          <w:lang w:val="de-CH"/>
        </w:rPr>
        <w:t xml:space="preserve">, F. </w:t>
      </w:r>
      <w:proofErr w:type="spellStart"/>
      <w:r w:rsidRPr="00291255">
        <w:rPr>
          <w:lang w:val="de-CH"/>
        </w:rPr>
        <w:t>Krumeich</w:t>
      </w:r>
      <w:proofErr w:type="spellEnd"/>
      <w:r w:rsidRPr="00291255">
        <w:rPr>
          <w:lang w:val="de-CH"/>
        </w:rPr>
        <w:t xml:space="preserve">, R. N. Grass, C. </w:t>
      </w:r>
      <w:proofErr w:type="spellStart"/>
      <w:r w:rsidRPr="00291255">
        <w:rPr>
          <w:lang w:val="de-CH"/>
        </w:rPr>
        <w:t>Mondelli</w:t>
      </w:r>
      <w:proofErr w:type="spellEnd"/>
      <w:r w:rsidRPr="00291255">
        <w:rPr>
          <w:lang w:val="de-CH"/>
        </w:rPr>
        <w:t xml:space="preserve">, N. López and J. Pérez-Ramírez, </w:t>
      </w:r>
      <w:proofErr w:type="spellStart"/>
      <w:r w:rsidRPr="00291255">
        <w:rPr>
          <w:i/>
          <w:iCs/>
          <w:lang w:val="de-CH"/>
        </w:rPr>
        <w:t>Advanced</w:t>
      </w:r>
      <w:proofErr w:type="spellEnd"/>
      <w:r w:rsidRPr="00291255">
        <w:rPr>
          <w:i/>
          <w:iCs/>
          <w:lang w:val="de-CH"/>
        </w:rPr>
        <w:t xml:space="preserve"> Energy Materials</w:t>
      </w:r>
      <w:r w:rsidRPr="00291255">
        <w:rPr>
          <w:lang w:val="de-CH"/>
        </w:rPr>
        <w:t xml:space="preserve">, 2022, </w:t>
      </w:r>
      <w:r w:rsidRPr="00291255">
        <w:rPr>
          <w:b/>
          <w:bCs/>
          <w:lang w:val="de-CH"/>
        </w:rPr>
        <w:t>12</w:t>
      </w:r>
      <w:r w:rsidRPr="00291255">
        <w:rPr>
          <w:lang w:val="de-CH"/>
        </w:rPr>
        <w:t>, 2270056.</w:t>
      </w:r>
    </w:p>
    <w:p w14:paraId="060B0506" w14:textId="77777777" w:rsidR="00E15608" w:rsidRPr="00291255" w:rsidRDefault="00E15608" w:rsidP="00577897">
      <w:pPr>
        <w:pStyle w:val="Bibliography"/>
        <w:jc w:val="both"/>
        <w:rPr>
          <w:lang w:val="fr-CH"/>
        </w:rPr>
      </w:pPr>
      <w:r w:rsidRPr="00291255">
        <w:rPr>
          <w:lang w:val="fr-CH"/>
        </w:rPr>
        <w:t>49</w:t>
      </w:r>
      <w:r w:rsidRPr="00291255">
        <w:rPr>
          <w:lang w:val="fr-CH"/>
        </w:rPr>
        <w:tab/>
        <w:t>A. J. Martín and J. Pérez-</w:t>
      </w:r>
      <w:proofErr w:type="spellStart"/>
      <w:r w:rsidRPr="00291255">
        <w:rPr>
          <w:lang w:val="fr-CH"/>
        </w:rPr>
        <w:t>Ramírez</w:t>
      </w:r>
      <w:proofErr w:type="spellEnd"/>
      <w:r w:rsidRPr="00291255">
        <w:rPr>
          <w:lang w:val="fr-CH"/>
        </w:rPr>
        <w:t xml:space="preserve">, </w:t>
      </w:r>
      <w:r w:rsidRPr="00291255">
        <w:rPr>
          <w:i/>
          <w:iCs/>
          <w:lang w:val="fr-CH"/>
        </w:rPr>
        <w:t>Joule</w:t>
      </w:r>
      <w:r w:rsidRPr="00291255">
        <w:rPr>
          <w:lang w:val="fr-CH"/>
        </w:rPr>
        <w:t xml:space="preserve">, 2019, </w:t>
      </w:r>
      <w:r w:rsidRPr="00291255">
        <w:rPr>
          <w:b/>
          <w:bCs/>
          <w:lang w:val="fr-CH"/>
        </w:rPr>
        <w:t>3</w:t>
      </w:r>
      <w:r w:rsidRPr="00291255">
        <w:rPr>
          <w:lang w:val="fr-CH"/>
        </w:rPr>
        <w:t>, 2602–2621.</w:t>
      </w:r>
    </w:p>
    <w:p w14:paraId="6FCC6F00" w14:textId="77777777" w:rsidR="00E15608" w:rsidRDefault="00E15608" w:rsidP="00577897">
      <w:pPr>
        <w:pStyle w:val="Bibliography"/>
        <w:jc w:val="both"/>
      </w:pPr>
      <w:r>
        <w:t>50</w:t>
      </w:r>
      <w:r>
        <w:tab/>
        <w:t xml:space="preserve">B. K. </w:t>
      </w:r>
      <w:proofErr w:type="spellStart"/>
      <w:r>
        <w:t>Sovacool</w:t>
      </w:r>
      <w:proofErr w:type="spellEnd"/>
      <w:r>
        <w:t xml:space="preserve">, S. H. Ali, M. </w:t>
      </w:r>
      <w:proofErr w:type="spellStart"/>
      <w:r>
        <w:t>Bazilian</w:t>
      </w:r>
      <w:proofErr w:type="spellEnd"/>
      <w:r>
        <w:t xml:space="preserve">, B. Radley, B. </w:t>
      </w:r>
      <w:proofErr w:type="spellStart"/>
      <w:r>
        <w:t>Nemery</w:t>
      </w:r>
      <w:proofErr w:type="spellEnd"/>
      <w:r>
        <w:t xml:space="preserve">, J. </w:t>
      </w:r>
      <w:proofErr w:type="spellStart"/>
      <w:r>
        <w:t>Okatz</w:t>
      </w:r>
      <w:proofErr w:type="spellEnd"/>
      <w:r>
        <w:t xml:space="preserve"> and D. Mulvaney, </w:t>
      </w:r>
      <w:r>
        <w:rPr>
          <w:i/>
          <w:iCs/>
        </w:rPr>
        <w:t>Science</w:t>
      </w:r>
      <w:r>
        <w:t xml:space="preserve">, 2020, </w:t>
      </w:r>
      <w:r>
        <w:rPr>
          <w:b/>
          <w:bCs/>
        </w:rPr>
        <w:t>367</w:t>
      </w:r>
      <w:r>
        <w:t>, 30–33.</w:t>
      </w:r>
    </w:p>
    <w:p w14:paraId="10CB3935" w14:textId="77777777" w:rsidR="00E15608" w:rsidRDefault="00E15608" w:rsidP="00577897">
      <w:pPr>
        <w:pStyle w:val="Bibliography"/>
        <w:jc w:val="both"/>
      </w:pPr>
      <w:r>
        <w:t>51</w:t>
      </w:r>
      <w:r>
        <w:tab/>
        <w:t xml:space="preserve">M. </w:t>
      </w:r>
      <w:proofErr w:type="spellStart"/>
      <w:r>
        <w:t>Appl</w:t>
      </w:r>
      <w:proofErr w:type="spellEnd"/>
      <w:r>
        <w:t xml:space="preserve">, in </w:t>
      </w:r>
      <w:r>
        <w:rPr>
          <w:i/>
          <w:iCs/>
        </w:rPr>
        <w:t xml:space="preserve">Ullmann’s </w:t>
      </w:r>
      <w:proofErr w:type="spellStart"/>
      <w:r>
        <w:rPr>
          <w:i/>
          <w:iCs/>
        </w:rPr>
        <w:t>Encyclopedia</w:t>
      </w:r>
      <w:proofErr w:type="spellEnd"/>
      <w:r>
        <w:rPr>
          <w:i/>
          <w:iCs/>
        </w:rPr>
        <w:t xml:space="preserve"> of Industrial Chemistry</w:t>
      </w:r>
      <w:r>
        <w:t>, John Wiley &amp; Sons, Ltd, 2011.</w:t>
      </w:r>
    </w:p>
    <w:p w14:paraId="5F5E5070" w14:textId="77777777" w:rsidR="00E15608" w:rsidRDefault="00E15608" w:rsidP="00577897">
      <w:pPr>
        <w:pStyle w:val="Bibliography"/>
        <w:jc w:val="both"/>
      </w:pPr>
      <w:r>
        <w:lastRenderedPageBreak/>
        <w:t>52</w:t>
      </w:r>
      <w:r>
        <w:tab/>
        <w:t xml:space="preserve">K. M. V. Bussche and G. F. </w:t>
      </w:r>
      <w:proofErr w:type="spellStart"/>
      <w:r>
        <w:t>Froment</w:t>
      </w:r>
      <w:proofErr w:type="spellEnd"/>
      <w:r>
        <w:t xml:space="preserve">, </w:t>
      </w:r>
      <w:r>
        <w:rPr>
          <w:i/>
          <w:iCs/>
        </w:rPr>
        <w:t>Journal of Catalysis</w:t>
      </w:r>
      <w:r>
        <w:t xml:space="preserve">, 1996, </w:t>
      </w:r>
      <w:r>
        <w:rPr>
          <w:b/>
          <w:bCs/>
        </w:rPr>
        <w:t>161</w:t>
      </w:r>
      <w:r>
        <w:t>, 1–10.</w:t>
      </w:r>
    </w:p>
    <w:p w14:paraId="4040BCA4" w14:textId="77777777" w:rsidR="00E15608" w:rsidRDefault="00E15608" w:rsidP="00577897">
      <w:pPr>
        <w:pStyle w:val="Bibliography"/>
        <w:jc w:val="both"/>
      </w:pPr>
      <w:r>
        <w:t>53</w:t>
      </w:r>
      <w:r>
        <w:tab/>
        <w:t xml:space="preserve">ISO 14040:2006, </w:t>
      </w:r>
      <w:r>
        <w:rPr>
          <w:i/>
          <w:iCs/>
        </w:rPr>
        <w:t>Environmental management — Life cycle assessment — Principles and framework</w:t>
      </w:r>
      <w:proofErr w:type="gramStart"/>
      <w:r>
        <w:t>, .</w:t>
      </w:r>
      <w:proofErr w:type="gramEnd"/>
    </w:p>
    <w:p w14:paraId="0E91C542" w14:textId="77777777" w:rsidR="00E15608" w:rsidRDefault="00E15608" w:rsidP="00577897">
      <w:pPr>
        <w:pStyle w:val="Bibliography"/>
        <w:jc w:val="both"/>
      </w:pPr>
      <w:r>
        <w:t>54</w:t>
      </w:r>
      <w:r>
        <w:tab/>
        <w:t xml:space="preserve">ISO 14044:2006, </w:t>
      </w:r>
      <w:r>
        <w:rPr>
          <w:i/>
          <w:iCs/>
        </w:rPr>
        <w:t>Environmental management — Life cycle assessment — Requirements and guidelines</w:t>
      </w:r>
      <w:proofErr w:type="gramStart"/>
      <w:r>
        <w:t>, .</w:t>
      </w:r>
      <w:proofErr w:type="gramEnd"/>
    </w:p>
    <w:p w14:paraId="09493B1D" w14:textId="77777777" w:rsidR="00E15608" w:rsidRDefault="00E15608" w:rsidP="00577897">
      <w:pPr>
        <w:pStyle w:val="Bibliography"/>
        <w:jc w:val="both"/>
      </w:pPr>
      <w:r>
        <w:t>55</w:t>
      </w:r>
      <w:r>
        <w:tab/>
        <w:t xml:space="preserve">S. Hellweg and L. </w:t>
      </w:r>
      <w:proofErr w:type="spellStart"/>
      <w:r>
        <w:t>Milà</w:t>
      </w:r>
      <w:proofErr w:type="spellEnd"/>
      <w:r>
        <w:t xml:space="preserve"> i Canals, </w:t>
      </w:r>
      <w:r>
        <w:rPr>
          <w:i/>
          <w:iCs/>
        </w:rPr>
        <w:t>Science</w:t>
      </w:r>
      <w:r>
        <w:t xml:space="preserve">, 2014, </w:t>
      </w:r>
      <w:r>
        <w:rPr>
          <w:b/>
          <w:bCs/>
        </w:rPr>
        <w:t>344</w:t>
      </w:r>
      <w:r>
        <w:t>, 1109–1113.</w:t>
      </w:r>
    </w:p>
    <w:p w14:paraId="596D7B9C" w14:textId="77777777" w:rsidR="00E15608" w:rsidRDefault="00E15608" w:rsidP="00577897">
      <w:pPr>
        <w:pStyle w:val="Bibliography"/>
        <w:jc w:val="both"/>
      </w:pPr>
      <w:r>
        <w:t>56</w:t>
      </w:r>
      <w:r>
        <w:tab/>
        <w:t xml:space="preserve">G. </w:t>
      </w:r>
      <w:proofErr w:type="spellStart"/>
      <w:r>
        <w:t>Wernet</w:t>
      </w:r>
      <w:proofErr w:type="spellEnd"/>
      <w:r>
        <w:t xml:space="preserve">, C. Bauer, B. </w:t>
      </w:r>
      <w:proofErr w:type="spellStart"/>
      <w:r>
        <w:t>Steubing</w:t>
      </w:r>
      <w:proofErr w:type="spellEnd"/>
      <w:r>
        <w:t xml:space="preserve">, J. Reinhard, E. Moreno-Ruiz and B. </w:t>
      </w:r>
      <w:proofErr w:type="spellStart"/>
      <w:r>
        <w:t>Weidema</w:t>
      </w:r>
      <w:proofErr w:type="spellEnd"/>
      <w:r>
        <w:t xml:space="preserve">, </w:t>
      </w:r>
      <w:r>
        <w:rPr>
          <w:i/>
          <w:iCs/>
        </w:rPr>
        <w:t>Int J Life Cycle Assess</w:t>
      </w:r>
      <w:r>
        <w:t xml:space="preserve">, 2016, </w:t>
      </w:r>
      <w:r>
        <w:rPr>
          <w:b/>
          <w:bCs/>
        </w:rPr>
        <w:t>21</w:t>
      </w:r>
      <w:r>
        <w:t>, 1218–1230.</w:t>
      </w:r>
    </w:p>
    <w:p w14:paraId="582BF2BA" w14:textId="77777777" w:rsidR="00E15608" w:rsidRDefault="00E15608" w:rsidP="00577897">
      <w:pPr>
        <w:pStyle w:val="Bibliography"/>
        <w:jc w:val="both"/>
      </w:pPr>
      <w:r>
        <w:t>57</w:t>
      </w:r>
      <w:r>
        <w:tab/>
        <w:t xml:space="preserve">M. A. J. </w:t>
      </w:r>
      <w:proofErr w:type="spellStart"/>
      <w:r>
        <w:t>Huijbregts</w:t>
      </w:r>
      <w:proofErr w:type="spellEnd"/>
      <w:r>
        <w:t xml:space="preserve">, Z. J. N. Steinmann, P. M. F. </w:t>
      </w:r>
      <w:proofErr w:type="spellStart"/>
      <w:r>
        <w:t>Elshout</w:t>
      </w:r>
      <w:proofErr w:type="spellEnd"/>
      <w:r>
        <w:t xml:space="preserve">, G. Stam, F. </w:t>
      </w:r>
      <w:proofErr w:type="spellStart"/>
      <w:r>
        <w:t>Verones</w:t>
      </w:r>
      <w:proofErr w:type="spellEnd"/>
      <w:r>
        <w:t xml:space="preserve">, M. Vieira, M. </w:t>
      </w:r>
      <w:proofErr w:type="spellStart"/>
      <w:r>
        <w:t>Zijp</w:t>
      </w:r>
      <w:proofErr w:type="spellEnd"/>
      <w:r>
        <w:t xml:space="preserve">, A. Hollander and R. van </w:t>
      </w:r>
      <w:proofErr w:type="spellStart"/>
      <w:r>
        <w:t>Zelm</w:t>
      </w:r>
      <w:proofErr w:type="spellEnd"/>
      <w:r>
        <w:t xml:space="preserve">, </w:t>
      </w:r>
      <w:r>
        <w:rPr>
          <w:i/>
          <w:iCs/>
        </w:rPr>
        <w:t>Int J Life Cycle Assess</w:t>
      </w:r>
      <w:r>
        <w:t xml:space="preserve">, 2017, </w:t>
      </w:r>
      <w:r>
        <w:rPr>
          <w:b/>
          <w:bCs/>
        </w:rPr>
        <w:t>22</w:t>
      </w:r>
      <w:r>
        <w:t>, 138–147.</w:t>
      </w:r>
    </w:p>
    <w:p w14:paraId="290BA85B" w14:textId="77777777" w:rsidR="00E15608" w:rsidRPr="00E15608" w:rsidRDefault="00E15608" w:rsidP="00577897">
      <w:pPr>
        <w:jc w:val="both"/>
        <w:rPr>
          <w:rFonts w:cstheme="minorHAnsi"/>
          <w:lang w:val="en-GB"/>
        </w:rPr>
      </w:pPr>
      <w:r>
        <w:rPr>
          <w:rFonts w:cstheme="minorHAnsi"/>
        </w:rPr>
        <w:fldChar w:fldCharType="end"/>
      </w:r>
    </w:p>
    <w:p w14:paraId="3F467C48" w14:textId="77777777" w:rsidR="00E15608" w:rsidRPr="00E15608" w:rsidRDefault="00E15608" w:rsidP="00577897">
      <w:pPr>
        <w:jc w:val="both"/>
        <w:rPr>
          <w:rFonts w:cstheme="minorHAnsi"/>
          <w:lang w:val="en-GB"/>
        </w:rPr>
      </w:pPr>
    </w:p>
    <w:p w14:paraId="0E1AAC1A" w14:textId="77777777" w:rsidR="00E15608" w:rsidRPr="00E15608" w:rsidRDefault="00E15608" w:rsidP="00577897">
      <w:pPr>
        <w:jc w:val="both"/>
        <w:rPr>
          <w:rFonts w:cstheme="minorHAnsi"/>
          <w:lang w:val="en-GB"/>
        </w:rPr>
      </w:pPr>
    </w:p>
    <w:p w14:paraId="30492209" w14:textId="77777777" w:rsidR="00E15608" w:rsidRPr="00E15608" w:rsidRDefault="00E15608" w:rsidP="00577897">
      <w:pPr>
        <w:jc w:val="both"/>
        <w:rPr>
          <w:rFonts w:cstheme="minorHAnsi"/>
          <w:lang w:val="en-GB"/>
        </w:rPr>
      </w:pPr>
    </w:p>
    <w:p w14:paraId="00AB7CC7" w14:textId="77777777" w:rsidR="00E15608" w:rsidRPr="00E15608" w:rsidRDefault="00E15608" w:rsidP="00577897">
      <w:pPr>
        <w:jc w:val="both"/>
        <w:rPr>
          <w:rFonts w:cstheme="minorHAnsi"/>
          <w:lang w:val="en-GB"/>
        </w:rPr>
      </w:pPr>
    </w:p>
    <w:p w14:paraId="4DDE9909" w14:textId="77777777" w:rsidR="00E15608" w:rsidRPr="00E15608" w:rsidRDefault="00E15608" w:rsidP="00577897">
      <w:pPr>
        <w:jc w:val="both"/>
        <w:rPr>
          <w:rFonts w:cstheme="minorHAnsi"/>
          <w:lang w:val="en-GB"/>
        </w:rPr>
      </w:pPr>
    </w:p>
    <w:p w14:paraId="6FA1D7B1" w14:textId="77777777" w:rsidR="00E15608" w:rsidRPr="00E15608" w:rsidRDefault="00E15608" w:rsidP="00577897">
      <w:pPr>
        <w:jc w:val="both"/>
        <w:rPr>
          <w:rFonts w:cstheme="minorHAnsi"/>
          <w:lang w:val="en-GB"/>
        </w:rPr>
      </w:pPr>
    </w:p>
    <w:p w14:paraId="2EDC9C69" w14:textId="77777777" w:rsidR="00E15608" w:rsidRPr="00E15608" w:rsidRDefault="00E15608" w:rsidP="00577897">
      <w:pPr>
        <w:jc w:val="both"/>
        <w:rPr>
          <w:rFonts w:cstheme="minorHAnsi"/>
          <w:lang w:val="en-GB"/>
        </w:rPr>
      </w:pPr>
    </w:p>
    <w:p w14:paraId="60692C67" w14:textId="77777777" w:rsidR="00E15608" w:rsidRPr="00E15608" w:rsidRDefault="00E15608" w:rsidP="00577897">
      <w:pPr>
        <w:jc w:val="both"/>
        <w:rPr>
          <w:rFonts w:cstheme="minorHAnsi"/>
          <w:lang w:val="en-GB"/>
        </w:rPr>
      </w:pPr>
    </w:p>
    <w:bookmarkEnd w:id="0"/>
    <w:p w14:paraId="3DD95777" w14:textId="77777777" w:rsidR="00E15608" w:rsidRPr="00E15608" w:rsidRDefault="00E15608" w:rsidP="00577897">
      <w:pPr>
        <w:jc w:val="both"/>
        <w:rPr>
          <w:rFonts w:cstheme="minorHAnsi"/>
          <w:b/>
          <w:bCs/>
          <w:u w:val="single"/>
          <w:lang w:val="en-GB"/>
        </w:rPr>
      </w:pPr>
    </w:p>
    <w:p w14:paraId="55FD4739" w14:textId="77777777" w:rsidR="00E15608" w:rsidRPr="00E15608" w:rsidRDefault="00E15608" w:rsidP="00577897">
      <w:pPr>
        <w:jc w:val="both"/>
        <w:rPr>
          <w:lang w:val="en-GB"/>
        </w:rPr>
      </w:pPr>
    </w:p>
    <w:sectPr w:rsidR="00E15608" w:rsidRPr="00E15608" w:rsidSect="00E15608">
      <w:footerReference w:type="default" r:id="rId14"/>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Martin Fernandez  Antonio José" w:date="2023-02-22T17:44:00Z" w:initials="MFAJ">
    <w:p w14:paraId="4E48CAF3" w14:textId="77777777" w:rsidR="00E15608" w:rsidRDefault="00E15608" w:rsidP="00E15608">
      <w:pPr>
        <w:pStyle w:val="CommentText"/>
      </w:pPr>
      <w:r>
        <w:rPr>
          <w:rStyle w:val="CommentReference"/>
        </w:rPr>
        <w:annotationRef/>
      </w:r>
      <w:r w:rsidRPr="00F22A5A">
        <w:t>It is not clear from the figures that the pandemic made an effect on prices. Is it correct?</w:t>
      </w:r>
    </w:p>
  </w:comment>
  <w:comment w:id="2" w:author="Nabera  Abhinandan" w:date="2023-02-24T11:25:00Z" w:initials="NA">
    <w:p w14:paraId="599EAA80" w14:textId="77777777" w:rsidR="00E15608" w:rsidRDefault="00E15608">
      <w:pPr>
        <w:pStyle w:val="CommentText"/>
      </w:pPr>
      <w:r>
        <w:rPr>
          <w:rStyle w:val="CommentReference"/>
        </w:rPr>
        <w:annotationRef/>
      </w:r>
      <w:r>
        <w:t xml:space="preserve">The pandemic caused disruption in the global supply chain of which the effects were realized at a later stage in 2021. </w:t>
      </w:r>
    </w:p>
  </w:comment>
  <w:comment w:id="4" w:author="Martin Fernandez  Antonio José" w:date="2023-02-22T17:55:00Z" w:initials="MFAJ">
    <w:p w14:paraId="048B0E2E" w14:textId="77777777" w:rsidR="00E15608" w:rsidRDefault="00E15608" w:rsidP="00E15608">
      <w:pPr>
        <w:pStyle w:val="CommentText"/>
      </w:pPr>
      <w:r>
        <w:rPr>
          <w:rStyle w:val="CommentReference"/>
        </w:rPr>
        <w:annotationRef/>
      </w:r>
      <w:r w:rsidRPr="00F22A5A">
        <w:t>Just from a strategic point of view, i suggest finishing paragraphs with the cases bringing the good news</w:t>
      </w:r>
    </w:p>
  </w:comment>
  <w:comment w:id="5" w:author="Nabera  Abhinandan" w:date="2023-02-24T15:42:00Z" w:initials="NA">
    <w:p w14:paraId="24BCE8B4" w14:textId="6FB74282" w:rsidR="00516D83" w:rsidRDefault="00516D83">
      <w:pPr>
        <w:pStyle w:val="CommentText"/>
      </w:pPr>
      <w:r>
        <w:rPr>
          <w:rStyle w:val="CommentReference"/>
        </w:rPr>
        <w:annotationRef/>
      </w:r>
      <w:r>
        <w:t>For now, we follow the order in the figure. Should we also change the order in the figure or is there some other way to do it?</w:t>
      </w:r>
    </w:p>
  </w:comment>
  <w:comment w:id="7" w:author="Martin Fernandez  Antonio José" w:date="2023-02-22T17:56:00Z" w:initials="MFAJ">
    <w:p w14:paraId="65ABA51E" w14:textId="77777777" w:rsidR="00E15608" w:rsidRDefault="00E15608" w:rsidP="00E15608">
      <w:pPr>
        <w:pStyle w:val="CommentText"/>
      </w:pPr>
      <w:r>
        <w:rPr>
          <w:rStyle w:val="CommentReference"/>
        </w:rPr>
        <w:annotationRef/>
      </w:r>
      <w:r w:rsidRPr="00F22A5A">
        <w:t>My recommendation for this figure is to try a continuous and mildly coloured band to show the error bars in panels a, b, d, e</w:t>
      </w:r>
    </w:p>
  </w:comment>
  <w:comment w:id="8" w:author="Nabera  Abhinandan" w:date="2023-02-24T12:34:00Z" w:initials="NA">
    <w:p w14:paraId="213F004D" w14:textId="21B8AC17" w:rsidR="00A71815" w:rsidRDefault="00A71815">
      <w:pPr>
        <w:pStyle w:val="CommentText"/>
      </w:pPr>
      <w:r>
        <w:rPr>
          <w:rStyle w:val="CommentReference"/>
        </w:rPr>
        <w:annotationRef/>
      </w:r>
      <w:r>
        <w:t>Here, since the data is discontinuous I think the error bars make more sense. However, I have a version ready with a colour band in case we change our mind.</w:t>
      </w:r>
    </w:p>
  </w:comment>
  <w:comment w:id="13" w:author="Istrate  Ioan-Robert" w:date="2023-02-20T15:45:00Z" w:initials="II">
    <w:p w14:paraId="030C7CD7" w14:textId="77777777" w:rsidR="00E15608" w:rsidRDefault="00E15608" w:rsidP="00E15608">
      <w:pPr>
        <w:pStyle w:val="CommentText"/>
      </w:pPr>
      <w:r>
        <w:rPr>
          <w:rStyle w:val="CommentReference"/>
        </w:rPr>
        <w:annotationRef/>
      </w:r>
      <w:r>
        <w:t>Not sure if this Section should be more detailed and right after the Introduction (according to Green Chemistry style)</w:t>
      </w:r>
    </w:p>
  </w:comment>
  <w:comment w:id="15" w:author="Istrate  Ioan-Robert" w:date="2023-01-18T12:42:00Z" w:initials="II">
    <w:p w14:paraId="111DF6AF" w14:textId="77777777" w:rsidR="00E15608" w:rsidRDefault="00E15608" w:rsidP="00E15608">
      <w:pPr>
        <w:pStyle w:val="CommentText"/>
      </w:pPr>
      <w:r>
        <w:rPr>
          <w:rStyle w:val="CommentReference"/>
        </w:rPr>
        <w:annotationRef/>
      </w:r>
      <w:r>
        <w:t>To be checked with the last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E48CAF3" w15:done="0"/>
  <w15:commentEx w15:paraId="599EAA80" w15:paraIdParent="4E48CAF3" w15:done="0"/>
  <w15:commentEx w15:paraId="048B0E2E" w15:done="0"/>
  <w15:commentEx w15:paraId="24BCE8B4" w15:paraIdParent="048B0E2E" w15:done="0"/>
  <w15:commentEx w15:paraId="65ABA51E" w15:done="0"/>
  <w15:commentEx w15:paraId="213F004D" w15:paraIdParent="65ABA51E" w15:done="0"/>
  <w15:commentEx w15:paraId="030C7CD7" w15:done="0"/>
  <w15:commentEx w15:paraId="111DF6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48CAF3" w16cid:durableId="27A0D2F0"/>
  <w16cid:commentId w16cid:paraId="599EAA80" w16cid:durableId="27A31D2E"/>
  <w16cid:commentId w16cid:paraId="048B0E2E" w16cid:durableId="27A0D580"/>
  <w16cid:commentId w16cid:paraId="24BCE8B4" w16cid:durableId="27A3594D"/>
  <w16cid:commentId w16cid:paraId="65ABA51E" w16cid:durableId="27A0D5EA"/>
  <w16cid:commentId w16cid:paraId="213F004D" w16cid:durableId="27A32D48"/>
  <w16cid:commentId w16cid:paraId="030C7CD7" w16cid:durableId="279E13FC"/>
  <w16cid:commentId w16cid:paraId="111DF6AF" w16cid:durableId="277267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6417495"/>
      <w:docPartObj>
        <w:docPartGallery w:val="Page Numbers (Bottom of Page)"/>
        <w:docPartUnique/>
      </w:docPartObj>
    </w:sdtPr>
    <w:sdtEndPr>
      <w:rPr>
        <w:noProof/>
      </w:rPr>
    </w:sdtEndPr>
    <w:sdtContent>
      <w:p w14:paraId="5C03122D" w14:textId="77777777" w:rsidR="00E15608" w:rsidRDefault="00E1560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CDD2F5F" w14:textId="77777777" w:rsidR="00E15608" w:rsidRDefault="00E15608">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181124"/>
    <w:multiLevelType w:val="hybridMultilevel"/>
    <w:tmpl w:val="77626364"/>
    <w:lvl w:ilvl="0" w:tplc="8BE673BE">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1636FFA"/>
    <w:multiLevelType w:val="hybridMultilevel"/>
    <w:tmpl w:val="CF04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tin Fernandez  Antonio José">
    <w15:presenceInfo w15:providerId="AD" w15:userId="S::maantoni@ethz.ch::e34b8c64-7386-4c87-9b46-9a39c3cfb56e"/>
  </w15:person>
  <w15:person w15:author="Nabera  Abhinandan">
    <w15:presenceInfo w15:providerId="AD" w15:userId="S-1-5-21-2025429265-764733703-1417001333-531263"/>
  </w15:person>
  <w15:person w15:author="Istrate  Ioan-Robert">
    <w15:presenceInfo w15:providerId="AD" w15:userId="S-1-5-21-2025429265-764733703-1417001333-618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08"/>
    <w:rsid w:val="00053B45"/>
    <w:rsid w:val="00056AD3"/>
    <w:rsid w:val="000772EB"/>
    <w:rsid w:val="000F6315"/>
    <w:rsid w:val="00102A51"/>
    <w:rsid w:val="00126E59"/>
    <w:rsid w:val="001620F5"/>
    <w:rsid w:val="00170C53"/>
    <w:rsid w:val="001B3EE5"/>
    <w:rsid w:val="00271141"/>
    <w:rsid w:val="002A6534"/>
    <w:rsid w:val="002B0A42"/>
    <w:rsid w:val="002B1BCD"/>
    <w:rsid w:val="002E730F"/>
    <w:rsid w:val="002F309F"/>
    <w:rsid w:val="00303986"/>
    <w:rsid w:val="0030594D"/>
    <w:rsid w:val="00354978"/>
    <w:rsid w:val="003B742D"/>
    <w:rsid w:val="003F4C9D"/>
    <w:rsid w:val="00403A05"/>
    <w:rsid w:val="004364A9"/>
    <w:rsid w:val="004968B2"/>
    <w:rsid w:val="004A51EB"/>
    <w:rsid w:val="004C7701"/>
    <w:rsid w:val="004D77C0"/>
    <w:rsid w:val="004F2EDC"/>
    <w:rsid w:val="004F43AE"/>
    <w:rsid w:val="00516D83"/>
    <w:rsid w:val="00541701"/>
    <w:rsid w:val="005437BA"/>
    <w:rsid w:val="00577897"/>
    <w:rsid w:val="005A00AF"/>
    <w:rsid w:val="005E27AD"/>
    <w:rsid w:val="005F2655"/>
    <w:rsid w:val="005F551D"/>
    <w:rsid w:val="006572FE"/>
    <w:rsid w:val="00680DC1"/>
    <w:rsid w:val="006B2020"/>
    <w:rsid w:val="006E19C6"/>
    <w:rsid w:val="006F7F58"/>
    <w:rsid w:val="00716504"/>
    <w:rsid w:val="00721B94"/>
    <w:rsid w:val="007272CE"/>
    <w:rsid w:val="0077341E"/>
    <w:rsid w:val="007B2EEF"/>
    <w:rsid w:val="007C38EE"/>
    <w:rsid w:val="007D2127"/>
    <w:rsid w:val="007D4BFB"/>
    <w:rsid w:val="007F6EDA"/>
    <w:rsid w:val="008100B6"/>
    <w:rsid w:val="008157F5"/>
    <w:rsid w:val="0084347B"/>
    <w:rsid w:val="00865327"/>
    <w:rsid w:val="008826CE"/>
    <w:rsid w:val="008B6718"/>
    <w:rsid w:val="008C6FD3"/>
    <w:rsid w:val="00960709"/>
    <w:rsid w:val="00972966"/>
    <w:rsid w:val="009758DC"/>
    <w:rsid w:val="009843F8"/>
    <w:rsid w:val="009A088A"/>
    <w:rsid w:val="009A3FA8"/>
    <w:rsid w:val="009C14B6"/>
    <w:rsid w:val="009F38C5"/>
    <w:rsid w:val="00A16F01"/>
    <w:rsid w:val="00A33C05"/>
    <w:rsid w:val="00A6670A"/>
    <w:rsid w:val="00A71815"/>
    <w:rsid w:val="00AB3714"/>
    <w:rsid w:val="00AB5D57"/>
    <w:rsid w:val="00AC7A5A"/>
    <w:rsid w:val="00B1263F"/>
    <w:rsid w:val="00B47402"/>
    <w:rsid w:val="00B53B5C"/>
    <w:rsid w:val="00B60AC5"/>
    <w:rsid w:val="00BE7051"/>
    <w:rsid w:val="00BE7D92"/>
    <w:rsid w:val="00BF68CC"/>
    <w:rsid w:val="00C02986"/>
    <w:rsid w:val="00C762F0"/>
    <w:rsid w:val="00C96F97"/>
    <w:rsid w:val="00CA3E0C"/>
    <w:rsid w:val="00CC3E2C"/>
    <w:rsid w:val="00CD234E"/>
    <w:rsid w:val="00CE7582"/>
    <w:rsid w:val="00CF02D4"/>
    <w:rsid w:val="00D01C53"/>
    <w:rsid w:val="00D37431"/>
    <w:rsid w:val="00D41498"/>
    <w:rsid w:val="00D81513"/>
    <w:rsid w:val="00DA3990"/>
    <w:rsid w:val="00DB527E"/>
    <w:rsid w:val="00DC0FF6"/>
    <w:rsid w:val="00DC5D33"/>
    <w:rsid w:val="00DE1099"/>
    <w:rsid w:val="00E126DB"/>
    <w:rsid w:val="00E15608"/>
    <w:rsid w:val="00E32B8E"/>
    <w:rsid w:val="00E3407F"/>
    <w:rsid w:val="00E351AF"/>
    <w:rsid w:val="00E60736"/>
    <w:rsid w:val="00EB14CD"/>
    <w:rsid w:val="00EB7D88"/>
    <w:rsid w:val="00EC0643"/>
    <w:rsid w:val="00EE2DB6"/>
    <w:rsid w:val="00EF0A8C"/>
    <w:rsid w:val="00F054C5"/>
    <w:rsid w:val="00F24E46"/>
    <w:rsid w:val="00F25785"/>
    <w:rsid w:val="00F33E1F"/>
    <w:rsid w:val="00FA0C55"/>
    <w:rsid w:val="00FE0331"/>
    <w:rsid w:val="00FF2397"/>
    <w:rsid w:val="00FF24D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0125"/>
  <w15:chartTrackingRefBased/>
  <w15:docId w15:val="{57B746B0-A44B-4CB5-8DED-EA0677BC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608"/>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E15608"/>
    <w:pPr>
      <w:keepNext/>
      <w:keepLines/>
      <w:outlineLvl w:val="1"/>
    </w:pPr>
    <w:rPr>
      <w:rFonts w:eastAsiaTheme="majorEastAsia" w:cstheme="majorBidi"/>
      <w:b/>
      <w:szCs w:val="26"/>
      <w:u w:val="single"/>
      <w:lang w:val="en-GB"/>
    </w:rPr>
  </w:style>
  <w:style w:type="paragraph" w:styleId="Heading3">
    <w:name w:val="heading 3"/>
    <w:basedOn w:val="Normal"/>
    <w:next w:val="Normal"/>
    <w:link w:val="Heading3Char"/>
    <w:uiPriority w:val="9"/>
    <w:unhideWhenUsed/>
    <w:qFormat/>
    <w:rsid w:val="00E15608"/>
    <w:pPr>
      <w:keepNext/>
      <w:keepLines/>
      <w:spacing w:before="160" w:after="120"/>
      <w:outlineLvl w:val="2"/>
    </w:pPr>
    <w:rPr>
      <w:rFonts w:ascii="Calibri" w:eastAsiaTheme="majorEastAsia" w:hAnsi="Calibri" w:cstheme="majorBidi"/>
      <w:b/>
      <w:szCs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608"/>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E15608"/>
    <w:rPr>
      <w:rFonts w:eastAsiaTheme="majorEastAsia" w:cstheme="majorBidi"/>
      <w:b/>
      <w:szCs w:val="26"/>
      <w:u w:val="single"/>
      <w:lang w:val="en-GB"/>
    </w:rPr>
  </w:style>
  <w:style w:type="character" w:customStyle="1" w:styleId="Heading3Char">
    <w:name w:val="Heading 3 Char"/>
    <w:basedOn w:val="DefaultParagraphFont"/>
    <w:link w:val="Heading3"/>
    <w:uiPriority w:val="9"/>
    <w:rsid w:val="00E15608"/>
    <w:rPr>
      <w:rFonts w:ascii="Calibri" w:eastAsiaTheme="majorEastAsia" w:hAnsi="Calibri" w:cstheme="majorBidi"/>
      <w:b/>
      <w:szCs w:val="24"/>
      <w:lang w:val="en-GB"/>
    </w:rPr>
  </w:style>
  <w:style w:type="character" w:styleId="Hyperlink">
    <w:name w:val="Hyperlink"/>
    <w:basedOn w:val="DefaultParagraphFont"/>
    <w:uiPriority w:val="99"/>
    <w:unhideWhenUsed/>
    <w:rsid w:val="00E15608"/>
    <w:rPr>
      <w:color w:val="0563C1" w:themeColor="hyperlink"/>
      <w:u w:val="single"/>
    </w:rPr>
  </w:style>
  <w:style w:type="character" w:styleId="CommentReference">
    <w:name w:val="annotation reference"/>
    <w:basedOn w:val="DefaultParagraphFont"/>
    <w:uiPriority w:val="99"/>
    <w:semiHidden/>
    <w:unhideWhenUsed/>
    <w:rsid w:val="00E15608"/>
    <w:rPr>
      <w:sz w:val="16"/>
      <w:szCs w:val="16"/>
    </w:rPr>
  </w:style>
  <w:style w:type="paragraph" w:styleId="CommentText">
    <w:name w:val="annotation text"/>
    <w:basedOn w:val="Normal"/>
    <w:link w:val="CommentTextChar"/>
    <w:uiPriority w:val="99"/>
    <w:unhideWhenUsed/>
    <w:rsid w:val="00E15608"/>
    <w:pPr>
      <w:spacing w:line="240" w:lineRule="auto"/>
    </w:pPr>
    <w:rPr>
      <w:sz w:val="20"/>
      <w:szCs w:val="20"/>
      <w:lang w:val="en-GB"/>
    </w:rPr>
  </w:style>
  <w:style w:type="character" w:customStyle="1" w:styleId="CommentTextChar">
    <w:name w:val="Comment Text Char"/>
    <w:basedOn w:val="DefaultParagraphFont"/>
    <w:link w:val="CommentText"/>
    <w:uiPriority w:val="99"/>
    <w:rsid w:val="00E15608"/>
    <w:rPr>
      <w:sz w:val="20"/>
      <w:szCs w:val="20"/>
      <w:lang w:val="en-GB"/>
    </w:rPr>
  </w:style>
  <w:style w:type="paragraph" w:styleId="Header">
    <w:name w:val="header"/>
    <w:basedOn w:val="Normal"/>
    <w:link w:val="HeaderChar"/>
    <w:uiPriority w:val="99"/>
    <w:unhideWhenUsed/>
    <w:rsid w:val="00E15608"/>
    <w:pPr>
      <w:tabs>
        <w:tab w:val="center" w:pos="4703"/>
        <w:tab w:val="right" w:pos="9406"/>
      </w:tabs>
      <w:spacing w:after="0" w:line="240" w:lineRule="auto"/>
    </w:pPr>
    <w:rPr>
      <w:lang w:val="en-GB"/>
    </w:rPr>
  </w:style>
  <w:style w:type="character" w:customStyle="1" w:styleId="HeaderChar">
    <w:name w:val="Header Char"/>
    <w:basedOn w:val="DefaultParagraphFont"/>
    <w:link w:val="Header"/>
    <w:uiPriority w:val="99"/>
    <w:rsid w:val="00E15608"/>
    <w:rPr>
      <w:lang w:val="en-GB"/>
    </w:rPr>
  </w:style>
  <w:style w:type="paragraph" w:styleId="Footer">
    <w:name w:val="footer"/>
    <w:basedOn w:val="Normal"/>
    <w:link w:val="FooterChar"/>
    <w:uiPriority w:val="99"/>
    <w:unhideWhenUsed/>
    <w:rsid w:val="00E15608"/>
    <w:pPr>
      <w:tabs>
        <w:tab w:val="center" w:pos="4703"/>
        <w:tab w:val="right" w:pos="9406"/>
      </w:tabs>
      <w:spacing w:after="0" w:line="240" w:lineRule="auto"/>
    </w:pPr>
    <w:rPr>
      <w:lang w:val="en-GB"/>
    </w:rPr>
  </w:style>
  <w:style w:type="character" w:customStyle="1" w:styleId="FooterChar">
    <w:name w:val="Footer Char"/>
    <w:basedOn w:val="DefaultParagraphFont"/>
    <w:link w:val="Footer"/>
    <w:uiPriority w:val="99"/>
    <w:rsid w:val="00E15608"/>
    <w:rPr>
      <w:lang w:val="en-GB"/>
    </w:rPr>
  </w:style>
  <w:style w:type="paragraph" w:styleId="Bibliography">
    <w:name w:val="Bibliography"/>
    <w:basedOn w:val="Normal"/>
    <w:next w:val="Normal"/>
    <w:uiPriority w:val="37"/>
    <w:unhideWhenUsed/>
    <w:rsid w:val="00E15608"/>
    <w:pPr>
      <w:tabs>
        <w:tab w:val="left" w:pos="264"/>
      </w:tabs>
      <w:spacing w:after="0" w:line="240" w:lineRule="auto"/>
      <w:ind w:left="264" w:hanging="264"/>
    </w:pPr>
    <w:rPr>
      <w:lang w:val="en-GB"/>
    </w:rPr>
  </w:style>
  <w:style w:type="paragraph" w:styleId="Caption">
    <w:name w:val="caption"/>
    <w:basedOn w:val="Normal"/>
    <w:next w:val="Normal"/>
    <w:uiPriority w:val="35"/>
    <w:unhideWhenUsed/>
    <w:qFormat/>
    <w:rsid w:val="00E15608"/>
    <w:pPr>
      <w:spacing w:after="200" w:line="240" w:lineRule="auto"/>
    </w:pPr>
    <w:rPr>
      <w:i/>
      <w:iCs/>
      <w:color w:val="44546A" w:themeColor="text2"/>
      <w:sz w:val="18"/>
      <w:szCs w:val="18"/>
      <w:lang w:val="en-GB"/>
    </w:rPr>
  </w:style>
  <w:style w:type="paragraph" w:styleId="ListParagraph">
    <w:name w:val="List Paragraph"/>
    <w:basedOn w:val="Normal"/>
    <w:uiPriority w:val="34"/>
    <w:qFormat/>
    <w:rsid w:val="00E15608"/>
    <w:pPr>
      <w:ind w:left="720"/>
      <w:contextualSpacing/>
    </w:pPr>
    <w:rPr>
      <w:lang w:val="en-GB"/>
    </w:rPr>
  </w:style>
  <w:style w:type="paragraph" w:styleId="CommentSubject">
    <w:name w:val="annotation subject"/>
    <w:basedOn w:val="CommentText"/>
    <w:next w:val="CommentText"/>
    <w:link w:val="CommentSubjectChar"/>
    <w:uiPriority w:val="99"/>
    <w:semiHidden/>
    <w:unhideWhenUsed/>
    <w:rsid w:val="00E15608"/>
    <w:rPr>
      <w:b/>
      <w:bCs/>
    </w:rPr>
  </w:style>
  <w:style w:type="character" w:customStyle="1" w:styleId="CommentSubjectChar">
    <w:name w:val="Comment Subject Char"/>
    <w:basedOn w:val="CommentTextChar"/>
    <w:link w:val="CommentSubject"/>
    <w:uiPriority w:val="99"/>
    <w:semiHidden/>
    <w:rsid w:val="00E15608"/>
    <w:rPr>
      <w:b/>
      <w:bCs/>
      <w:sz w:val="20"/>
      <w:szCs w:val="20"/>
      <w:lang w:val="en-GB"/>
    </w:rPr>
  </w:style>
  <w:style w:type="paragraph" w:styleId="BalloonText">
    <w:name w:val="Balloon Text"/>
    <w:basedOn w:val="Normal"/>
    <w:link w:val="BalloonTextChar"/>
    <w:uiPriority w:val="99"/>
    <w:semiHidden/>
    <w:unhideWhenUsed/>
    <w:rsid w:val="00E15608"/>
    <w:pPr>
      <w:spacing w:after="0" w:line="240" w:lineRule="auto"/>
    </w:pPr>
    <w:rPr>
      <w:rFonts w:ascii="Segoe UI" w:hAnsi="Segoe UI" w:cs="Segoe UI"/>
      <w:sz w:val="18"/>
      <w:szCs w:val="18"/>
      <w:lang w:val="en-GB"/>
    </w:rPr>
  </w:style>
  <w:style w:type="character" w:customStyle="1" w:styleId="BalloonTextChar">
    <w:name w:val="Balloon Text Char"/>
    <w:basedOn w:val="DefaultParagraphFont"/>
    <w:link w:val="BalloonText"/>
    <w:uiPriority w:val="99"/>
    <w:semiHidden/>
    <w:rsid w:val="00E15608"/>
    <w:rPr>
      <w:rFonts w:ascii="Segoe UI" w:hAnsi="Segoe UI" w:cs="Segoe UI"/>
      <w:sz w:val="18"/>
      <w:szCs w:val="18"/>
      <w:lang w:val="en-GB"/>
    </w:rPr>
  </w:style>
  <w:style w:type="character" w:styleId="Emphasis">
    <w:name w:val="Emphasis"/>
    <w:basedOn w:val="DefaultParagraphFont"/>
    <w:uiPriority w:val="20"/>
    <w:qFormat/>
    <w:rsid w:val="00E156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gonzalo.guillen.gosalbez@chem.ethz.ch" TargetMode="Externa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8D51-C927-4D1B-AA21-F853318E5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25392</Words>
  <Characters>159975</Characters>
  <Application>Microsoft Office Word</Application>
  <DocSecurity>0</DocSecurity>
  <Lines>1333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234</cp:revision>
  <dcterms:created xsi:type="dcterms:W3CDTF">2023-02-24T10:13:00Z</dcterms:created>
  <dcterms:modified xsi:type="dcterms:W3CDTF">2023-02-24T16:25:00Z</dcterms:modified>
</cp:coreProperties>
</file>