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28129518"/>
    <w:bookmarkStart w:id="1" w:name="_Hlk129195373"/>
    <w:bookmarkStart w:id="2" w:name="_Hlk129851980"/>
    <w:p w14:paraId="25BFF9DF" w14:textId="58258C4B" w:rsidR="008A3579" w:rsidRPr="0047272A" w:rsidRDefault="008A3579" w:rsidP="008A3579">
      <w:pPr>
        <w:pStyle w:val="Heading1"/>
        <w:spacing w:before="0" w:after="160"/>
        <w:rPr>
          <w:rFonts w:asciiTheme="minorHAnsi" w:hAnsiTheme="minorHAnsi" w:cstheme="minorHAnsi"/>
          <w:lang w:val="en-GB"/>
        </w:rPr>
      </w:pP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MACROBUTTON MTEditEquationSection2 </w:instrText>
      </w:r>
      <w:r w:rsidRPr="0047272A">
        <w:rPr>
          <w:rStyle w:val="MTEquationSection"/>
        </w:rPr>
        <w:instrText>Equation Chapter 1 Section 1</w:instrText>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MTEqn \r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MTSec \r 1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MTChap \r 1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end"/>
      </w:r>
      <w:r w:rsidRPr="0047272A">
        <w:rPr>
          <w:rFonts w:asciiTheme="minorHAnsi" w:hAnsiTheme="minorHAnsi" w:cstheme="minorHAnsi"/>
          <w:lang w:val="en-GB"/>
        </w:rPr>
        <w:t>Energy crisis in Europe revamps the economic competitiveness of green chemicals</w:t>
      </w:r>
    </w:p>
    <w:p w14:paraId="50E19762" w14:textId="77777777" w:rsidR="008A3579" w:rsidRPr="0047272A" w:rsidRDefault="008A3579" w:rsidP="008A3579">
      <w:pPr>
        <w:jc w:val="both"/>
        <w:rPr>
          <w:rFonts w:cstheme="minorHAnsi"/>
          <w:vertAlign w:val="superscript"/>
          <w:lang w:val="en-GB"/>
        </w:rPr>
      </w:pPr>
      <w:r w:rsidRPr="0047272A">
        <w:rPr>
          <w:rFonts w:cstheme="minorHAnsi"/>
          <w:lang w:val="en-GB"/>
        </w:rPr>
        <w:t>Abhinandan Nabera, Ioan</w:t>
      </w:r>
      <w:r w:rsidRPr="0047272A">
        <w:rPr>
          <w:rFonts w:cstheme="minorHAnsi"/>
          <w:lang w:val="en-GB"/>
        </w:rPr>
        <w:noBreakHyphen/>
        <w:t xml:space="preserve">Robert Istrate, </w:t>
      </w:r>
      <w:r w:rsidRPr="0047272A">
        <w:rPr>
          <w:lang w:val="en-GB"/>
        </w:rPr>
        <w:t xml:space="preserve">Antonio José Martín, </w:t>
      </w:r>
      <w:r w:rsidRPr="0047272A">
        <w:rPr>
          <w:rFonts w:cstheme="minorHAnsi"/>
          <w:lang w:val="en-GB"/>
        </w:rPr>
        <w:t>Javier Pérez</w:t>
      </w:r>
      <w:r w:rsidRPr="0047272A">
        <w:rPr>
          <w:rFonts w:cstheme="minorHAnsi"/>
          <w:lang w:val="en-GB"/>
        </w:rPr>
        <w:noBreakHyphen/>
        <w:t>Ramírez</w:t>
      </w:r>
      <w:r w:rsidRPr="0047272A">
        <w:rPr>
          <w:rFonts w:cstheme="minorHAnsi"/>
          <w:vertAlign w:val="superscript"/>
          <w:lang w:val="en-GB"/>
        </w:rPr>
        <w:t>*</w:t>
      </w:r>
      <w:r w:rsidRPr="0047272A">
        <w:rPr>
          <w:rFonts w:cstheme="minorHAnsi"/>
          <w:lang w:val="en-GB"/>
        </w:rPr>
        <w:t xml:space="preserve"> and Gonzalo Guillén</w:t>
      </w:r>
      <w:r w:rsidRPr="0047272A">
        <w:rPr>
          <w:rFonts w:cstheme="minorHAnsi"/>
          <w:lang w:val="en-GB"/>
        </w:rPr>
        <w:noBreakHyphen/>
        <w:t>Gosálbez</w:t>
      </w:r>
      <w:r w:rsidRPr="0047272A">
        <w:rPr>
          <w:rFonts w:cstheme="minorHAnsi"/>
          <w:vertAlign w:val="superscript"/>
          <w:lang w:val="en-GB"/>
        </w:rPr>
        <w:t>*</w:t>
      </w:r>
    </w:p>
    <w:p w14:paraId="79796D5B" w14:textId="77777777" w:rsidR="008A3579" w:rsidRPr="0047272A" w:rsidRDefault="008A3579" w:rsidP="008A3579">
      <w:pPr>
        <w:jc w:val="both"/>
        <w:rPr>
          <w:rFonts w:cstheme="minorHAnsi"/>
          <w:sz w:val="20"/>
          <w:szCs w:val="20"/>
          <w:lang w:val="en-GB"/>
        </w:rPr>
      </w:pPr>
      <w:r w:rsidRPr="0047272A">
        <w:rPr>
          <w:rFonts w:cstheme="minorHAnsi"/>
          <w:sz w:val="20"/>
          <w:szCs w:val="20"/>
          <w:lang w:val="en-GB"/>
        </w:rPr>
        <w:t>Institute for Chemical and Bioengineering, Department of Chemistry and Applied Biosciences, ETH Zürich, Vladimir</w:t>
      </w:r>
      <w:r w:rsidRPr="0047272A">
        <w:rPr>
          <w:rFonts w:cstheme="minorHAnsi"/>
          <w:sz w:val="20"/>
          <w:szCs w:val="20"/>
          <w:lang w:val="en-GB"/>
        </w:rPr>
        <w:noBreakHyphen/>
        <w:t>Prelog</w:t>
      </w:r>
      <w:r w:rsidRPr="0047272A">
        <w:rPr>
          <w:rFonts w:cstheme="minorHAnsi"/>
          <w:sz w:val="20"/>
          <w:szCs w:val="20"/>
          <w:lang w:val="en-GB"/>
        </w:rPr>
        <w:noBreakHyphen/>
        <w:t>Weg 1, Zürich 8093, Switzerland</w:t>
      </w:r>
    </w:p>
    <w:p w14:paraId="42652555" w14:textId="77777777" w:rsidR="008A3579" w:rsidRPr="0047272A" w:rsidRDefault="008A3579" w:rsidP="008A3579">
      <w:pPr>
        <w:jc w:val="both"/>
        <w:rPr>
          <w:rFonts w:cstheme="minorHAnsi"/>
          <w:sz w:val="20"/>
          <w:szCs w:val="20"/>
          <w:lang w:val="en-GB"/>
        </w:rPr>
      </w:pPr>
      <w:r w:rsidRPr="0047272A">
        <w:rPr>
          <w:rFonts w:cstheme="minorHAnsi"/>
          <w:sz w:val="20"/>
          <w:szCs w:val="20"/>
          <w:lang w:val="en-GB"/>
        </w:rPr>
        <w:t>*Corresponding authors:</w:t>
      </w:r>
      <w:r w:rsidRPr="0047272A">
        <w:rPr>
          <w:rStyle w:val="Hyperlink"/>
          <w:rFonts w:cstheme="minorHAnsi"/>
          <w:sz w:val="20"/>
          <w:szCs w:val="20"/>
          <w:lang w:val="en-GB"/>
        </w:rPr>
        <w:t xml:space="preserve"> jpr@chem.ethz.ch</w:t>
      </w:r>
      <w:r w:rsidRPr="0047272A">
        <w:rPr>
          <w:rFonts w:cstheme="minorHAnsi"/>
          <w:sz w:val="20"/>
          <w:szCs w:val="20"/>
          <w:lang w:val="en-GB"/>
        </w:rPr>
        <w:t xml:space="preserve">; </w:t>
      </w:r>
      <w:hyperlink r:id="rId8" w:history="1">
        <w:r w:rsidRPr="0047272A">
          <w:rPr>
            <w:rStyle w:val="Hyperlink"/>
            <w:rFonts w:cstheme="minorHAnsi"/>
            <w:sz w:val="20"/>
            <w:szCs w:val="20"/>
            <w:lang w:val="en-GB"/>
          </w:rPr>
          <w:t>gonzalo.guillen.gosalbez@chem.ethz.ch</w:t>
        </w:r>
      </w:hyperlink>
    </w:p>
    <w:p w14:paraId="3D560FA9" w14:textId="77777777" w:rsidR="008A3579" w:rsidRPr="0047272A" w:rsidRDefault="008A3579" w:rsidP="008A3579">
      <w:pPr>
        <w:pStyle w:val="Heading2"/>
        <w:jc w:val="both"/>
        <w:rPr>
          <w:rFonts w:cstheme="minorHAnsi"/>
        </w:rPr>
      </w:pPr>
      <w:r w:rsidRPr="0047272A">
        <w:rPr>
          <w:rFonts w:cstheme="minorHAnsi"/>
        </w:rPr>
        <w:t>Abstract</w:t>
      </w:r>
    </w:p>
    <w:p w14:paraId="29A3A1CF" w14:textId="78C69A87" w:rsidR="008A3579" w:rsidRPr="0047272A" w:rsidRDefault="008A3579" w:rsidP="008A3579">
      <w:pPr>
        <w:jc w:val="both"/>
        <w:rPr>
          <w:lang w:val="en-GB"/>
        </w:rPr>
      </w:pPr>
      <w:r w:rsidRPr="0047272A">
        <w:rPr>
          <w:lang w:val="en-GB"/>
        </w:rPr>
        <w:t>Ammonia and methanol are essential to modern societies, but their production has been heavily reliant on natural gas, which contributes to supply disruptions and significant CO</w:t>
      </w:r>
      <w:r w:rsidRPr="0047272A">
        <w:rPr>
          <w:vertAlign w:val="subscript"/>
          <w:lang w:val="en-GB"/>
        </w:rPr>
        <w:t>2</w:t>
      </w:r>
      <w:r w:rsidRPr="0047272A">
        <w:rPr>
          <w:lang w:val="en-GB"/>
        </w:rPr>
        <w:t xml:space="preserve"> emissions. While low-carbon production routes have been extensively researched, their adoption has been hindered by higher costs. However, a recent energy crisis in Europe has created a unique opportunity to shift towards greener production methods. Green ammonia, produced through wind</w:t>
      </w:r>
      <w:r w:rsidR="00421538" w:rsidRPr="0047272A">
        <w:rPr>
          <w:lang w:val="en-GB"/>
        </w:rPr>
        <w:noBreakHyphen/>
      </w:r>
      <w:r w:rsidRPr="0047272A">
        <w:rPr>
          <w:lang w:val="en-GB"/>
        </w:rPr>
        <w:t>powered water electrolysis, has outperformed its fossil counterpart for six months as of December 2021, and methanol produced through CO</w:t>
      </w:r>
      <w:r w:rsidRPr="0047272A">
        <w:rPr>
          <w:vertAlign w:val="subscript"/>
          <w:lang w:val="en-GB"/>
        </w:rPr>
        <w:t>2</w:t>
      </w:r>
      <w:r w:rsidRPr="0047272A">
        <w:rPr>
          <w:lang w:val="en-GB"/>
        </w:rPr>
        <w:t xml:space="preserve"> capture and wind</w:t>
      </w:r>
      <w:r w:rsidR="0037093E" w:rsidRPr="0047272A">
        <w:rPr>
          <w:lang w:val="en-GB"/>
        </w:rPr>
        <w:noBreakHyphen/>
      </w:r>
      <w:r w:rsidRPr="0047272A">
        <w:rPr>
          <w:lang w:val="en-GB"/>
        </w:rPr>
        <w:t>water electrolysis became an</w:t>
      </w:r>
      <w:r w:rsidR="00F1501D">
        <w:rPr>
          <w:lang w:val="en-GB"/>
        </w:rPr>
        <w:t xml:space="preserve"> </w:t>
      </w:r>
      <w:r w:rsidRPr="0047272A">
        <w:rPr>
          <w:lang w:val="en-GB"/>
        </w:rPr>
        <w:t>economically appealing alternative. With a coordinated effort from academia, industry, and policymakers, Europe can lead the way in transitioning towards more sustainable practices in the chemical industry.</w:t>
      </w:r>
    </w:p>
    <w:p w14:paraId="05834CC2" w14:textId="77777777" w:rsidR="008A3579" w:rsidRPr="0047272A" w:rsidRDefault="008A3579" w:rsidP="008A3579">
      <w:pPr>
        <w:pStyle w:val="Heading2"/>
      </w:pPr>
      <w:r w:rsidRPr="0047272A">
        <w:t>Introduction</w:t>
      </w:r>
    </w:p>
    <w:p w14:paraId="192457B1" w14:textId="77777777" w:rsidR="008A3579" w:rsidRPr="0047272A" w:rsidRDefault="008A3579" w:rsidP="008A3579">
      <w:pPr>
        <w:jc w:val="both"/>
        <w:rPr>
          <w:rFonts w:cstheme="minorHAnsi"/>
          <w:lang w:val="en-GB"/>
        </w:rPr>
      </w:pPr>
      <w:r w:rsidRPr="0047272A">
        <w:rPr>
          <w:rFonts w:cstheme="minorHAnsi"/>
          <w:lang w:val="en-GB"/>
        </w:rPr>
        <w:t>The chemical industry heavily relies on fossil fuels, making it the origin of 5.6 Gt CO</w:t>
      </w:r>
      <w:r w:rsidRPr="0047272A">
        <w:rPr>
          <w:rFonts w:cstheme="minorHAnsi"/>
          <w:vertAlign w:val="subscript"/>
          <w:lang w:val="en-GB"/>
        </w:rPr>
        <w:t>2</w:t>
      </w:r>
      <w:r w:rsidRPr="0047272A">
        <w:rPr>
          <w:rFonts w:cstheme="minorHAnsi"/>
          <w:lang w:val="en-GB"/>
        </w:rPr>
        <w:t>-eq yr</w:t>
      </w:r>
      <w:r w:rsidRPr="0047272A">
        <w:rPr>
          <w:rFonts w:cstheme="minorHAnsi"/>
          <w:vertAlign w:val="superscript"/>
          <w:lang w:val="en-GB"/>
        </w:rPr>
        <w:t>−1</w:t>
      </w:r>
      <w:r w:rsidRPr="0047272A">
        <w:rPr>
          <w:rFonts w:cstheme="minorHAnsi"/>
          <w:lang w:val="en-GB"/>
        </w:rPr>
        <w:t>, comparable to approximately 10% of global anthropogenic greenhouse gas (GHG) emissions</w:t>
      </w:r>
      <w:r w:rsidRPr="0047272A">
        <w:rPr>
          <w:rFonts w:cstheme="minorHAnsi"/>
          <w:lang w:val="en-GB"/>
        </w:rPr>
        <w:fldChar w:fldCharType="begin"/>
      </w:r>
      <w:r w:rsidRPr="0047272A">
        <w:rPr>
          <w:rFonts w:cstheme="minorHAnsi"/>
          <w:lang w:val="en-GB"/>
        </w:rPr>
        <w:instrText xml:space="preserve"> ADDIN ZOTERO_ITEM CSL_CITATION {"citationID":"y29xtEap","properties":{"formattedCitation":"\\super 1,2\\nosupersub{}","plainCitation":"1,2","noteIndex":0},"citationItems":[{"id":952,"uris":["http://zotero.org/users/9157291/items/PW4PTV2I"],"itemData":{"id":952,"type":"article-journal","abstract":"Chemicals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 Opin. Chem. Eng.","language":"en","page":"100881","source":"ScienceDirect","title":"Mapping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765,"uris":["http://zotero.org/users/9157291/items/8IVAJAL9"],"itemData":{"id":765,"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transition.","number":"IMES/EESS report; Vol. 126","publisher":"Lund University","source":"Lund University","title":"Petrochemicals and Climate Change: Tracing Globally Growing Emissions and Key Blind Spots in a Fossil-Based Industry","title-short":"Petrochemicals and Climate Change","URL":"https://lucris.lub.lu.se/ws/portalfiles/portal/117494791/Petrochemicals_climate_change_review_web.pdf","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1,2</w:t>
      </w:r>
      <w:r w:rsidRPr="0047272A">
        <w:rPr>
          <w:rFonts w:cstheme="minorHAnsi"/>
          <w:lang w:val="en-GB"/>
        </w:rPr>
        <w:fldChar w:fldCharType="end"/>
      </w:r>
      <w:r w:rsidRPr="0047272A">
        <w:rPr>
          <w:rFonts w:cstheme="minorHAnsi"/>
          <w:lang w:val="en-GB"/>
        </w:rPr>
        <w:t>. Ammonia and methanol are key components of the chemical industry, serving as building blocks for various valuable products. Ammonia plays a critical role in the production of nitrogen fertilizers, which are essential for ensuring global food security</w:t>
      </w:r>
      <w:r w:rsidRPr="0047272A">
        <w:rPr>
          <w:rFonts w:cstheme="minorHAnsi"/>
          <w:lang w:val="en-GB"/>
        </w:rPr>
        <w:fldChar w:fldCharType="begin"/>
      </w:r>
      <w:r w:rsidRPr="0047272A">
        <w:rPr>
          <w:rFonts w:cstheme="minorHAnsi"/>
          <w:lang w:val="en-GB"/>
        </w:rPr>
        <w:instrText xml:space="preserve"> ADDIN ZOTERO_ITEM CSL_CITATION {"citationID":"yNeX2kju","properties":{"formattedCitation":"\\super 3,4\\nosupersub{}","plainCitation":"3,4","noteIndex":0},"citationItems":[{"id":934,"uris":["http://zotero.org/users/9157291/items/IIB456LG"],"itemData":{"id":934,"type":"article-journal","abstract":"On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891,"uris":["http://zotero.org/users/9157291/items/UV7GWX94"],"itemData":{"id":891,"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3,4</w:t>
      </w:r>
      <w:r w:rsidRPr="0047272A">
        <w:rPr>
          <w:rFonts w:cstheme="minorHAnsi"/>
          <w:lang w:val="en-GB"/>
        </w:rPr>
        <w:fldChar w:fldCharType="end"/>
      </w:r>
      <w:r w:rsidRPr="0047272A">
        <w:rPr>
          <w:rFonts w:cstheme="minorHAnsi"/>
          <w:lang w:val="en-GB"/>
        </w:rPr>
        <w:t>. Methanol serves as an intermediate to olefins and aromatics production and is used for manufacturing formic acid, dimethyl ether, or methylamine, among others</w:t>
      </w:r>
      <w:r w:rsidRPr="0047272A">
        <w:rPr>
          <w:rFonts w:cstheme="minorHAnsi"/>
          <w:lang w:val="en-GB"/>
        </w:rPr>
        <w:fldChar w:fldCharType="begin"/>
      </w:r>
      <w:r w:rsidRPr="0047272A">
        <w:rPr>
          <w:rFonts w:cstheme="minorHAnsi"/>
          <w:lang w:val="en-GB"/>
        </w:rPr>
        <w:instrText xml:space="preserve"> ADDIN ZOTERO_ITEM CSL_CITATION {"citationID":"HRf3s6LA","properties":{"formattedCitation":"\\super 5,6\\nosupersub{}","plainCitation":"5,6","noteIndex":0},"citationItems":[{"id":939,"uris":["http://zotero.org/users/9157291/items/T22NA9KH"],"itemData":{"id":939,"type":"report","language":"en","page":"132","publisher":"International Energy Agency","source":"Zotero","title":"The Future of Petrochemicals: Towards more sustainable plastics and fertilisers","URL":"www.iea.org","author":[{"family":"IEA","given":""}],"issued":{"date-parts":[["2018"]]}}},{"id":935,"uris":["http://zotero.org/users/9157291/items/RURRENJ6"],"itemData":{"id":935,"type":"article-journal","abstract":"Methanol,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Edition","DOI":"10.1002/anie.200462121","ISSN":"1521-3773","issue":"18","journalAbbreviation":"Angew. Chem., Int. Ed. Engl.","note":"_eprint: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5,6</w:t>
      </w:r>
      <w:r w:rsidRPr="0047272A">
        <w:rPr>
          <w:rFonts w:cstheme="minorHAnsi"/>
          <w:lang w:val="en-GB"/>
        </w:rPr>
        <w:fldChar w:fldCharType="end"/>
      </w:r>
      <w:r w:rsidRPr="0047272A">
        <w:rPr>
          <w:rFonts w:cstheme="minorHAnsi"/>
          <w:lang w:val="en-GB"/>
        </w:rPr>
        <w:t xml:space="preserve">. </w:t>
      </w:r>
    </w:p>
    <w:p w14:paraId="2244D108" w14:textId="7DC5F799" w:rsidR="008A3579" w:rsidRPr="0047272A" w:rsidRDefault="008A3579" w:rsidP="008A3579">
      <w:pPr>
        <w:jc w:val="both"/>
        <w:rPr>
          <w:rFonts w:cstheme="minorHAnsi"/>
          <w:lang w:val="en-GB"/>
        </w:rPr>
      </w:pPr>
      <w:r w:rsidRPr="0047272A">
        <w:rPr>
          <w:rFonts w:cstheme="minorHAnsi"/>
          <w:lang w:val="en-GB"/>
        </w:rPr>
        <w:t>Between 60 and 70% of ammonia and methanol are produced from syngas obtained by steam reforming of natural gas</w:t>
      </w:r>
      <w:r w:rsidRPr="0047272A">
        <w:rPr>
          <w:rFonts w:cstheme="minorHAnsi"/>
          <w:lang w:val="en-GB"/>
        </w:rPr>
        <w:fldChar w:fldCharType="begin"/>
      </w:r>
      <w:r w:rsidRPr="0047272A">
        <w:rPr>
          <w:rFonts w:cstheme="minorHAnsi"/>
          <w:lang w:val="en-GB"/>
        </w:rPr>
        <w:instrText xml:space="preserve"> ADDIN ZOTERO_ITEM CSL_CITATION {"citationID":"i1Yu5aBj","properties":{"formattedCitation":"\\super 7,8\\nosupersub{}","plainCitation":"7,8","noteIndex":0},"citationItems":[{"id":206,"uris":["http://zotero.org/users/9157291/items/897KTRXK"],"itemData":{"id":206,"type":"report","event-place":"Abu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7,8</w:t>
      </w:r>
      <w:r w:rsidRPr="0047272A">
        <w:rPr>
          <w:rFonts w:cstheme="minorHAnsi"/>
          <w:lang w:val="en-GB"/>
        </w:rPr>
        <w:fldChar w:fldCharType="end"/>
      </w:r>
      <w:r w:rsidRPr="0047272A">
        <w:rPr>
          <w:rFonts w:cstheme="minorHAnsi"/>
          <w:lang w:val="en-GB"/>
        </w:rPr>
        <w:t>. The Haber-Bosch process</w:t>
      </w:r>
      <w:r w:rsidR="00605B66">
        <w:rPr>
          <w:rFonts w:cstheme="minorHAnsi"/>
          <w:lang w:val="en-GB"/>
        </w:rPr>
        <w:t xml:space="preserve"> (</w:t>
      </w:r>
      <w:r w:rsidR="00605B66" w:rsidRPr="00605B66">
        <w:rPr>
          <w:rFonts w:cstheme="minorHAnsi"/>
          <w:b/>
          <w:lang w:val="en-GB"/>
        </w:rPr>
        <w:t>Figure S1</w:t>
      </w:r>
      <w:r w:rsidR="009130E9" w:rsidRPr="0047272A">
        <w:rPr>
          <w:rFonts w:cstheme="minorHAnsi"/>
          <w:lang w:val="en-GB"/>
        </w:rPr>
        <w:t xml:space="preserve"> of the E</w:t>
      </w:r>
      <w:r w:rsidR="009130E9">
        <w:rPr>
          <w:rFonts w:cstheme="minorHAnsi"/>
          <w:lang w:val="en-GB"/>
        </w:rPr>
        <w:t>lectronic supplementary information - ESI</w:t>
      </w:r>
      <w:r w:rsidR="00605B66">
        <w:rPr>
          <w:rFonts w:cstheme="minorHAnsi"/>
          <w:lang w:val="en-GB"/>
        </w:rPr>
        <w:t>)</w:t>
      </w:r>
      <w:r w:rsidRPr="0047272A">
        <w:rPr>
          <w:rFonts w:cstheme="minorHAnsi"/>
          <w:lang w:val="en-GB"/>
        </w:rPr>
        <w:t>, which is energy-intensive and operates at demanding conditions (&gt;200 bar and &gt;400 °C), is used to produce ammonia from a combination of hydrogen and nitrogen over an Fe-based catalyst</w:t>
      </w:r>
      <w:r w:rsidRPr="0047272A">
        <w:rPr>
          <w:rFonts w:cstheme="minorHAnsi"/>
          <w:lang w:val="en-GB"/>
        </w:rPr>
        <w:fldChar w:fldCharType="begin"/>
      </w:r>
      <w:r w:rsidRPr="0047272A">
        <w:rPr>
          <w:rFonts w:cstheme="minorHAnsi"/>
          <w:lang w:val="en-GB"/>
        </w:rPr>
        <w:instrText xml:space="preserve"> ADDIN ZOTERO_ITEM CSL_CITATION {"citationID":"S0Zv0Qse","properties":{"formattedCitation":"\\super 9\\nosupersub{}","plainCitation":"9","noteIndex":0},"citationItems":[{"id":1006,"uris":["http://zotero.org/users/9157291/items/A2US8TDS"],"itemData":{"id":1006,"type":"article-journal","abstract":"Due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9</w:t>
      </w:r>
      <w:r w:rsidRPr="0047272A">
        <w:rPr>
          <w:rFonts w:cstheme="minorHAnsi"/>
          <w:lang w:val="en-GB"/>
        </w:rPr>
        <w:fldChar w:fldCharType="end"/>
      </w:r>
      <w:r w:rsidRPr="0047272A">
        <w:rPr>
          <w:rFonts w:cstheme="minorHAnsi"/>
          <w:lang w:val="en-GB"/>
        </w:rPr>
        <w:t xml:space="preserve">. Methanol production </w:t>
      </w:r>
      <w:r w:rsidR="002E5DC0">
        <w:rPr>
          <w:rFonts w:cstheme="minorHAnsi"/>
          <w:lang w:val="en-GB"/>
        </w:rPr>
        <w:t>(</w:t>
      </w:r>
      <w:r w:rsidR="002E5DC0" w:rsidRPr="002E5DC0">
        <w:rPr>
          <w:rFonts w:cstheme="minorHAnsi"/>
          <w:b/>
          <w:lang w:val="en-GB"/>
        </w:rPr>
        <w:t>Figure S2</w:t>
      </w:r>
      <w:r w:rsidR="002E5DC0">
        <w:rPr>
          <w:rFonts w:cstheme="minorHAnsi"/>
          <w:lang w:val="en-GB"/>
        </w:rPr>
        <w:t xml:space="preserve">) </w:t>
      </w:r>
      <w:r w:rsidRPr="0047272A">
        <w:rPr>
          <w:rFonts w:cstheme="minorHAnsi"/>
          <w:lang w:val="en-GB"/>
        </w:rPr>
        <w:t>requires hydrogenation of CO over a Cu-Zn-Al catalyst at high pressure and mild temperature (&gt;35 bar and &gt;200 °C)</w:t>
      </w:r>
      <w:r w:rsidRPr="0047272A">
        <w:rPr>
          <w:rFonts w:cstheme="minorHAnsi"/>
          <w:lang w:val="en-GB"/>
        </w:rPr>
        <w:fldChar w:fldCharType="begin"/>
      </w:r>
      <w:r w:rsidRPr="0047272A">
        <w:rPr>
          <w:rFonts w:cstheme="minorHAnsi"/>
          <w:lang w:val="en-GB"/>
        </w:rPr>
        <w:instrText xml:space="preserve"> ADDIN ZOTERO_ITEM CSL_CITATION {"citationID":"yD0gL3Xb","properties":{"formattedCitation":"\\super 10\\nosupersub{}","plainCitation":"10","noteIndex":0},"citationItems":[{"id":1005,"uris":["http://zotero.org/users/9157291/items/DPZPTWUU"],"itemData":{"id":1005,"type":"article-journal","abstract":"CO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10</w:t>
      </w:r>
      <w:r w:rsidRPr="0047272A">
        <w:rPr>
          <w:rFonts w:cstheme="minorHAnsi"/>
          <w:lang w:val="en-GB"/>
        </w:rPr>
        <w:fldChar w:fldCharType="end"/>
      </w:r>
      <w:r w:rsidRPr="0047272A">
        <w:rPr>
          <w:rFonts w:cstheme="minorHAnsi"/>
          <w:lang w:val="en-GB"/>
        </w:rPr>
        <w:t>. Sustainable ammonia production is achievable through the green Haber-Bosch process, which involves using hydrogen generated from water electrolysis powered by renewable sources such as wind or solar</w:t>
      </w:r>
      <w:r w:rsidRPr="0047272A">
        <w:rPr>
          <w:rFonts w:cstheme="minorHAnsi"/>
          <w:lang w:val="en-GB"/>
        </w:rPr>
        <w:fldChar w:fldCharType="begin"/>
      </w:r>
      <w:r w:rsidRPr="0047272A">
        <w:rPr>
          <w:rFonts w:cstheme="minorHAnsi"/>
          <w:lang w:val="en-GB"/>
        </w:rPr>
        <w:instrText xml:space="preserve"> ADDIN ZOTERO_ITEM CSL_CITATION {"citationID":"zsRcaa2G","properties":{"formattedCitation":"\\super 8,15\\nosupersub{}","plainCitation":"8,15","dontUpdate":true,"noteIndex":0},"citationItems":[{"id":901,"uris":["http://zotero.org/users/9157291/items/U2JU5DYJ"],"itemData":{"id":901,"type":"report","language":"en","note":"DOI: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8,11</w:t>
      </w:r>
      <w:r w:rsidRPr="0047272A">
        <w:rPr>
          <w:rFonts w:cstheme="minorHAnsi"/>
          <w:lang w:val="en-GB"/>
        </w:rPr>
        <w:fldChar w:fldCharType="end"/>
      </w:r>
      <w:r w:rsidRPr="0047272A">
        <w:rPr>
          <w:rFonts w:cstheme="minorHAnsi"/>
          <w:lang w:val="en-GB"/>
        </w:rPr>
        <w:t>. This hybrid electro- and thermo-catalytic scheme is currently in intense development and has been proposed as the first feasible low-emission alternative</w:t>
      </w:r>
      <w:r w:rsidRPr="0047272A">
        <w:rPr>
          <w:rFonts w:cstheme="minorHAnsi"/>
          <w:lang w:val="en-GB"/>
        </w:rPr>
        <w:fldChar w:fldCharType="begin"/>
      </w:r>
      <w:r w:rsidRPr="0047272A">
        <w:rPr>
          <w:rFonts w:cstheme="minorHAnsi"/>
          <w:lang w:val="en-GB"/>
        </w:rPr>
        <w:instrText xml:space="preserve"> ADDIN ZOTERO_ITEM CSL_CITATION {"citationID":"ex5E9pap","properties":{"formattedCitation":"\\super 12\\nosupersub{}","plainCitation":"12","noteIndex":0},"citationItems":[{"id":1004,"uris":["http://zotero.org/users/9157291/items/DLIJZIUV"],"itemData":{"id":1004,"type":"article-journal","abstract":"Most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 Rev.","page":"230-244","source":"IngentaConnect","title":"Review of Recent Progress in Green Ammonia Synthesis: Decarbonisation of fertiliser and fuels via green synthesis","title-short":"Review of Recent Progress in Green Ammonia Synthesis","volume":"66","author":[{"family":"Smart","given":"Katie"}],"issued":{"date-parts":[["2022",7,12]]}}}],"schema":"https://github.com/citation-style-language/schema/raw/master/csl-citation.json"}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12</w:t>
      </w:r>
      <w:r w:rsidRPr="0047272A">
        <w:rPr>
          <w:rFonts w:cstheme="minorHAnsi"/>
          <w:lang w:val="en-GB"/>
        </w:rPr>
        <w:fldChar w:fldCharType="end"/>
      </w:r>
      <w:r w:rsidRPr="0047272A">
        <w:rPr>
          <w:rFonts w:cstheme="minorHAnsi"/>
          <w:lang w:val="en-GB"/>
        </w:rPr>
        <w:t>. To enhance the sustainability of methanol production, the current CO hydrogenation process can incorporate CO</w:t>
      </w:r>
      <w:r w:rsidRPr="0047272A">
        <w:rPr>
          <w:rFonts w:cstheme="minorHAnsi"/>
          <w:vertAlign w:val="subscript"/>
          <w:lang w:val="en-GB"/>
        </w:rPr>
        <w:t>2</w:t>
      </w:r>
      <w:r w:rsidRPr="0047272A">
        <w:rPr>
          <w:rFonts w:cstheme="minorHAnsi"/>
          <w:lang w:val="en-GB"/>
        </w:rPr>
        <w:t xml:space="preserve"> as a source via the optimized reverse water gas shift reaction, along with low-carbon hydrogen sources</w:t>
      </w:r>
      <w:r w:rsidRPr="0047272A">
        <w:rPr>
          <w:rFonts w:cstheme="minorHAnsi"/>
          <w:lang w:val="en-GB"/>
        </w:rPr>
        <w:fldChar w:fldCharType="begin"/>
      </w:r>
      <w:r w:rsidRPr="0047272A">
        <w:rPr>
          <w:rFonts w:cstheme="minorHAnsi"/>
          <w:lang w:val="en-GB"/>
        </w:rPr>
        <w:instrText xml:space="preserve"> ADDIN ZOTERO_ITEM CSL_CITATION {"citationID":"xE4lTznH","properties":{"formattedCitation":"\\super 7\\nosupersub{}","plainCitation":"7","noteIndex":0},"citationItems":[{"id":206,"uris":["http://zotero.org/users/9157291/items/897KTRXK"],"itemData":{"id":206,"type":"report","event-place":"Abu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7</w:t>
      </w:r>
      <w:r w:rsidRPr="0047272A">
        <w:rPr>
          <w:rFonts w:cstheme="minorHAnsi"/>
          <w:lang w:val="en-GB"/>
        </w:rPr>
        <w:fldChar w:fldCharType="end"/>
      </w:r>
      <w:r w:rsidRPr="0047272A">
        <w:rPr>
          <w:rFonts w:cstheme="minorHAnsi"/>
          <w:lang w:val="en-GB"/>
        </w:rPr>
        <w:t xml:space="preserve">. </w:t>
      </w:r>
    </w:p>
    <w:p w14:paraId="4513EE6E" w14:textId="77777777" w:rsidR="008A3579" w:rsidRPr="0047272A" w:rsidRDefault="008A3579" w:rsidP="008A3579">
      <w:pPr>
        <w:jc w:val="both"/>
        <w:rPr>
          <w:rFonts w:cstheme="minorHAnsi"/>
          <w:lang w:val="en-GB"/>
        </w:rPr>
      </w:pPr>
      <w:r w:rsidRPr="0047272A">
        <w:rPr>
          <w:rFonts w:cstheme="minorHAnsi"/>
          <w:lang w:val="en-GB"/>
        </w:rPr>
        <w:t>Previous studies have demonstrated the technical feasibility</w:t>
      </w:r>
      <w:r w:rsidRPr="0047272A">
        <w:rPr>
          <w:rFonts w:cstheme="minorHAnsi"/>
          <w:lang w:val="en-GB"/>
        </w:rPr>
        <w:fldChar w:fldCharType="begin"/>
      </w:r>
      <w:r w:rsidRPr="0047272A">
        <w:rPr>
          <w:rFonts w:cstheme="minorHAnsi"/>
          <w:lang w:val="en-GB"/>
        </w:rPr>
        <w:instrText xml:space="preserve"> ADDIN ZOTERO_ITEM CSL_CITATION {"citationID":"WRVksAsW","properties":{"formattedCitation":"\\super 8,11,13,14\\nosupersub{}","plainCitation":"8,11,13,14","noteIndex":0},"citationItems":[{"id":901,"uris":["http://zotero.org/users/9157291/items/U2JU5DYJ"],"itemData":{"id":901,"type":"report","language":"en","note":"DOI: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Fernanda"}],"accessed":{"date-parts":[["2022",12,9]]},"issued":{"date-parts":[["2022"]]}}},{"id":938,"uris":["http://zotero.org/users/9157291/items/VCI52L9Z"],"itemData":{"id":938,"type":"report","language":"en","page":"60","publisher":"International Energy Agency","source":"Zotero","title":"Technology Roadmap Energy and GHG Reductions in the Chemical Industry via Catalytic Processes","author":[{"family":"IEA","given":""}],"issued":{"date-parts":[["2013"]]}}},{"id":807,"uris":["http://zotero.org/users/9157291/items/27ZU9RRM"],"itemData":{"id":807,"type":"article-journal","abstract":"Carbon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8,11,13,14</w:t>
      </w:r>
      <w:r w:rsidRPr="0047272A">
        <w:rPr>
          <w:rFonts w:cstheme="minorHAnsi"/>
          <w:lang w:val="en-GB"/>
        </w:rPr>
        <w:fldChar w:fldCharType="end"/>
      </w:r>
      <w:r w:rsidRPr="0047272A">
        <w:rPr>
          <w:rFonts w:cstheme="minorHAnsi"/>
          <w:lang w:val="en-GB"/>
        </w:rPr>
        <w:t xml:space="preserve"> and potential climate benefits</w:t>
      </w:r>
      <w:r w:rsidRPr="0047272A">
        <w:rPr>
          <w:rFonts w:cstheme="minorHAnsi"/>
          <w:lang w:val="en-GB"/>
        </w:rPr>
        <w:fldChar w:fldCharType="begin"/>
      </w:r>
      <w:r w:rsidRPr="0047272A">
        <w:rPr>
          <w:rFonts w:cstheme="minorHAnsi"/>
          <w:lang w:val="en-GB"/>
        </w:rPr>
        <w:instrText xml:space="preserve"> ADDIN ZOTERO_ITEM CSL_CITATION {"citationID":"4uxQQGaL","properties":{"formattedCitation":"\\super 15\\uc0\\u8211{}18\\nosupersub{}","plainCitation":"15–18","noteIndex":0},"citationItems":[{"id":684,"uris":["http://zotero.org/users/9157291/items/AFKW7KRC"],"itemData":{"id":684,"type":"article-journal","abstract":"At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708,"uris":["http://zotero.org/users/9157291/items/9MFRQVYI"],"itemData":{"id":708,"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Chemistry","page":"113-124","source":"pubs.rsc.org","title":"Trade-offs between Sustainable Development Goals in carbon capture and utilisation","volume":"16","author":[{"family":"Ioannou","given":"Iasonas"},{"family":"Galán-Martín","given":"Ángel"},{"family":"Pérez-Ramírez","given":"Javier"},{"family":"Guillén-Gosálbez","given":"Gonzalo"}],"issued":{"date-parts":[["2023"]]}}},{"id":699,"uris":["http://zotero.org/users/9157291/items/F2TCR293"],"itemData":{"id":699,"type":"article-journal","container-title":"Proceedings of the National Academy of Sciences","DOI":"10.1073/pnas.1821029116","issue":"23","journalAbbreviation":"Proc. Natl. Acad. Sci. U.S.A.","note":"publisher: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15–18</w:t>
      </w:r>
      <w:r w:rsidRPr="0047272A">
        <w:rPr>
          <w:rFonts w:cstheme="minorHAnsi"/>
          <w:lang w:val="en-GB"/>
        </w:rPr>
        <w:fldChar w:fldCharType="end"/>
      </w:r>
      <w:r w:rsidRPr="0047272A">
        <w:rPr>
          <w:rFonts w:cstheme="minorHAnsi"/>
          <w:lang w:val="en-GB"/>
        </w:rPr>
        <w:t xml:space="preserve"> of green production of chemicals, but the common challenge is the high production costs compared to fossil-based methods</w:t>
      </w:r>
      <w:r w:rsidRPr="0047272A">
        <w:rPr>
          <w:rFonts w:cstheme="minorHAnsi"/>
          <w:lang w:val="en-GB"/>
        </w:rPr>
        <w:fldChar w:fldCharType="begin"/>
      </w:r>
      <w:r w:rsidRPr="0047272A">
        <w:rPr>
          <w:rFonts w:cstheme="minorHAnsi"/>
          <w:lang w:val="en-GB"/>
        </w:rPr>
        <w:instrText xml:space="preserve"> ADDIN ZOTERO_ITEM CSL_CITATION {"citationID":"sPb4ycfd","properties":{"formattedCitation":"\\super 15,19,20\\nosupersub{}","plainCitation":"15,19,20","noteIndex":0},"citationItems":[{"id":361,"uris":["http://zotero.org/users/9157291/items/69SKN82T"],"itemData":{"id":361,"type":"article-journal","abstract":"The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15,19,20</w:t>
      </w:r>
      <w:r w:rsidRPr="0047272A">
        <w:rPr>
          <w:rFonts w:cstheme="minorHAnsi"/>
          <w:lang w:val="en-GB"/>
        </w:rPr>
        <w:fldChar w:fldCharType="end"/>
      </w:r>
      <w:r w:rsidRPr="0047272A">
        <w:rPr>
          <w:rFonts w:cstheme="minorHAnsi"/>
          <w:lang w:val="en-GB"/>
        </w:rPr>
        <w:t>. Historically, Europe has experienced higher production costs for chemicals due to elevated labour and feedstock expenses</w:t>
      </w:r>
      <w:r w:rsidRPr="0047272A">
        <w:rPr>
          <w:rFonts w:cstheme="minorHAnsi"/>
          <w:lang w:val="en-GB"/>
        </w:rPr>
        <w:fldChar w:fldCharType="begin"/>
      </w:r>
      <w:r w:rsidRPr="0047272A">
        <w:rPr>
          <w:rFonts w:cstheme="minorHAnsi"/>
          <w:lang w:val="en-GB"/>
        </w:rPr>
        <w:instrText xml:space="preserve"> ADDIN ZOTERO_ITEM CSL_CITATION {"citationID":"qowpZTcy","properties":{"formattedCitation":"\\super 21\\nosupersub{}","plainCitation":"21","noteIndex":0},"citationItems":[{"id":638,"uris":["http://zotero.org/users/9157291/items/97IRYBPV"],"itemData":{"id":638,"type":"article-journal","abstract":"Our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Reviews","DOI":"10.1016/j.rser.2016.02.021","ISSN":"1364-0321","issue":"Part 2","journalAbbreviation":"Renew. Sust. Energ. Rev.","language":"en","page":"1205-1212","source":"ScienceDirect","title":"Production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21</w:t>
      </w:r>
      <w:r w:rsidRPr="0047272A">
        <w:rPr>
          <w:rFonts w:cstheme="minorHAnsi"/>
          <w:lang w:val="en-GB"/>
        </w:rPr>
        <w:fldChar w:fldCharType="end"/>
      </w:r>
      <w:r w:rsidRPr="0047272A">
        <w:rPr>
          <w:rFonts w:cstheme="minorHAnsi"/>
          <w:lang w:val="en-GB"/>
        </w:rPr>
        <w:t>. The global energy market disruption has further amplified this gap. For example, between 2020 and 2022, natural gas prices increased by a factor of 1.6 in the U.S. compared to 9.6 in Europe</w:t>
      </w:r>
      <w:r w:rsidRPr="0047272A">
        <w:rPr>
          <w:rFonts w:cstheme="minorHAnsi"/>
          <w:lang w:val="en-GB"/>
        </w:rPr>
        <w:fldChar w:fldCharType="begin"/>
      </w:r>
      <w:r w:rsidRPr="0047272A">
        <w:rPr>
          <w:rFonts w:cstheme="minorHAnsi"/>
          <w:lang w:val="en-GB"/>
        </w:rPr>
        <w:instrText xml:space="preserve"> ADDIN ZOTERO_ITEM CSL_CITATION {"citationID":"I7dOfOej","properties":{"formattedCitation":"\\super 22\\nosupersub{}","plainCitation":"22","noteIndex":0},"citationItems":[{"id":932,"uris":["http://zotero.org/users/9157291/items/ASL4MQPD"],"itemData":{"id":932,"type":"report","event-place":"Washington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22</w:t>
      </w:r>
      <w:r w:rsidRPr="0047272A">
        <w:rPr>
          <w:rFonts w:cstheme="minorHAnsi"/>
          <w:lang w:val="en-GB"/>
        </w:rPr>
        <w:fldChar w:fldCharType="end"/>
      </w:r>
      <w:r w:rsidRPr="0047272A">
        <w:rPr>
          <w:rFonts w:cstheme="minorHAnsi"/>
          <w:lang w:val="en-GB"/>
        </w:rPr>
        <w:t>, halting more than half of Europe's ammonia production capacity (around 8% of global production</w:t>
      </w:r>
      <w:r w:rsidRPr="0047272A">
        <w:rPr>
          <w:rFonts w:cstheme="minorHAnsi"/>
          <w:lang w:val="en-GB"/>
        </w:rPr>
        <w:fldChar w:fldCharType="begin"/>
      </w:r>
      <w:r w:rsidRPr="0047272A">
        <w:rPr>
          <w:rFonts w:cstheme="minorHAnsi"/>
          <w:lang w:val="en-GB"/>
        </w:rPr>
        <w:instrText xml:space="preserve"> ADDIN ZOTERO_ITEM CSL_CITATION {"citationID":"oeRqOW4i","properties":{"formattedCitation":"\\super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11</w:t>
      </w:r>
      <w:r w:rsidRPr="0047272A">
        <w:rPr>
          <w:rFonts w:cstheme="minorHAnsi"/>
          <w:lang w:val="en-GB"/>
        </w:rPr>
        <w:fldChar w:fldCharType="end"/>
      </w:r>
      <w:r w:rsidRPr="0047272A">
        <w:rPr>
          <w:rFonts w:cstheme="minorHAnsi"/>
          <w:lang w:val="en-GB"/>
        </w:rPr>
        <w:t>) in 2022</w:t>
      </w:r>
      <w:r w:rsidRPr="0047272A">
        <w:rPr>
          <w:rFonts w:cstheme="minorHAnsi"/>
          <w:lang w:val="en-GB"/>
        </w:rPr>
        <w:fldChar w:fldCharType="begin"/>
      </w:r>
      <w:r w:rsidRPr="0047272A">
        <w:rPr>
          <w:rFonts w:cstheme="minorHAnsi"/>
          <w:lang w:val="en-GB"/>
        </w:rPr>
        <w:instrText xml:space="preserve"> ADDIN ZOTERO_ITEM CSL_CITATION {"citationID":"OFI4q7zf","properties":{"formattedCitation":"\\super 23,24\\nosupersub{}","plainCitation":"23,24","noteIndex":0},"citationItems":[{"id":931,"uris":["http://zotero.org/users/9157291/items/ZNIINMHR"],"itemData":{"id":931,"type":"webpage","abstract":"Europe’s fertilizer crunch tightened after Yara International ASA cut output in the face of soaring gas prices, putting more pressure on food supplies as a cost-of-living crisis intensifies.","container-title":"Bloomberg.com","language":"en","title":"Europe’s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930,"uris":["http://zotero.org/users/9157291/items/J9GLHR82"],"itemData":{"id":930,"type":"webpage","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23,24</w:t>
      </w:r>
      <w:r w:rsidRPr="0047272A">
        <w:rPr>
          <w:rFonts w:cstheme="minorHAnsi"/>
          <w:lang w:val="en-GB"/>
        </w:rPr>
        <w:fldChar w:fldCharType="end"/>
      </w:r>
      <w:r w:rsidRPr="0047272A">
        <w:rPr>
          <w:rFonts w:cstheme="minorHAnsi"/>
          <w:lang w:val="en-GB"/>
        </w:rPr>
        <w:t>. As a result, the chemical industry may consider relocating production to regions with lower costs rather than implementing domestic green production strategies. However, this could have detrimental socio-economic effects and undermine Europe's leadership in chemical production while increasing its susceptibility to supply disruptions. Furthermore, this sector employs approximately 1.2 million people across the continent</w:t>
      </w:r>
      <w:r w:rsidRPr="0047272A">
        <w:rPr>
          <w:rFonts w:cstheme="minorHAnsi"/>
          <w:lang w:val="en-GB"/>
        </w:rPr>
        <w:fldChar w:fldCharType="begin"/>
      </w:r>
      <w:r w:rsidRPr="0047272A">
        <w:rPr>
          <w:rFonts w:cstheme="minorHAnsi"/>
          <w:lang w:val="en-GB"/>
        </w:rPr>
        <w:instrText xml:space="preserve"> ADDIN ZOTERO_ITEM CSL_CITATION {"citationID":"pJ4R1O14","properties":{"formattedCitation":"\\super 25\\nosupersub{}","plainCitation":"25","noteIndex":0},"citationItems":[{"id":156,"uris":["http://zotero.org/users/9157291/items/44HGAMH3"],"itemData":{"id":156,"type":"report","publisher":"European Chemical Industry Council","title":"The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25</w:t>
      </w:r>
      <w:r w:rsidRPr="0047272A">
        <w:rPr>
          <w:rFonts w:cstheme="minorHAnsi"/>
          <w:lang w:val="en-GB"/>
        </w:rPr>
        <w:fldChar w:fldCharType="end"/>
      </w:r>
      <w:r w:rsidRPr="0047272A">
        <w:rPr>
          <w:rFonts w:cstheme="minorHAnsi"/>
          <w:lang w:val="en-GB"/>
        </w:rPr>
        <w:t>, who would be at risk in such an uncertain scenario.</w:t>
      </w:r>
    </w:p>
    <w:p w14:paraId="5EC5A560" w14:textId="23601BF1" w:rsidR="00550978" w:rsidRPr="00E825C8" w:rsidRDefault="008A3579" w:rsidP="00E825C8">
      <w:pPr>
        <w:jc w:val="both"/>
        <w:rPr>
          <w:rFonts w:cstheme="minorHAnsi"/>
          <w:lang w:val="en-GB"/>
        </w:rPr>
      </w:pPr>
      <w:r w:rsidRPr="0047272A">
        <w:rPr>
          <w:rFonts w:cstheme="minorHAnsi"/>
          <w:lang w:val="en-GB"/>
        </w:rPr>
        <w:lastRenderedPageBreak/>
        <w:t>However, this unexpected situation may present an opportunity to enhance the economic competitiveness of green chemicals and accelerate the shift to renewable sources. It is yet to be determined whether green chemicals can demonstrate economic competitiveness in addition to their environmental dominance in the current situation. To bridge this crucial research gap, we conduct a monthly techno-economic assessment of Europe's production costs for green and fossil ammonia and methanol.</w:t>
      </w:r>
      <w:r w:rsidR="00452F17">
        <w:rPr>
          <w:rFonts w:cstheme="minorHAnsi"/>
          <w:lang w:val="en-GB"/>
        </w:rPr>
        <w:t xml:space="preserve"> Graphical representations for the techno-economic calculations are shown in </w:t>
      </w:r>
      <w:r w:rsidR="00452F17" w:rsidRPr="000E6FA5">
        <w:rPr>
          <w:rFonts w:cstheme="minorHAnsi"/>
          <w:b/>
          <w:lang w:val="en-GB"/>
        </w:rPr>
        <w:t>Figure S3</w:t>
      </w:r>
      <w:r w:rsidR="00452F17">
        <w:rPr>
          <w:rFonts w:cstheme="minorHAnsi"/>
          <w:lang w:val="en-GB"/>
        </w:rPr>
        <w:t xml:space="preserve"> for ammonia and </w:t>
      </w:r>
      <w:r w:rsidR="00452F17" w:rsidRPr="000E6FA5">
        <w:rPr>
          <w:rFonts w:cstheme="minorHAnsi"/>
          <w:b/>
          <w:lang w:val="en-GB"/>
        </w:rPr>
        <w:t>Figure S4</w:t>
      </w:r>
      <w:r w:rsidR="00452F17">
        <w:rPr>
          <w:rFonts w:cstheme="minorHAnsi"/>
          <w:lang w:val="en-GB"/>
        </w:rPr>
        <w:t xml:space="preserve"> for methanol, respectively.</w:t>
      </w:r>
    </w:p>
    <w:p w14:paraId="56DE3159" w14:textId="62F0EEDC" w:rsidR="008A3579" w:rsidRPr="0047272A" w:rsidRDefault="008A3579" w:rsidP="008A3579">
      <w:pPr>
        <w:pStyle w:val="Heading2"/>
      </w:pPr>
      <w:r w:rsidRPr="0047272A">
        <w:t>Results</w:t>
      </w:r>
    </w:p>
    <w:p w14:paraId="251805B7" w14:textId="77777777" w:rsidR="008A3579" w:rsidRPr="0047272A" w:rsidRDefault="008A3579" w:rsidP="008A3579">
      <w:pPr>
        <w:pStyle w:val="Heading3"/>
      </w:pPr>
      <w:r w:rsidRPr="0047272A">
        <w:t>Surging natural gas prices highlight the need for low-carbon alternatives</w:t>
      </w:r>
    </w:p>
    <w:p w14:paraId="25A003EA" w14:textId="14B37157" w:rsidR="008A3579" w:rsidRPr="0047272A" w:rsidRDefault="008A3579" w:rsidP="008A3579">
      <w:pPr>
        <w:jc w:val="both"/>
        <w:rPr>
          <w:rFonts w:cstheme="minorHAnsi"/>
          <w:lang w:val="en-GB"/>
        </w:rPr>
      </w:pPr>
      <w:r w:rsidRPr="0047272A">
        <w:rPr>
          <w:lang w:val="en-GB"/>
        </w:rPr>
        <w:t>We use natural gas spot prices at the reference Dutch TTF trading hub as a benchmark, but acknowledge that ongoing long-term confidential contracts signed by companies may affect actual production costs. We validated our estimates by comparing them to actual market prices during a stable period before the 2022 disruption, and our results align well with ammonia and methanol market prices over the past few years</w:t>
      </w:r>
      <w:r w:rsidRPr="0047272A">
        <w:rPr>
          <w:rFonts w:cstheme="minorHAnsi"/>
          <w:lang w:val="en-GB"/>
        </w:rPr>
        <w:t xml:space="preserve"> as shown in </w:t>
      </w:r>
      <w:r w:rsidRPr="0049215D">
        <w:rPr>
          <w:rFonts w:cstheme="minorHAnsi"/>
          <w:b/>
          <w:lang w:val="en-GB"/>
        </w:rPr>
        <w:t>Figure</w:t>
      </w:r>
      <w:r w:rsidR="007035ED">
        <w:rPr>
          <w:rFonts w:cstheme="minorHAnsi"/>
          <w:b/>
          <w:lang w:val="en-GB"/>
        </w:rPr>
        <w:t>s</w:t>
      </w:r>
      <w:r w:rsidR="00035625">
        <w:rPr>
          <w:rFonts w:cstheme="minorHAnsi"/>
          <w:b/>
          <w:lang w:val="en-GB"/>
        </w:rPr>
        <w:t xml:space="preserve"> </w:t>
      </w:r>
      <w:r w:rsidR="0026672C" w:rsidRPr="0049215D">
        <w:rPr>
          <w:rFonts w:cstheme="minorHAnsi"/>
          <w:b/>
          <w:lang w:val="en-GB"/>
        </w:rPr>
        <w:t>S</w:t>
      </w:r>
      <w:r w:rsidR="001B516D">
        <w:rPr>
          <w:rFonts w:cstheme="minorHAnsi"/>
          <w:b/>
          <w:lang w:val="en-GB"/>
        </w:rPr>
        <w:t>7</w:t>
      </w:r>
      <w:r w:rsidR="007035ED">
        <w:rPr>
          <w:rFonts w:cstheme="minorHAnsi"/>
          <w:lang w:val="en-GB"/>
        </w:rPr>
        <w:t xml:space="preserve"> </w:t>
      </w:r>
      <w:r w:rsidRPr="0047272A">
        <w:rPr>
          <w:rFonts w:cstheme="minorHAnsi"/>
          <w:lang w:val="en-GB"/>
        </w:rPr>
        <w:t>and</w:t>
      </w:r>
      <w:r w:rsidR="007035ED">
        <w:rPr>
          <w:rFonts w:cstheme="minorHAnsi"/>
          <w:b/>
          <w:lang w:val="en-GB"/>
        </w:rPr>
        <w:t xml:space="preserve"> </w:t>
      </w:r>
      <w:r w:rsidR="0026672C" w:rsidRPr="0049215D">
        <w:rPr>
          <w:rFonts w:cstheme="minorHAnsi"/>
          <w:b/>
          <w:lang w:val="en-GB"/>
        </w:rPr>
        <w:t>S</w:t>
      </w:r>
      <w:r w:rsidR="001B516D">
        <w:rPr>
          <w:rFonts w:cstheme="minorHAnsi"/>
          <w:b/>
          <w:lang w:val="en-GB"/>
        </w:rPr>
        <w:t>8</w:t>
      </w:r>
      <w:r w:rsidR="009130E9">
        <w:rPr>
          <w:rFonts w:cstheme="minorHAnsi"/>
          <w:b/>
          <w:lang w:val="en-GB"/>
        </w:rPr>
        <w:t xml:space="preserve"> </w:t>
      </w:r>
      <w:r w:rsidRPr="0047272A">
        <w:rPr>
          <w:rFonts w:cstheme="minorHAnsi"/>
          <w:lang w:val="en-GB"/>
        </w:rPr>
        <w:t>respectively</w:t>
      </w:r>
      <w:r w:rsidRPr="0047272A">
        <w:rPr>
          <w:lang w:val="en-GB"/>
        </w:rPr>
        <w:t xml:space="preserve">. </w:t>
      </w:r>
      <w:r w:rsidRPr="0047272A">
        <w:rPr>
          <w:rFonts w:cstheme="minorHAnsi"/>
          <w:lang w:val="en-GB"/>
        </w:rPr>
        <w:t>The so-evaluated production cost assuming the use of natural gas sold at current European market prices for fossil ammonia surged from 0.4 USD kg</w:t>
      </w:r>
      <w:r w:rsidRPr="0047272A">
        <w:rPr>
          <w:rFonts w:cstheme="minorHAnsi"/>
          <w:vertAlign w:val="superscript"/>
          <w:lang w:val="en-GB"/>
        </w:rPr>
        <w:t>−1</w:t>
      </w:r>
      <w:r w:rsidRPr="0047272A">
        <w:rPr>
          <w:rFonts w:cstheme="minorHAnsi"/>
          <w:lang w:val="en-GB"/>
        </w:rPr>
        <w:t xml:space="preserve"> (averaged value in 2019-2020) to 1.3 USD kg</w:t>
      </w:r>
      <w:r w:rsidRPr="0047272A">
        <w:rPr>
          <w:rFonts w:cstheme="minorHAnsi"/>
          <w:vertAlign w:val="superscript"/>
          <w:lang w:val="en-GB"/>
        </w:rPr>
        <w:t>−1</w:t>
      </w:r>
      <w:r w:rsidRPr="0047272A">
        <w:rPr>
          <w:rFonts w:cstheme="minorHAnsi"/>
          <w:lang w:val="en-GB"/>
        </w:rPr>
        <w:t xml:space="preserve"> in November 2022 (</w:t>
      </w:r>
      <w:r w:rsidR="005028D5" w:rsidRPr="0047272A">
        <w:rPr>
          <w:rFonts w:cstheme="minorHAnsi"/>
          <w:b/>
          <w:bCs/>
          <w:lang w:val="en-GB"/>
        </w:rPr>
        <w:fldChar w:fldCharType="begin"/>
      </w:r>
      <w:r w:rsidR="005028D5" w:rsidRPr="0047272A">
        <w:rPr>
          <w:rFonts w:cstheme="minorHAnsi"/>
          <w:b/>
          <w:lang w:val="en-GB"/>
        </w:rPr>
        <w:instrText xml:space="preserve"> REF _Ref129860436 \h </w:instrText>
      </w:r>
      <w:r w:rsidR="005028D5" w:rsidRPr="0047272A">
        <w:rPr>
          <w:rFonts w:cstheme="minorHAnsi"/>
          <w:b/>
          <w:bCs/>
          <w:lang w:val="en-GB"/>
        </w:rPr>
        <w:instrText xml:space="preserve"> \* MERGEFORMAT </w:instrText>
      </w:r>
      <w:r w:rsidR="005028D5" w:rsidRPr="0047272A">
        <w:rPr>
          <w:rFonts w:cstheme="minorHAnsi"/>
          <w:b/>
          <w:bCs/>
          <w:lang w:val="en-GB"/>
        </w:rPr>
      </w:r>
      <w:r w:rsidR="005028D5" w:rsidRPr="0047272A">
        <w:rPr>
          <w:rFonts w:cstheme="minorHAnsi"/>
          <w:b/>
          <w:bCs/>
          <w:lang w:val="en-GB"/>
        </w:rPr>
        <w:fldChar w:fldCharType="separate"/>
      </w:r>
      <w:r w:rsidR="00FF0FC0" w:rsidRPr="00FF0FC0">
        <w:rPr>
          <w:b/>
          <w:lang w:val="en-GB"/>
        </w:rPr>
        <w:t>Figure 1</w:t>
      </w:r>
      <w:r w:rsidR="005028D5" w:rsidRPr="0047272A">
        <w:rPr>
          <w:rFonts w:cstheme="minorHAnsi"/>
          <w:b/>
          <w:bCs/>
          <w:lang w:val="en-GB"/>
        </w:rPr>
        <w:fldChar w:fldCharType="end"/>
      </w:r>
      <w:r w:rsidR="005028D5" w:rsidRPr="0047272A">
        <w:rPr>
          <w:rFonts w:cstheme="minorHAnsi"/>
          <w:b/>
          <w:bCs/>
          <w:lang w:val="en-GB"/>
        </w:rPr>
        <w:t>a</w:t>
      </w:r>
      <w:r w:rsidRPr="0047272A">
        <w:rPr>
          <w:rFonts w:cstheme="minorHAnsi"/>
          <w:lang w:val="en-GB"/>
        </w:rPr>
        <w:t>), while fossil methanol costs evolved from 0.2 to 1.2 USD kg</w:t>
      </w:r>
      <w:r w:rsidRPr="0047272A">
        <w:rPr>
          <w:rFonts w:cstheme="minorHAnsi"/>
          <w:vertAlign w:val="superscript"/>
          <w:lang w:val="en-GB"/>
        </w:rPr>
        <w:t>−1</w:t>
      </w:r>
      <w:r w:rsidRPr="0047272A">
        <w:rPr>
          <w:rFonts w:cstheme="minorHAnsi"/>
          <w:lang w:val="en-GB"/>
        </w:rPr>
        <w:t xml:space="preserve"> during the same period (</w:t>
      </w:r>
      <w:r w:rsidR="002A5761" w:rsidRPr="0047272A">
        <w:rPr>
          <w:rFonts w:cstheme="minorHAnsi"/>
          <w:b/>
          <w:bCs/>
          <w:lang w:val="en-GB"/>
        </w:rPr>
        <w:fldChar w:fldCharType="begin"/>
      </w:r>
      <w:r w:rsidR="002A5761" w:rsidRPr="0047272A">
        <w:rPr>
          <w:rFonts w:cstheme="minorHAnsi"/>
          <w:b/>
          <w:lang w:val="en-GB"/>
        </w:rPr>
        <w:instrText xml:space="preserve"> REF _Ref129860436 \h </w:instrText>
      </w:r>
      <w:r w:rsidR="002A5761" w:rsidRPr="0047272A">
        <w:rPr>
          <w:rFonts w:cstheme="minorHAnsi"/>
          <w:b/>
          <w:bCs/>
          <w:lang w:val="en-GB"/>
        </w:rPr>
        <w:instrText xml:space="preserve"> \* MERGEFORMAT </w:instrText>
      </w:r>
      <w:r w:rsidR="002A5761" w:rsidRPr="0047272A">
        <w:rPr>
          <w:rFonts w:cstheme="minorHAnsi"/>
          <w:b/>
          <w:bCs/>
          <w:lang w:val="en-GB"/>
        </w:rPr>
      </w:r>
      <w:r w:rsidR="002A5761" w:rsidRPr="0047272A">
        <w:rPr>
          <w:rFonts w:cstheme="minorHAnsi"/>
          <w:b/>
          <w:bCs/>
          <w:lang w:val="en-GB"/>
        </w:rPr>
        <w:fldChar w:fldCharType="separate"/>
      </w:r>
      <w:r w:rsidR="00FF0FC0" w:rsidRPr="00FF0FC0">
        <w:rPr>
          <w:b/>
          <w:lang w:val="en-GB"/>
        </w:rPr>
        <w:t>Figure 1</w:t>
      </w:r>
      <w:r w:rsidR="002A5761" w:rsidRPr="0047272A">
        <w:rPr>
          <w:rFonts w:cstheme="minorHAnsi"/>
          <w:b/>
          <w:bCs/>
          <w:lang w:val="en-GB"/>
        </w:rPr>
        <w:fldChar w:fldCharType="end"/>
      </w:r>
      <w:r w:rsidRPr="0047272A">
        <w:rPr>
          <w:rFonts w:cstheme="minorHAnsi"/>
          <w:b/>
          <w:bCs/>
          <w:lang w:val="en-GB"/>
        </w:rPr>
        <w:t>b</w:t>
      </w:r>
      <w:r w:rsidRPr="0047272A">
        <w:rPr>
          <w:rFonts w:cstheme="minorHAnsi"/>
          <w:lang w:val="en-GB"/>
        </w:rPr>
        <w:t>). These increases are directly connected to steadily rising natural gas spot prices due to the COVID-19 pandemic and later to the Russian-Ukraine conflict in February 2022, when volatility increased. Over this unstable period, prices fluctuated considerably and peaked in August 2022 at 2.4 USD kg</w:t>
      </w:r>
      <w:r w:rsidRPr="0047272A">
        <w:rPr>
          <w:rFonts w:cstheme="minorHAnsi"/>
          <w:vertAlign w:val="superscript"/>
          <w:lang w:val="en-GB"/>
        </w:rPr>
        <w:t>−1</w:t>
      </w:r>
      <w:r w:rsidRPr="0047272A">
        <w:rPr>
          <w:rFonts w:cstheme="minorHAnsi"/>
          <w:lang w:val="en-GB"/>
        </w:rPr>
        <w:t xml:space="preserve"> for ammonia and 2.2 USD kg</w:t>
      </w:r>
      <w:r w:rsidRPr="0047272A">
        <w:rPr>
          <w:rFonts w:cstheme="minorHAnsi"/>
          <w:vertAlign w:val="superscript"/>
          <w:lang w:val="en-GB"/>
        </w:rPr>
        <w:t>−1</w:t>
      </w:r>
      <w:r w:rsidRPr="0047272A">
        <w:rPr>
          <w:rFonts w:cstheme="minorHAnsi"/>
          <w:lang w:val="en-GB"/>
        </w:rPr>
        <w:t xml:space="preserve"> for methanol. </w:t>
      </w:r>
    </w:p>
    <w:p w14:paraId="5EE69BAF" w14:textId="77777777" w:rsidR="008A3579" w:rsidRPr="0047272A" w:rsidRDefault="008A3579" w:rsidP="008A3579">
      <w:pPr>
        <w:pStyle w:val="Heading3"/>
      </w:pPr>
      <w:r w:rsidRPr="0047272A">
        <w:t>Cost-competitiveness of green ammonia and methanol production routes</w:t>
      </w:r>
    </w:p>
    <w:p w14:paraId="4FEF7213" w14:textId="1D12004D" w:rsidR="008A3579" w:rsidRPr="0047272A" w:rsidRDefault="008A3579" w:rsidP="008A3579">
      <w:pPr>
        <w:jc w:val="both"/>
        <w:rPr>
          <w:rFonts w:cstheme="minorHAnsi"/>
          <w:lang w:val="en-GB"/>
        </w:rPr>
      </w:pPr>
      <w:r w:rsidRPr="0047272A">
        <w:rPr>
          <w:rFonts w:cstheme="minorHAnsi"/>
          <w:lang w:val="en-GB"/>
        </w:rPr>
        <w:t>We subsequently investigate the economic competitiveness of alternative production routes for ammonia and methanol in Europe, accounting for monthly fluctuations in energy prices. For ammonia, we analysed the Haber-Bosch process using four typical hydrogen sources</w:t>
      </w:r>
      <w:r w:rsidRPr="0047272A">
        <w:rPr>
          <w:rFonts w:cstheme="minorHAnsi"/>
          <w:lang w:val="en-GB"/>
        </w:rPr>
        <w:fldChar w:fldCharType="begin"/>
      </w:r>
      <w:r w:rsidRPr="0047272A">
        <w:rPr>
          <w:rFonts w:cstheme="minorHAnsi"/>
          <w:lang w:val="en-GB"/>
        </w:rPr>
        <w:instrText xml:space="preserve"> ADDIN ZOTERO_ITEM CSL_CITATION {"citationID":"WotvQdaP","properties":{"formattedCitation":"\\super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11</w:t>
      </w:r>
      <w:r w:rsidRPr="0047272A">
        <w:rPr>
          <w:rFonts w:cstheme="minorHAnsi"/>
          <w:lang w:val="en-GB"/>
        </w:rPr>
        <w:fldChar w:fldCharType="end"/>
      </w:r>
      <w:r w:rsidRPr="0047272A">
        <w:rPr>
          <w:rFonts w:cstheme="minorHAnsi"/>
          <w:lang w:val="en-GB"/>
        </w:rPr>
        <w:t>: grey hydrogen from steam methane reforming (SMR), blue hydrogen from SMR coupled with carbon capture and storage (CCS), green hydrogen from water electrolysis using solar photovoltaic (PV) electricity, and green hydrogen from water electrolysis using on-shore wind electricity. Similarly, we compared four alternative production routes for methanol: conventional synthesis from natural gas, synthesis from CO</w:t>
      </w:r>
      <w:r w:rsidRPr="0047272A">
        <w:rPr>
          <w:rFonts w:cstheme="minorHAnsi"/>
          <w:vertAlign w:val="subscript"/>
          <w:lang w:val="en-GB"/>
        </w:rPr>
        <w:t>2</w:t>
      </w:r>
      <w:r w:rsidRPr="0047272A">
        <w:rPr>
          <w:rFonts w:cstheme="minorHAnsi"/>
          <w:lang w:val="en-GB"/>
        </w:rPr>
        <w:t xml:space="preserve"> and blue hydrogen, solar PV</w:t>
      </w:r>
      <w:r w:rsidRPr="0047272A">
        <w:rPr>
          <w:rFonts w:cstheme="minorHAnsi"/>
          <w:lang w:val="en-GB"/>
        </w:rPr>
        <w:noBreakHyphen/>
        <w:t>based electrolytic hydrogen, and wind-based electrolytic hydrogen, all using CO</w:t>
      </w:r>
      <w:r w:rsidRPr="0047272A">
        <w:rPr>
          <w:rFonts w:cstheme="minorHAnsi"/>
          <w:vertAlign w:val="subscript"/>
          <w:lang w:val="en-GB"/>
        </w:rPr>
        <w:t>2</w:t>
      </w:r>
      <w:r w:rsidRPr="0047272A">
        <w:rPr>
          <w:rFonts w:cstheme="minorHAnsi"/>
          <w:lang w:val="en-GB"/>
        </w:rPr>
        <w:t xml:space="preserve"> from direct air capture (DAC) to reduce GHG emissions and remove the risk of burden shifting</w:t>
      </w:r>
      <w:r w:rsidRPr="0047272A">
        <w:rPr>
          <w:rFonts w:cstheme="minorHAnsi"/>
          <w:lang w:val="en-GB"/>
        </w:rPr>
        <w:fldChar w:fldCharType="begin"/>
      </w:r>
      <w:r w:rsidRPr="0047272A">
        <w:rPr>
          <w:rFonts w:cstheme="minorHAnsi"/>
          <w:lang w:val="en-GB"/>
        </w:rPr>
        <w:instrText xml:space="preserve"> ADDIN ZOTERO_ITEM CSL_CITATION {"citationID":"flt1PZ4A","properties":{"formattedCitation":"\\super 16\\nosupersub{}","plainCitation":"16","noteIndex":0},"citationItems":[{"id":704,"uris":["http://zotero.org/users/9157291/items/VK4IQBHF"],"itemData":{"id":704,"type":"article-journal","abstract":"The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16</w:t>
      </w:r>
      <w:r w:rsidRPr="0047272A">
        <w:rPr>
          <w:rFonts w:cstheme="minorHAnsi"/>
          <w:lang w:val="en-GB"/>
        </w:rPr>
        <w:fldChar w:fldCharType="end"/>
      </w:r>
      <w:r w:rsidRPr="0047272A">
        <w:rPr>
          <w:rFonts w:cstheme="minorHAnsi"/>
          <w:lang w:val="en-GB"/>
        </w:rPr>
        <w:t xml:space="preserve">. See </w:t>
      </w:r>
      <w:r w:rsidR="008A7377" w:rsidRPr="0047272A">
        <w:rPr>
          <w:rFonts w:cstheme="minorHAnsi"/>
          <w:lang w:val="en-GB"/>
        </w:rPr>
        <w:t>s</w:t>
      </w:r>
      <w:r w:rsidRPr="0047272A">
        <w:rPr>
          <w:rFonts w:cstheme="minorHAnsi"/>
          <w:lang w:val="en-GB"/>
        </w:rPr>
        <w:t>ection </w:t>
      </w:r>
      <w:r w:rsidR="008A7377" w:rsidRPr="0047272A">
        <w:rPr>
          <w:rFonts w:cstheme="minorHAnsi"/>
          <w:lang w:val="en-GB"/>
        </w:rPr>
        <w:t>1</w:t>
      </w:r>
      <w:r w:rsidRPr="0047272A">
        <w:rPr>
          <w:rFonts w:cstheme="minorHAnsi"/>
          <w:lang w:val="en-GB"/>
        </w:rPr>
        <w:t xml:space="preserve"> of the ESI for more details on production routes.</w:t>
      </w:r>
    </w:p>
    <w:p w14:paraId="2FF81E9E" w14:textId="338326F6" w:rsidR="008A3579" w:rsidRPr="0047272A" w:rsidRDefault="004C2C29" w:rsidP="008A3579">
      <w:pPr>
        <w:jc w:val="both"/>
        <w:rPr>
          <w:rFonts w:cstheme="minorHAnsi"/>
          <w:lang w:val="en-GB"/>
        </w:rPr>
      </w:pPr>
      <w:r w:rsidRPr="0047272A">
        <w:rPr>
          <w:rFonts w:cstheme="minorHAnsi"/>
          <w:b/>
          <w:bCs/>
          <w:lang w:val="en-GB"/>
        </w:rPr>
        <w:fldChar w:fldCharType="begin"/>
      </w:r>
      <w:r w:rsidRPr="0047272A">
        <w:rPr>
          <w:rFonts w:cstheme="minorHAnsi"/>
          <w:lang w:val="en-GB"/>
        </w:rPr>
        <w:instrText xml:space="preserve"> REF _Ref129860559 \h </w:instrText>
      </w:r>
      <w:r w:rsidRPr="0047272A">
        <w:rPr>
          <w:rFonts w:cstheme="minorHAnsi"/>
          <w:b/>
          <w:bCs/>
          <w:lang w:val="en-GB"/>
        </w:rPr>
        <w:instrText xml:space="preserve"> \* MERGEFORMAT </w:instrText>
      </w:r>
      <w:r w:rsidRPr="0047272A">
        <w:rPr>
          <w:rFonts w:cstheme="minorHAnsi"/>
          <w:b/>
          <w:bCs/>
          <w:lang w:val="en-GB"/>
        </w:rPr>
      </w:r>
      <w:r w:rsidRPr="0047272A">
        <w:rPr>
          <w:rFonts w:cstheme="minorHAnsi"/>
          <w:b/>
          <w:bCs/>
          <w:lang w:val="en-GB"/>
        </w:rPr>
        <w:fldChar w:fldCharType="separate"/>
      </w:r>
      <w:r w:rsidR="00FF0FC0" w:rsidRPr="00FF0FC0">
        <w:rPr>
          <w:b/>
          <w:lang w:val="en-GB"/>
        </w:rPr>
        <w:t>Figure 2</w:t>
      </w:r>
      <w:r w:rsidRPr="0047272A">
        <w:rPr>
          <w:rFonts w:cstheme="minorHAnsi"/>
          <w:b/>
          <w:bCs/>
          <w:lang w:val="en-GB"/>
        </w:rPr>
        <w:fldChar w:fldCharType="end"/>
      </w:r>
      <w:r w:rsidRPr="0047272A">
        <w:rPr>
          <w:rFonts w:cstheme="minorHAnsi"/>
          <w:b/>
          <w:bCs/>
          <w:lang w:val="en-GB"/>
        </w:rPr>
        <w:t xml:space="preserve"> </w:t>
      </w:r>
      <w:r w:rsidR="008A3579" w:rsidRPr="0047272A">
        <w:rPr>
          <w:rFonts w:cstheme="minorHAnsi"/>
          <w:lang w:val="en-GB"/>
        </w:rPr>
        <w:t>illustrates the cost-competitiveness of green versus fossil counterparts. As for ammonia, blue hydrogen-based production follows a similar pattern as fossil ammonia, with slightly higher costs due to CCS (</w:t>
      </w:r>
      <w:r w:rsidR="009E4282" w:rsidRPr="0047272A">
        <w:rPr>
          <w:rFonts w:cstheme="minorHAnsi"/>
          <w:b/>
          <w:bCs/>
          <w:lang w:val="en-GB"/>
        </w:rPr>
        <w:fldChar w:fldCharType="begin"/>
      </w:r>
      <w:r w:rsidR="009E4282" w:rsidRPr="0047272A">
        <w:rPr>
          <w:rFonts w:cstheme="minorHAnsi"/>
          <w:lang w:val="en-GB"/>
        </w:rPr>
        <w:instrText xml:space="preserve"> REF _Ref129860559 \h </w:instrText>
      </w:r>
      <w:r w:rsidR="009E4282" w:rsidRPr="0047272A">
        <w:rPr>
          <w:rFonts w:cstheme="minorHAnsi"/>
          <w:b/>
          <w:bCs/>
          <w:lang w:val="en-GB"/>
        </w:rPr>
        <w:instrText xml:space="preserve"> \* MERGEFORMAT </w:instrText>
      </w:r>
      <w:r w:rsidR="009E4282" w:rsidRPr="0047272A">
        <w:rPr>
          <w:rFonts w:cstheme="minorHAnsi"/>
          <w:b/>
          <w:bCs/>
          <w:lang w:val="en-GB"/>
        </w:rPr>
      </w:r>
      <w:r w:rsidR="009E4282" w:rsidRPr="0047272A">
        <w:rPr>
          <w:rFonts w:cstheme="minorHAnsi"/>
          <w:b/>
          <w:bCs/>
          <w:lang w:val="en-GB"/>
        </w:rPr>
        <w:fldChar w:fldCharType="separate"/>
      </w:r>
      <w:r w:rsidR="00FF0FC0" w:rsidRPr="00FF0FC0">
        <w:rPr>
          <w:b/>
          <w:lang w:val="en-GB"/>
        </w:rPr>
        <w:t>Figure 2</w:t>
      </w:r>
      <w:r w:rsidR="009E4282" w:rsidRPr="0047272A">
        <w:rPr>
          <w:rFonts w:cstheme="minorHAnsi"/>
          <w:b/>
          <w:bCs/>
          <w:lang w:val="en-GB"/>
        </w:rPr>
        <w:fldChar w:fldCharType="end"/>
      </w:r>
      <w:r w:rsidR="008A3579" w:rsidRPr="0047272A">
        <w:rPr>
          <w:rFonts w:cstheme="minorHAnsi"/>
          <w:b/>
          <w:bCs/>
          <w:lang w:val="en-GB"/>
        </w:rPr>
        <w:t>a</w:t>
      </w:r>
      <w:r w:rsidR="008A3579" w:rsidRPr="0047272A">
        <w:rPr>
          <w:rFonts w:cstheme="minorHAnsi"/>
          <w:lang w:val="en-GB"/>
        </w:rPr>
        <w:t>). However, green ammonia produced via solar PV-based electrolytic hydrogen has been a close competitor to fossil ammonia prices since matching them in August 2022 (</w:t>
      </w:r>
      <w:r w:rsidRPr="0047272A">
        <w:rPr>
          <w:rFonts w:cstheme="minorHAnsi"/>
          <w:lang w:val="en-GB"/>
        </w:rPr>
        <w:fldChar w:fldCharType="begin"/>
      </w:r>
      <w:r w:rsidRPr="0047272A">
        <w:rPr>
          <w:rFonts w:cstheme="minorHAnsi"/>
          <w:lang w:val="en-GB"/>
        </w:rPr>
        <w:instrText xml:space="preserve"> REF _Ref129860559 \h  \* MERGEFORMAT </w:instrText>
      </w:r>
      <w:r w:rsidRPr="0047272A">
        <w:rPr>
          <w:rFonts w:cstheme="minorHAnsi"/>
          <w:lang w:val="en-GB"/>
        </w:rPr>
      </w:r>
      <w:r w:rsidRPr="0047272A">
        <w:rPr>
          <w:rFonts w:cstheme="minorHAnsi"/>
          <w:lang w:val="en-GB"/>
        </w:rPr>
        <w:fldChar w:fldCharType="separate"/>
      </w:r>
      <w:r w:rsidR="00FF0FC0" w:rsidRPr="00FF0FC0">
        <w:rPr>
          <w:b/>
          <w:lang w:val="en-GB"/>
        </w:rPr>
        <w:t>Figure 2</w:t>
      </w:r>
      <w:r w:rsidRPr="0047272A">
        <w:rPr>
          <w:rFonts w:cstheme="minorHAnsi"/>
          <w:lang w:val="en-GB"/>
        </w:rPr>
        <w:fldChar w:fldCharType="end"/>
      </w:r>
      <w:r w:rsidR="008A3579" w:rsidRPr="0047272A">
        <w:rPr>
          <w:rFonts w:cstheme="minorHAnsi"/>
          <w:b/>
          <w:bCs/>
          <w:lang w:val="en-GB"/>
        </w:rPr>
        <w:t>b</w:t>
      </w:r>
      <w:r w:rsidR="008A3579" w:rsidRPr="0047272A">
        <w:rPr>
          <w:rFonts w:cstheme="minorHAnsi"/>
          <w:lang w:val="en-GB"/>
        </w:rPr>
        <w:t>). Even more remarkably, ammonia produced with hydrogen from water electrolysis using on-shore wind electricity became cheaper from December 2021 to October 2022 at natural gas prices around 1.7 USD kg</w:t>
      </w:r>
      <w:r w:rsidR="008A3579" w:rsidRPr="0047272A">
        <w:rPr>
          <w:rFonts w:cstheme="minorHAnsi"/>
          <w:vertAlign w:val="superscript"/>
          <w:lang w:val="en-GB"/>
        </w:rPr>
        <w:t>−1</w:t>
      </w:r>
      <w:r w:rsidR="008A3579" w:rsidRPr="0047272A">
        <w:rPr>
          <w:rFonts w:cstheme="minorHAnsi"/>
          <w:lang w:val="en-GB"/>
        </w:rPr>
        <w:t xml:space="preserve"> (</w:t>
      </w:r>
      <w:r w:rsidR="009E4282" w:rsidRPr="0047272A">
        <w:rPr>
          <w:rFonts w:cstheme="minorHAnsi"/>
          <w:b/>
          <w:bCs/>
          <w:lang w:val="en-GB"/>
        </w:rPr>
        <w:fldChar w:fldCharType="begin"/>
      </w:r>
      <w:r w:rsidR="009E4282" w:rsidRPr="0047272A">
        <w:rPr>
          <w:rFonts w:cstheme="minorHAnsi"/>
          <w:lang w:val="en-GB"/>
        </w:rPr>
        <w:instrText xml:space="preserve"> REF _Ref129860436 \h </w:instrText>
      </w:r>
      <w:r w:rsidR="009E4282" w:rsidRPr="0047272A">
        <w:rPr>
          <w:rFonts w:cstheme="minorHAnsi"/>
          <w:b/>
          <w:bCs/>
          <w:lang w:val="en-GB"/>
        </w:rPr>
        <w:instrText xml:space="preserve"> \* MERGEFORMAT </w:instrText>
      </w:r>
      <w:r w:rsidR="009E4282" w:rsidRPr="0047272A">
        <w:rPr>
          <w:rFonts w:cstheme="minorHAnsi"/>
          <w:b/>
          <w:bCs/>
          <w:lang w:val="en-GB"/>
        </w:rPr>
      </w:r>
      <w:r w:rsidR="009E4282" w:rsidRPr="0047272A">
        <w:rPr>
          <w:rFonts w:cstheme="minorHAnsi"/>
          <w:b/>
          <w:bCs/>
          <w:lang w:val="en-GB"/>
        </w:rPr>
        <w:fldChar w:fldCharType="separate"/>
      </w:r>
      <w:r w:rsidR="00FF0FC0" w:rsidRPr="00FF0FC0">
        <w:rPr>
          <w:b/>
          <w:lang w:val="en-GB"/>
        </w:rPr>
        <w:t>Figure 1</w:t>
      </w:r>
      <w:r w:rsidR="009E4282" w:rsidRPr="0047272A">
        <w:rPr>
          <w:rFonts w:cstheme="minorHAnsi"/>
          <w:b/>
          <w:bCs/>
          <w:lang w:val="en-GB"/>
        </w:rPr>
        <w:fldChar w:fldCharType="end"/>
      </w:r>
      <w:r w:rsidR="008A3579" w:rsidRPr="0047272A">
        <w:rPr>
          <w:rFonts w:cstheme="minorHAnsi"/>
          <w:lang w:val="en-GB"/>
        </w:rPr>
        <w:t>) due to the higher capacity factor of wind- versus solar-powered water electrolysis (36–39% versus 16–18%)</w:t>
      </w:r>
      <w:r w:rsidR="008A3579" w:rsidRPr="0047272A">
        <w:rPr>
          <w:rFonts w:cstheme="minorHAnsi"/>
          <w:lang w:val="en-GB"/>
        </w:rPr>
        <w:fldChar w:fldCharType="begin"/>
      </w:r>
      <w:r w:rsidR="008A3579" w:rsidRPr="0047272A">
        <w:rPr>
          <w:rFonts w:cstheme="minorHAnsi"/>
          <w:lang w:val="en-GB"/>
        </w:rPr>
        <w:instrText xml:space="preserve"> ADDIN ZOTERO_ITEM CSL_CITATION {"citationID":"4WsfGQvU","properties":{"formattedCitation":"\\super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8A3579" w:rsidRPr="0047272A">
        <w:rPr>
          <w:rFonts w:cstheme="minorHAnsi"/>
          <w:lang w:val="en-GB"/>
        </w:rPr>
        <w:fldChar w:fldCharType="separate"/>
      </w:r>
      <w:r w:rsidR="008A3579" w:rsidRPr="0047272A">
        <w:rPr>
          <w:rFonts w:ascii="Calibri" w:hAnsi="Calibri" w:cs="Calibri"/>
          <w:szCs w:val="24"/>
          <w:vertAlign w:val="superscript"/>
          <w:lang w:val="en-GB"/>
        </w:rPr>
        <w:t>26</w:t>
      </w:r>
      <w:r w:rsidR="008A3579" w:rsidRPr="0047272A">
        <w:rPr>
          <w:rFonts w:cstheme="minorHAnsi"/>
          <w:lang w:val="en-GB"/>
        </w:rPr>
        <w:fldChar w:fldCharType="end"/>
      </w:r>
      <w:r w:rsidR="008A3579" w:rsidRPr="0047272A">
        <w:rPr>
          <w:rFonts w:cstheme="minorHAnsi"/>
          <w:lang w:val="en-GB"/>
        </w:rPr>
        <w:t>. Over this period, wind-based ammonia production costs ranged from 1.3 to 1.6 USD kg</w:t>
      </w:r>
      <w:r w:rsidR="008A3579" w:rsidRPr="0047272A">
        <w:rPr>
          <w:rFonts w:cstheme="minorHAnsi"/>
          <w:vertAlign w:val="superscript"/>
          <w:lang w:val="en-GB"/>
        </w:rPr>
        <w:t>−1</w:t>
      </w:r>
      <w:r w:rsidR="008A3579" w:rsidRPr="0047272A">
        <w:rPr>
          <w:rFonts w:cstheme="minorHAnsi"/>
          <w:lang w:val="en-GB"/>
        </w:rPr>
        <w:t xml:space="preserve"> (</w:t>
      </w:r>
      <w:r w:rsidR="00DE747F" w:rsidRPr="0047272A">
        <w:rPr>
          <w:rFonts w:cstheme="minorHAnsi"/>
          <w:b/>
          <w:bCs/>
          <w:lang w:val="en-GB"/>
        </w:rPr>
        <w:fldChar w:fldCharType="begin"/>
      </w:r>
      <w:r w:rsidR="00DE747F" w:rsidRPr="0047272A">
        <w:rPr>
          <w:rFonts w:cstheme="minorHAnsi"/>
          <w:lang w:val="en-GB"/>
        </w:rPr>
        <w:instrText xml:space="preserve"> REF _Ref129860559 \h </w:instrText>
      </w:r>
      <w:r w:rsidR="00DE747F" w:rsidRPr="0047272A">
        <w:rPr>
          <w:rFonts w:cstheme="minorHAnsi"/>
          <w:b/>
          <w:bCs/>
          <w:lang w:val="en-GB"/>
        </w:rPr>
        <w:instrText xml:space="preserve"> \* MERGEFORMAT </w:instrText>
      </w:r>
      <w:r w:rsidR="00DE747F" w:rsidRPr="0047272A">
        <w:rPr>
          <w:rFonts w:cstheme="minorHAnsi"/>
          <w:b/>
          <w:bCs/>
          <w:lang w:val="en-GB"/>
        </w:rPr>
      </w:r>
      <w:r w:rsidR="00DE747F" w:rsidRPr="0047272A">
        <w:rPr>
          <w:rFonts w:cstheme="minorHAnsi"/>
          <w:b/>
          <w:bCs/>
          <w:lang w:val="en-GB"/>
        </w:rPr>
        <w:fldChar w:fldCharType="separate"/>
      </w:r>
      <w:r w:rsidR="00FF0FC0" w:rsidRPr="00FF0FC0">
        <w:rPr>
          <w:b/>
          <w:lang w:val="en-GB"/>
        </w:rPr>
        <w:t>Figure</w:t>
      </w:r>
      <w:r w:rsidR="00FF0FC0" w:rsidRPr="0047272A">
        <w:rPr>
          <w:b/>
          <w:sz w:val="20"/>
          <w:szCs w:val="20"/>
          <w:lang w:val="en-GB"/>
        </w:rPr>
        <w:t xml:space="preserve"> </w:t>
      </w:r>
      <w:r w:rsidR="00FF0FC0">
        <w:rPr>
          <w:b/>
          <w:noProof/>
          <w:sz w:val="20"/>
          <w:szCs w:val="20"/>
          <w:lang w:val="en-GB"/>
        </w:rPr>
        <w:t>2</w:t>
      </w:r>
      <w:r w:rsidR="00DE747F" w:rsidRPr="0047272A">
        <w:rPr>
          <w:rFonts w:cstheme="minorHAnsi"/>
          <w:b/>
          <w:bCs/>
          <w:lang w:val="en-GB"/>
        </w:rPr>
        <w:fldChar w:fldCharType="end"/>
      </w:r>
      <w:r w:rsidR="008A3579" w:rsidRPr="0047272A">
        <w:rPr>
          <w:rFonts w:cstheme="minorHAnsi"/>
          <w:b/>
          <w:bCs/>
          <w:lang w:val="en-GB"/>
        </w:rPr>
        <w:t xml:space="preserve">c, </w:t>
      </w:r>
      <w:r w:rsidR="008A3579" w:rsidRPr="0047272A">
        <w:rPr>
          <w:rFonts w:cstheme="minorHAnsi"/>
          <w:lang w:val="en-GB"/>
        </w:rPr>
        <w:t>see blue-highlighted area).</w:t>
      </w:r>
    </w:p>
    <w:p w14:paraId="48D731F6" w14:textId="2B395FD0" w:rsidR="00CA7D24" w:rsidRPr="0047272A" w:rsidRDefault="008A3579" w:rsidP="008A3579">
      <w:pPr>
        <w:jc w:val="both"/>
        <w:rPr>
          <w:rFonts w:cstheme="minorHAnsi"/>
          <w:lang w:val="en-GB"/>
        </w:rPr>
      </w:pPr>
      <w:r w:rsidRPr="0047272A">
        <w:rPr>
          <w:rFonts w:cstheme="minorHAnsi"/>
          <w:lang w:val="en-GB"/>
        </w:rPr>
        <w:t>The production cost of methanol from DAC CO</w:t>
      </w:r>
      <w:r w:rsidRPr="0047272A">
        <w:rPr>
          <w:rFonts w:cstheme="minorHAnsi"/>
          <w:vertAlign w:val="subscript"/>
          <w:lang w:val="en-GB"/>
        </w:rPr>
        <w:t>2</w:t>
      </w:r>
      <w:r w:rsidRPr="0047272A">
        <w:rPr>
          <w:rFonts w:cstheme="minorHAnsi"/>
          <w:lang w:val="en-GB"/>
        </w:rPr>
        <w:t xml:space="preserve"> and blue hydrogen was 182% higher than fossil methanol on average due to the added expenses of CCS and CO</w:t>
      </w:r>
      <w:r w:rsidRPr="0047272A">
        <w:rPr>
          <w:rFonts w:cstheme="minorHAnsi"/>
          <w:vertAlign w:val="subscript"/>
          <w:lang w:val="en-GB"/>
        </w:rPr>
        <w:t>2</w:t>
      </w:r>
      <w:r w:rsidRPr="0047272A">
        <w:rPr>
          <w:rFonts w:cstheme="minorHAnsi"/>
          <w:lang w:val="en-GB"/>
        </w:rPr>
        <w:t xml:space="preserve"> capture (</w:t>
      </w:r>
      <w:r w:rsidR="00DE747F" w:rsidRPr="0047272A">
        <w:rPr>
          <w:rFonts w:cstheme="minorHAnsi"/>
          <w:b/>
          <w:bCs/>
          <w:lang w:val="en-GB"/>
        </w:rPr>
        <w:fldChar w:fldCharType="begin"/>
      </w:r>
      <w:r w:rsidR="00DE747F" w:rsidRPr="0047272A">
        <w:rPr>
          <w:rFonts w:cstheme="minorHAnsi"/>
          <w:lang w:val="en-GB"/>
        </w:rPr>
        <w:instrText xml:space="preserve"> REF _Ref129860559 \h </w:instrText>
      </w:r>
      <w:r w:rsidR="00DE747F" w:rsidRPr="0047272A">
        <w:rPr>
          <w:rFonts w:cstheme="minorHAnsi"/>
          <w:b/>
          <w:bCs/>
          <w:lang w:val="en-GB"/>
        </w:rPr>
        <w:instrText xml:space="preserve"> \* MERGEFORMAT </w:instrText>
      </w:r>
      <w:r w:rsidR="00DE747F" w:rsidRPr="0047272A">
        <w:rPr>
          <w:rFonts w:cstheme="minorHAnsi"/>
          <w:b/>
          <w:bCs/>
          <w:lang w:val="en-GB"/>
        </w:rPr>
      </w:r>
      <w:r w:rsidR="00DE747F" w:rsidRPr="0047272A">
        <w:rPr>
          <w:rFonts w:cstheme="minorHAnsi"/>
          <w:b/>
          <w:bCs/>
          <w:lang w:val="en-GB"/>
        </w:rPr>
        <w:fldChar w:fldCharType="separate"/>
      </w:r>
      <w:r w:rsidR="00FF0FC0" w:rsidRPr="00FF0FC0">
        <w:rPr>
          <w:b/>
          <w:lang w:val="en-GB"/>
        </w:rPr>
        <w:t>Figure 2</w:t>
      </w:r>
      <w:r w:rsidR="00DE747F" w:rsidRPr="0047272A">
        <w:rPr>
          <w:rFonts w:cstheme="minorHAnsi"/>
          <w:b/>
          <w:bCs/>
          <w:lang w:val="en-GB"/>
        </w:rPr>
        <w:fldChar w:fldCharType="end"/>
      </w:r>
      <w:r w:rsidRPr="0047272A">
        <w:rPr>
          <w:rFonts w:cstheme="minorHAnsi"/>
          <w:b/>
          <w:bCs/>
          <w:lang w:val="en-GB"/>
        </w:rPr>
        <w:t>d</w:t>
      </w:r>
      <w:r w:rsidRPr="0047272A">
        <w:rPr>
          <w:rFonts w:cstheme="minorHAnsi"/>
          <w:lang w:val="en-GB"/>
        </w:rPr>
        <w:t xml:space="preserve">). </w:t>
      </w:r>
      <w:r w:rsidR="00201F32">
        <w:rPr>
          <w:rFonts w:cstheme="minorHAnsi"/>
          <w:lang w:val="en-GB"/>
        </w:rPr>
        <w:t>Th</w:t>
      </w:r>
      <w:r w:rsidR="00A07CC4">
        <w:rPr>
          <w:rFonts w:cstheme="minorHAnsi"/>
          <w:lang w:val="en-GB"/>
        </w:rPr>
        <w:t>e</w:t>
      </w:r>
      <w:r w:rsidRPr="0047272A">
        <w:rPr>
          <w:rFonts w:cstheme="minorHAnsi"/>
          <w:lang w:val="en-GB"/>
        </w:rPr>
        <w:t xml:space="preserve"> solar PV-based method was never economically viable (</w:t>
      </w:r>
      <w:r w:rsidR="00DE747F" w:rsidRPr="0047272A">
        <w:rPr>
          <w:rFonts w:cstheme="minorHAnsi"/>
          <w:b/>
          <w:bCs/>
          <w:lang w:val="en-GB"/>
        </w:rPr>
        <w:fldChar w:fldCharType="begin"/>
      </w:r>
      <w:r w:rsidR="00DE747F" w:rsidRPr="0047272A">
        <w:rPr>
          <w:rFonts w:cstheme="minorHAnsi"/>
          <w:lang w:val="en-GB"/>
        </w:rPr>
        <w:instrText xml:space="preserve"> REF _Ref129860559 \h </w:instrText>
      </w:r>
      <w:r w:rsidR="00DE747F" w:rsidRPr="0047272A">
        <w:rPr>
          <w:rFonts w:cstheme="minorHAnsi"/>
          <w:b/>
          <w:bCs/>
          <w:lang w:val="en-GB"/>
        </w:rPr>
        <w:instrText xml:space="preserve"> \* MERGEFORMAT </w:instrText>
      </w:r>
      <w:r w:rsidR="00DE747F" w:rsidRPr="0047272A">
        <w:rPr>
          <w:rFonts w:cstheme="minorHAnsi"/>
          <w:b/>
          <w:bCs/>
          <w:lang w:val="en-GB"/>
        </w:rPr>
      </w:r>
      <w:r w:rsidR="00DE747F" w:rsidRPr="0047272A">
        <w:rPr>
          <w:rFonts w:cstheme="minorHAnsi"/>
          <w:b/>
          <w:bCs/>
          <w:lang w:val="en-GB"/>
        </w:rPr>
        <w:fldChar w:fldCharType="separate"/>
      </w:r>
      <w:r w:rsidR="00FF0FC0" w:rsidRPr="00FF0FC0">
        <w:rPr>
          <w:b/>
          <w:lang w:val="en-GB"/>
        </w:rPr>
        <w:t>Figure 2</w:t>
      </w:r>
      <w:r w:rsidR="00DE747F" w:rsidRPr="0047272A">
        <w:rPr>
          <w:rFonts w:cstheme="minorHAnsi"/>
          <w:b/>
          <w:bCs/>
          <w:lang w:val="en-GB"/>
        </w:rPr>
        <w:fldChar w:fldCharType="end"/>
      </w:r>
      <w:r w:rsidRPr="0047272A">
        <w:rPr>
          <w:rFonts w:cstheme="minorHAnsi"/>
          <w:b/>
          <w:bCs/>
          <w:lang w:val="en-GB"/>
        </w:rPr>
        <w:t>e</w:t>
      </w:r>
      <w:r w:rsidRPr="0047272A">
        <w:rPr>
          <w:rFonts w:cstheme="minorHAnsi"/>
          <w:lang w:val="en-GB"/>
        </w:rPr>
        <w:t>). However, green methanol created with wind-based electrolytic hydrogen and DAC CO</w:t>
      </w:r>
      <w:r w:rsidRPr="0047272A">
        <w:rPr>
          <w:rFonts w:cstheme="minorHAnsi"/>
          <w:vertAlign w:val="subscript"/>
          <w:lang w:val="en-GB"/>
        </w:rPr>
        <w:t>2</w:t>
      </w:r>
      <w:r w:rsidRPr="0047272A">
        <w:rPr>
          <w:rFonts w:cstheme="minorHAnsi"/>
          <w:lang w:val="en-GB"/>
        </w:rPr>
        <w:t xml:space="preserve"> reached price parity with fossil methanol in August 2022 at peak natural gas prices of approximately 3.1 USD kg</w:t>
      </w:r>
      <w:r w:rsidRPr="0047272A">
        <w:rPr>
          <w:rFonts w:cstheme="minorHAnsi"/>
          <w:vertAlign w:val="superscript"/>
          <w:lang w:val="en-GB"/>
        </w:rPr>
        <w:t>−1</w:t>
      </w:r>
      <w:r w:rsidRPr="0047272A">
        <w:rPr>
          <w:rFonts w:cstheme="minorHAnsi"/>
          <w:lang w:val="en-GB"/>
        </w:rPr>
        <w:t xml:space="preserve"> (</w:t>
      </w:r>
      <w:r w:rsidR="00DE747F" w:rsidRPr="0047272A">
        <w:rPr>
          <w:rFonts w:cstheme="minorHAnsi"/>
          <w:b/>
          <w:bCs/>
          <w:lang w:val="en-GB"/>
        </w:rPr>
        <w:fldChar w:fldCharType="begin"/>
      </w:r>
      <w:r w:rsidR="00DE747F" w:rsidRPr="0047272A">
        <w:rPr>
          <w:rFonts w:cstheme="minorHAnsi"/>
          <w:lang w:val="en-GB"/>
        </w:rPr>
        <w:instrText xml:space="preserve"> REF _Ref129860559 \h </w:instrText>
      </w:r>
      <w:r w:rsidR="00DE747F" w:rsidRPr="0047272A">
        <w:rPr>
          <w:rFonts w:cstheme="minorHAnsi"/>
          <w:b/>
          <w:bCs/>
          <w:lang w:val="en-GB"/>
        </w:rPr>
        <w:instrText xml:space="preserve"> \* MERGEFORMAT </w:instrText>
      </w:r>
      <w:r w:rsidR="00DE747F" w:rsidRPr="0047272A">
        <w:rPr>
          <w:rFonts w:cstheme="minorHAnsi"/>
          <w:b/>
          <w:bCs/>
          <w:lang w:val="en-GB"/>
        </w:rPr>
      </w:r>
      <w:r w:rsidR="00DE747F" w:rsidRPr="0047272A">
        <w:rPr>
          <w:rFonts w:cstheme="minorHAnsi"/>
          <w:b/>
          <w:bCs/>
          <w:lang w:val="en-GB"/>
        </w:rPr>
        <w:fldChar w:fldCharType="separate"/>
      </w:r>
      <w:r w:rsidR="00FF0FC0" w:rsidRPr="00FF0FC0">
        <w:rPr>
          <w:b/>
          <w:lang w:val="en-GB"/>
        </w:rPr>
        <w:t>Figure 2</w:t>
      </w:r>
      <w:r w:rsidR="00DE747F" w:rsidRPr="0047272A">
        <w:rPr>
          <w:rFonts w:cstheme="minorHAnsi"/>
          <w:b/>
          <w:bCs/>
          <w:lang w:val="en-GB"/>
        </w:rPr>
        <w:fldChar w:fldCharType="end"/>
      </w:r>
      <w:r w:rsidR="00DE747F" w:rsidRPr="0047272A">
        <w:rPr>
          <w:rFonts w:cstheme="minorHAnsi"/>
          <w:b/>
          <w:bCs/>
          <w:lang w:val="en-GB"/>
        </w:rPr>
        <w:t>f</w:t>
      </w:r>
      <w:r w:rsidRPr="0047272A">
        <w:rPr>
          <w:rFonts w:cstheme="minorHAnsi"/>
          <w:lang w:val="en-GB"/>
        </w:rPr>
        <w:t>) as the break</w:t>
      </w:r>
      <w:r w:rsidR="000246AC" w:rsidRPr="0047272A">
        <w:rPr>
          <w:rFonts w:cstheme="minorHAnsi"/>
          <w:lang w:val="en-GB"/>
        </w:rPr>
        <w:noBreakHyphen/>
      </w:r>
      <w:r w:rsidRPr="0047272A">
        <w:rPr>
          <w:rFonts w:cstheme="minorHAnsi"/>
          <w:lang w:val="en-GB"/>
        </w:rPr>
        <w:t>even natural gas price mostly depends on the levelised cost of hydrogen.</w:t>
      </w:r>
    </w:p>
    <w:p w14:paraId="544AA190" w14:textId="33DE9604" w:rsidR="008A3579" w:rsidRPr="002105A0" w:rsidRDefault="008A3579" w:rsidP="008A3579">
      <w:pPr>
        <w:jc w:val="both"/>
        <w:rPr>
          <w:rFonts w:cstheme="minorHAnsi"/>
          <w:lang w:val="en-GB"/>
        </w:rPr>
      </w:pPr>
      <w:r w:rsidRPr="0047272A">
        <w:rPr>
          <w:lang w:val="en-GB"/>
        </w:rPr>
        <w:t xml:space="preserve">In </w:t>
      </w:r>
      <w:r w:rsidR="00BF0CDD" w:rsidRPr="0047272A">
        <w:rPr>
          <w:b/>
          <w:bCs/>
          <w:lang w:val="en-GB"/>
        </w:rPr>
        <w:fldChar w:fldCharType="begin"/>
      </w:r>
      <w:r w:rsidR="00BF0CDD" w:rsidRPr="0047272A">
        <w:rPr>
          <w:lang w:val="en-GB"/>
        </w:rPr>
        <w:instrText xml:space="preserve"> REF _Ref129860715 \h </w:instrText>
      </w:r>
      <w:r w:rsidR="00BF0CDD" w:rsidRPr="0047272A">
        <w:rPr>
          <w:b/>
          <w:bCs/>
          <w:lang w:val="en-GB"/>
        </w:rPr>
        <w:instrText xml:space="preserve"> \* MERGEFORMAT </w:instrText>
      </w:r>
      <w:r w:rsidR="00BF0CDD" w:rsidRPr="0047272A">
        <w:rPr>
          <w:b/>
          <w:bCs/>
          <w:lang w:val="en-GB"/>
        </w:rPr>
      </w:r>
      <w:r w:rsidR="00BF0CDD" w:rsidRPr="0047272A">
        <w:rPr>
          <w:b/>
          <w:bCs/>
          <w:lang w:val="en-GB"/>
        </w:rPr>
        <w:fldChar w:fldCharType="separate"/>
      </w:r>
      <w:r w:rsidR="00FF0FC0" w:rsidRPr="00FF0FC0">
        <w:rPr>
          <w:b/>
          <w:lang w:val="en-GB"/>
        </w:rPr>
        <w:t>Figure 3</w:t>
      </w:r>
      <w:r w:rsidR="00BF0CDD" w:rsidRPr="0047272A">
        <w:rPr>
          <w:b/>
          <w:bCs/>
          <w:lang w:val="en-GB"/>
        </w:rPr>
        <w:fldChar w:fldCharType="end"/>
      </w:r>
      <w:r w:rsidRPr="0047272A">
        <w:rPr>
          <w:lang w:val="en-GB"/>
        </w:rPr>
        <w:t xml:space="preserve">, we examine the production cost breakdown of fossil and green chemicals at various time points, with a particular focus on the most promising green routes that rely on wind-based electrolytic hydrogen. The results for other </w:t>
      </w:r>
      <w:r w:rsidRPr="0047272A">
        <w:rPr>
          <w:lang w:val="en-GB"/>
        </w:rPr>
        <w:lastRenderedPageBreak/>
        <w:t xml:space="preserve">green routes can be found in </w:t>
      </w:r>
      <w:r w:rsidRPr="00B727EA">
        <w:rPr>
          <w:b/>
          <w:lang w:val="en-GB"/>
        </w:rPr>
        <w:t>Fig</w:t>
      </w:r>
      <w:r w:rsidR="00BA7FD4" w:rsidRPr="00B727EA">
        <w:rPr>
          <w:b/>
          <w:lang w:val="en-GB"/>
        </w:rPr>
        <w:t>ure</w:t>
      </w:r>
      <w:r w:rsidRPr="00B727EA">
        <w:rPr>
          <w:b/>
          <w:lang w:val="en-GB"/>
        </w:rPr>
        <w:t> </w:t>
      </w:r>
      <w:r w:rsidR="00BA7FD4" w:rsidRPr="00B727EA">
        <w:rPr>
          <w:b/>
          <w:lang w:val="en-GB"/>
        </w:rPr>
        <w:t>S</w:t>
      </w:r>
      <w:r w:rsidR="00F341F0">
        <w:rPr>
          <w:b/>
          <w:lang w:val="en-GB"/>
        </w:rPr>
        <w:t>11</w:t>
      </w:r>
      <w:r w:rsidRPr="0047272A">
        <w:rPr>
          <w:lang w:val="en-GB"/>
        </w:rPr>
        <w:t>.</w:t>
      </w:r>
      <w:r w:rsidR="002105A0">
        <w:rPr>
          <w:rFonts w:cstheme="minorHAnsi"/>
          <w:lang w:val="en-GB"/>
        </w:rPr>
        <w:t xml:space="preserve"> </w:t>
      </w:r>
      <w:r w:rsidRPr="0047272A">
        <w:rPr>
          <w:lang w:val="en-GB"/>
        </w:rPr>
        <w:t>Our findings indicate that the percentage of natural gas in the production cost of fossil ammonia rose from 21% in 2020 to 63% in November 2022 (</w:t>
      </w:r>
      <w:r w:rsidR="00D20065" w:rsidRPr="0047272A">
        <w:rPr>
          <w:b/>
          <w:bCs/>
          <w:lang w:val="en-GB"/>
        </w:rPr>
        <w:fldChar w:fldCharType="begin"/>
      </w:r>
      <w:r w:rsidR="00D20065" w:rsidRPr="0047272A">
        <w:rPr>
          <w:lang w:val="en-GB"/>
        </w:rPr>
        <w:instrText xml:space="preserve"> REF _Ref129860715 \h </w:instrText>
      </w:r>
      <w:r w:rsidR="00D20065" w:rsidRPr="0047272A">
        <w:rPr>
          <w:b/>
          <w:bCs/>
          <w:lang w:val="en-GB"/>
        </w:rPr>
        <w:instrText xml:space="preserve"> \* MERGEFORMAT </w:instrText>
      </w:r>
      <w:r w:rsidR="00D20065" w:rsidRPr="0047272A">
        <w:rPr>
          <w:b/>
          <w:bCs/>
          <w:lang w:val="en-GB"/>
        </w:rPr>
      </w:r>
      <w:r w:rsidR="00D20065" w:rsidRPr="0047272A">
        <w:rPr>
          <w:b/>
          <w:bCs/>
          <w:lang w:val="en-GB"/>
        </w:rPr>
        <w:fldChar w:fldCharType="separate"/>
      </w:r>
      <w:r w:rsidR="00FF0FC0" w:rsidRPr="00FF0FC0">
        <w:rPr>
          <w:b/>
          <w:lang w:val="en-GB"/>
        </w:rPr>
        <w:t>Figure 3</w:t>
      </w:r>
      <w:r w:rsidR="00D20065" w:rsidRPr="0047272A">
        <w:rPr>
          <w:b/>
          <w:bCs/>
          <w:lang w:val="en-GB"/>
        </w:rPr>
        <w:fldChar w:fldCharType="end"/>
      </w:r>
      <w:r w:rsidRPr="0047272A">
        <w:rPr>
          <w:b/>
          <w:lang w:val="en-GB"/>
        </w:rPr>
        <w:t>a</w:t>
      </w:r>
      <w:r w:rsidRPr="0047272A">
        <w:rPr>
          <w:lang w:val="en-GB"/>
        </w:rPr>
        <w:t>). Similarly, for fossil methanol production, its contribution increased from 48% to 88% (</w:t>
      </w:r>
      <w:r w:rsidR="00D20065" w:rsidRPr="0047272A">
        <w:rPr>
          <w:b/>
          <w:bCs/>
          <w:lang w:val="en-GB"/>
        </w:rPr>
        <w:fldChar w:fldCharType="begin"/>
      </w:r>
      <w:r w:rsidR="00D20065" w:rsidRPr="0047272A">
        <w:rPr>
          <w:lang w:val="en-GB"/>
        </w:rPr>
        <w:instrText xml:space="preserve"> REF _Ref129860715 \h </w:instrText>
      </w:r>
      <w:r w:rsidR="00D20065" w:rsidRPr="0047272A">
        <w:rPr>
          <w:b/>
          <w:bCs/>
          <w:lang w:val="en-GB"/>
        </w:rPr>
        <w:instrText xml:space="preserve"> \* MERGEFORMAT </w:instrText>
      </w:r>
      <w:r w:rsidR="00D20065" w:rsidRPr="0047272A">
        <w:rPr>
          <w:b/>
          <w:bCs/>
          <w:lang w:val="en-GB"/>
        </w:rPr>
      </w:r>
      <w:r w:rsidR="00D20065" w:rsidRPr="0047272A">
        <w:rPr>
          <w:b/>
          <w:bCs/>
          <w:lang w:val="en-GB"/>
        </w:rPr>
        <w:fldChar w:fldCharType="separate"/>
      </w:r>
      <w:r w:rsidR="00FF0FC0" w:rsidRPr="00FF0FC0">
        <w:rPr>
          <w:b/>
          <w:lang w:val="en-GB"/>
        </w:rPr>
        <w:t>Figure 3</w:t>
      </w:r>
      <w:r w:rsidR="00D20065" w:rsidRPr="0047272A">
        <w:rPr>
          <w:b/>
          <w:bCs/>
          <w:lang w:val="en-GB"/>
        </w:rPr>
        <w:fldChar w:fldCharType="end"/>
      </w:r>
      <w:r w:rsidRPr="0047272A">
        <w:rPr>
          <w:b/>
          <w:lang w:val="en-GB"/>
        </w:rPr>
        <w:t>b</w:t>
      </w:r>
      <w:r w:rsidRPr="0047272A">
        <w:rPr>
          <w:lang w:val="en-GB"/>
        </w:rPr>
        <w:t>). In contrast, for the green routes, hydrogen represented the highest share of the production cost, accounting for 69–85% for green ammonia and 61–67% for green methanol, depending on the timeframe. However, our analysis suggests that the average European levelised cost of wind-based electrolytic hydrogen steadily decreased. The reduction in on</w:t>
      </w:r>
      <w:r w:rsidRPr="0047272A">
        <w:rPr>
          <w:lang w:val="en-GB"/>
        </w:rPr>
        <w:noBreakHyphen/>
        <w:t>shore wind electricity costs from 67 to 42 USD MWh</w:t>
      </w:r>
      <w:r w:rsidRPr="0047272A">
        <w:rPr>
          <w:rFonts w:cstheme="minorHAnsi"/>
          <w:vertAlign w:val="superscript"/>
          <w:lang w:val="en-GB"/>
        </w:rPr>
        <w:t>−</w:t>
      </w:r>
      <w:r w:rsidRPr="0047272A">
        <w:rPr>
          <w:vertAlign w:val="superscript"/>
          <w:lang w:val="en-GB"/>
        </w:rPr>
        <w:t>1</w:t>
      </w:r>
      <w:r w:rsidRPr="0047272A">
        <w:rPr>
          <w:lang w:val="en-GB"/>
        </w:rPr>
        <w:t xml:space="preserve"> (ref.</w:t>
      </w:r>
      <w:r w:rsidRPr="0047272A">
        <w:rPr>
          <w:lang w:val="en-GB"/>
        </w:rPr>
        <w:fldChar w:fldCharType="begin"/>
      </w:r>
      <w:r w:rsidRPr="0047272A">
        <w:rPr>
          <w:lang w:val="en-GB"/>
        </w:rPr>
        <w:instrText xml:space="preserve"> ADDIN ZOTERO_ITEM CSL_CITATION {"citationID":"u41OseLy","properties":{"formattedCitation":"\\super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26</w:t>
      </w:r>
      <w:r w:rsidRPr="0047272A">
        <w:rPr>
          <w:lang w:val="en-GB"/>
        </w:rPr>
        <w:fldChar w:fldCharType="end"/>
      </w:r>
      <w:r w:rsidRPr="0047272A">
        <w:rPr>
          <w:lang w:val="en-GB"/>
        </w:rPr>
        <w:t>) drove a price decline from 5.2–8.5 USD kg</w:t>
      </w:r>
      <w:r w:rsidRPr="0047272A">
        <w:rPr>
          <w:rFonts w:cstheme="minorHAnsi"/>
          <w:vertAlign w:val="superscript"/>
          <w:lang w:val="en-GB"/>
        </w:rPr>
        <w:t>−</w:t>
      </w:r>
      <w:r w:rsidRPr="0047272A">
        <w:rPr>
          <w:vertAlign w:val="superscript"/>
          <w:lang w:val="en-GB"/>
        </w:rPr>
        <w:t>1</w:t>
      </w:r>
      <w:r w:rsidRPr="0047272A">
        <w:rPr>
          <w:lang w:val="en-GB"/>
        </w:rPr>
        <w:t xml:space="preserve"> in 2019 to 5.2–7.3 USD kg</w:t>
      </w:r>
      <w:r w:rsidRPr="0047272A">
        <w:rPr>
          <w:rFonts w:cstheme="minorHAnsi"/>
          <w:vertAlign w:val="superscript"/>
          <w:lang w:val="en-GB"/>
        </w:rPr>
        <w:t>−</w:t>
      </w:r>
      <w:r w:rsidRPr="0047272A">
        <w:rPr>
          <w:vertAlign w:val="superscript"/>
          <w:lang w:val="en-GB"/>
        </w:rPr>
        <w:t>1</w:t>
      </w:r>
      <w:r w:rsidRPr="0047272A">
        <w:rPr>
          <w:lang w:val="en-GB"/>
        </w:rPr>
        <w:t xml:space="preserve"> in 2022 after considering inflation. We notice that the hydrogen cost we used in this study aligns well with the lower end of previous literature estimates (</w:t>
      </w:r>
      <w:r w:rsidRPr="0047272A">
        <w:rPr>
          <w:i/>
          <w:lang w:val="en-GB"/>
        </w:rPr>
        <w:t>i.e</w:t>
      </w:r>
      <w:r w:rsidRPr="0047272A">
        <w:rPr>
          <w:lang w:val="en-GB"/>
        </w:rPr>
        <w:t>., 4.6</w:t>
      </w:r>
      <w:r w:rsidR="00F12E54">
        <w:rPr>
          <w:lang w:val="en-GB"/>
        </w:rPr>
        <w:t>–</w:t>
      </w:r>
      <w:r w:rsidRPr="0047272A">
        <w:rPr>
          <w:lang w:val="en-GB"/>
        </w:rPr>
        <w:t>10 USD kg</w:t>
      </w:r>
      <w:r w:rsidRPr="0047272A">
        <w:rPr>
          <w:rFonts w:cstheme="minorHAnsi"/>
          <w:vertAlign w:val="superscript"/>
          <w:lang w:val="en-GB"/>
        </w:rPr>
        <w:t>−</w:t>
      </w:r>
      <w:r w:rsidRPr="0047272A">
        <w:rPr>
          <w:vertAlign w:val="superscript"/>
          <w:lang w:val="en-GB"/>
        </w:rPr>
        <w:t>1</w:t>
      </w:r>
      <w:r w:rsidRPr="0047272A">
        <w:rPr>
          <w:lang w:val="en-GB"/>
        </w:rPr>
        <w:t xml:space="preserve"> based on ref.</w:t>
      </w:r>
      <w:r w:rsidRPr="0047272A">
        <w:rPr>
          <w:lang w:val="en-GB"/>
        </w:rPr>
        <w:fldChar w:fldCharType="begin"/>
      </w:r>
      <w:r w:rsidRPr="0047272A">
        <w:rPr>
          <w:lang w:val="en-GB"/>
        </w:rPr>
        <w:instrText xml:space="preserve"> ADDIN ZOTERO_ITEM CSL_CITATION {"citationID":"pejIi8CD","properties":{"formattedCitation":"\\super 27\\nosupersub{}","plainCitation":"27","noteIndex":0},"citationItems":[{"id":1015,"uris":["http://zotero.org/users/9157291/items/5Q9TNJYS"],"itemData":{"id":1015,"type":"article-journal","abstract":"Different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27</w:t>
      </w:r>
      <w:r w:rsidRPr="0047272A">
        <w:rPr>
          <w:lang w:val="en-GB"/>
        </w:rPr>
        <w:fldChar w:fldCharType="end"/>
      </w:r>
      <w:r w:rsidRPr="0047272A">
        <w:rPr>
          <w:lang w:val="en-GB"/>
        </w:rPr>
        <w:t>).</w:t>
      </w:r>
    </w:p>
    <w:p w14:paraId="4E24FAA9" w14:textId="09D8AE6C" w:rsidR="008A3579" w:rsidRPr="0047272A" w:rsidRDefault="008A3579" w:rsidP="008A3579">
      <w:pPr>
        <w:jc w:val="both"/>
        <w:rPr>
          <w:rFonts w:cstheme="minorHAnsi"/>
          <w:lang w:val="en-GB"/>
        </w:rPr>
      </w:pPr>
      <w:r w:rsidRPr="0047272A">
        <w:rPr>
          <w:lang w:val="en-GB"/>
        </w:rPr>
        <w:t>The cost of the CO</w:t>
      </w:r>
      <w:r w:rsidRPr="0047272A">
        <w:rPr>
          <w:vertAlign w:val="subscript"/>
          <w:lang w:val="en-GB"/>
        </w:rPr>
        <w:t>2</w:t>
      </w:r>
      <w:r w:rsidRPr="0047272A">
        <w:rPr>
          <w:lang w:val="en-GB"/>
        </w:rPr>
        <w:t xml:space="preserve"> feedstock captured from the atmosphere by DAC is a significant factor in the production cost of green methanol, accounting for up to 28% in November 2022. The rising cost of DAC, from an average of 0.2 USD kg</w:t>
      </w:r>
      <w:r w:rsidRPr="0047272A">
        <w:rPr>
          <w:rFonts w:cstheme="minorHAnsi"/>
          <w:vertAlign w:val="superscript"/>
          <w:lang w:val="en-GB"/>
        </w:rPr>
        <w:t>−</w:t>
      </w:r>
      <w:r w:rsidRPr="0047272A">
        <w:rPr>
          <w:vertAlign w:val="superscript"/>
          <w:lang w:val="en-GB"/>
        </w:rPr>
        <w:t>1</w:t>
      </w:r>
      <w:r w:rsidRPr="0047272A">
        <w:rPr>
          <w:lang w:val="en-GB"/>
        </w:rPr>
        <w:t xml:space="preserve"> CO</w:t>
      </w:r>
      <w:r w:rsidRPr="0047272A">
        <w:rPr>
          <w:vertAlign w:val="subscript"/>
          <w:lang w:val="en-GB"/>
        </w:rPr>
        <w:t>2</w:t>
      </w:r>
      <w:r w:rsidRPr="0047272A">
        <w:rPr>
          <w:lang w:val="en-GB"/>
        </w:rPr>
        <w:t xml:space="preserve"> in 2019 to 0.8 USD kg</w:t>
      </w:r>
      <w:r w:rsidRPr="0047272A">
        <w:rPr>
          <w:rFonts w:cstheme="minorHAnsi"/>
          <w:vertAlign w:val="superscript"/>
          <w:lang w:val="en-GB"/>
        </w:rPr>
        <w:t>−</w:t>
      </w:r>
      <w:r w:rsidRPr="0047272A">
        <w:rPr>
          <w:vertAlign w:val="superscript"/>
          <w:lang w:val="en-GB"/>
        </w:rPr>
        <w:t>1</w:t>
      </w:r>
      <w:r w:rsidRPr="0047272A">
        <w:rPr>
          <w:lang w:val="en-GB"/>
        </w:rPr>
        <w:t xml:space="preserve"> CO</w:t>
      </w:r>
      <w:r w:rsidRPr="0047272A">
        <w:rPr>
          <w:vertAlign w:val="subscript"/>
          <w:lang w:val="en-GB"/>
        </w:rPr>
        <w:t>2</w:t>
      </w:r>
      <w:r w:rsidRPr="0047272A">
        <w:rPr>
          <w:lang w:val="en-GB"/>
        </w:rPr>
        <w:t xml:space="preserve"> in August 2022, is behind this trend. We utilized a high-temperature solvent-based DAC technology, adapted from the work of Keith </w:t>
      </w:r>
      <w:r w:rsidRPr="0047272A">
        <w:rPr>
          <w:rFonts w:cstheme="minorHAnsi"/>
          <w:i/>
          <w:lang w:val="en-GB"/>
        </w:rPr>
        <w:t>et al.</w:t>
      </w:r>
      <w:r w:rsidRPr="0047272A">
        <w:rPr>
          <w:rFonts w:cstheme="minorHAnsi"/>
          <w:lang w:val="en-GB"/>
        </w:rPr>
        <w:fldChar w:fldCharType="begin"/>
      </w:r>
      <w:r w:rsidRPr="0047272A">
        <w:rPr>
          <w:rFonts w:cstheme="minorHAnsi"/>
          <w:lang w:val="en-GB"/>
        </w:rPr>
        <w:instrText xml:space="preserve"> ADDIN ZOTERO_ITEM CSL_CITATION {"citationID":"buA3tSxp","properties":{"formattedCitation":"\\super 28\\nosupersub{}","plainCitation":"28","noteIndex":0},"citationItems":[{"id":459,"uris":["http://zotero.org/users/9157291/items/SHKUDHUW"],"itemData":{"id":459,"type":"article-journal","abstract":"We describe a process for capturing CO2 from the atmosphere in an industrial plant. The design captures </w:instrText>
      </w:r>
      <w:r w:rsidRPr="0047272A">
        <w:rPr>
          <w:rFonts w:ascii="Cambria Math" w:hAnsi="Cambria Math" w:cs="Cambria Math"/>
          <w:lang w:val="en-GB"/>
        </w:rPr>
        <w:instrText>∼</w:instrText>
      </w:r>
      <w:r w:rsidRPr="0047272A">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28</w:t>
      </w:r>
      <w:r w:rsidRPr="0047272A">
        <w:rPr>
          <w:rFonts w:cstheme="minorHAnsi"/>
          <w:lang w:val="en-GB"/>
        </w:rPr>
        <w:fldChar w:fldCharType="end"/>
      </w:r>
      <w:r w:rsidRPr="0047272A">
        <w:rPr>
          <w:lang w:val="en-GB"/>
        </w:rPr>
        <w:t>, which requires around 0.1 kg of natural gas and 77 kWh of electric power per kg of CO</w:t>
      </w:r>
      <w:r w:rsidRPr="0047272A">
        <w:rPr>
          <w:vertAlign w:val="subscript"/>
          <w:lang w:val="en-GB"/>
        </w:rPr>
        <w:t>2</w:t>
      </w:r>
      <w:r w:rsidRPr="0047272A">
        <w:rPr>
          <w:lang w:val="en-GB"/>
        </w:rPr>
        <w:t xml:space="preserve"> captured, making the capture cost susceptible to fluctuations in natural gas and electricity prices (</w:t>
      </w:r>
      <w:r w:rsidRPr="00B727EA">
        <w:rPr>
          <w:b/>
          <w:lang w:val="en-GB"/>
        </w:rPr>
        <w:t>Fig</w:t>
      </w:r>
      <w:r w:rsidR="00BB63DE" w:rsidRPr="00B727EA">
        <w:rPr>
          <w:b/>
          <w:lang w:val="en-GB"/>
        </w:rPr>
        <w:t>ure</w:t>
      </w:r>
      <w:r w:rsidRPr="00B727EA">
        <w:rPr>
          <w:b/>
          <w:lang w:val="en-GB"/>
        </w:rPr>
        <w:t> </w:t>
      </w:r>
      <w:r w:rsidR="00BB63DE" w:rsidRPr="00B727EA">
        <w:rPr>
          <w:b/>
          <w:lang w:val="en-GB"/>
        </w:rPr>
        <w:t>S</w:t>
      </w:r>
      <w:r w:rsidR="00483C0B">
        <w:rPr>
          <w:b/>
          <w:lang w:val="en-GB"/>
        </w:rPr>
        <w:t>6</w:t>
      </w:r>
      <w:r w:rsidRPr="0047272A">
        <w:rPr>
          <w:lang w:val="en-GB"/>
        </w:rPr>
        <w:t>).</w:t>
      </w:r>
    </w:p>
    <w:p w14:paraId="676BA520" w14:textId="77777777" w:rsidR="008A3579" w:rsidRPr="0047272A" w:rsidRDefault="008A3579" w:rsidP="008A3579">
      <w:pPr>
        <w:pStyle w:val="Heading3"/>
        <w:jc w:val="both"/>
      </w:pPr>
      <w:r w:rsidRPr="0047272A">
        <w:t>Green ammonia and methanol become cost-competitive for CO</w:t>
      </w:r>
      <w:r w:rsidRPr="0047272A">
        <w:rPr>
          <w:vertAlign w:val="subscript"/>
        </w:rPr>
        <w:t>2</w:t>
      </w:r>
      <w:r w:rsidRPr="0047272A">
        <w:t xml:space="preserve"> mitigation </w:t>
      </w:r>
    </w:p>
    <w:p w14:paraId="27AABB1B" w14:textId="4B34D70E" w:rsidR="008A3579" w:rsidRPr="0047272A" w:rsidRDefault="008A3579" w:rsidP="008A3579">
      <w:pPr>
        <w:jc w:val="both"/>
        <w:rPr>
          <w:rFonts w:cstheme="minorHAnsi"/>
          <w:lang w:val="en-GB"/>
        </w:rPr>
      </w:pPr>
      <w:r w:rsidRPr="0047272A">
        <w:rPr>
          <w:rFonts w:cstheme="minorHAnsi"/>
          <w:lang w:val="en-GB"/>
        </w:rPr>
        <w:t>This passage examines the cost of producing green ammonia and methanol in relation to their fossil-based counterparts, specifically looking at the cost per unit of CO</w:t>
      </w:r>
      <w:r w:rsidRPr="0047272A">
        <w:rPr>
          <w:rFonts w:cstheme="minorHAnsi"/>
          <w:vertAlign w:val="subscript"/>
          <w:lang w:val="en-GB"/>
        </w:rPr>
        <w:t>2</w:t>
      </w:r>
      <w:r w:rsidRPr="0047272A">
        <w:rPr>
          <w:rFonts w:cstheme="minorHAnsi"/>
          <w:lang w:val="en-GB"/>
        </w:rPr>
        <w:t xml:space="preserve"> avoided. In 2020, with an average natural gas price of 0.1 USD kg</w:t>
      </w:r>
      <w:r w:rsidRPr="0047272A">
        <w:rPr>
          <w:rFonts w:cstheme="minorHAnsi"/>
          <w:vertAlign w:val="superscript"/>
          <w:lang w:val="en-GB"/>
        </w:rPr>
        <w:t>−1</w:t>
      </w:r>
      <w:r w:rsidRPr="0047272A">
        <w:rPr>
          <w:rFonts w:cstheme="minorHAnsi"/>
          <w:lang w:val="en-GB"/>
        </w:rPr>
        <w:t>, the avoidance cost of wind- and solar-based ammonia was 0.6 and 1.4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respectively (</w:t>
      </w:r>
      <w:r w:rsidR="006D647D" w:rsidRPr="0047272A">
        <w:rPr>
          <w:rFonts w:cstheme="minorHAnsi"/>
          <w:b/>
          <w:bCs/>
          <w:lang w:val="en-GB"/>
        </w:rPr>
        <w:fldChar w:fldCharType="begin"/>
      </w:r>
      <w:r w:rsidR="006D647D" w:rsidRPr="0047272A">
        <w:rPr>
          <w:rFonts w:cstheme="minorHAnsi"/>
          <w:lang w:val="en-GB"/>
        </w:rPr>
        <w:instrText xml:space="preserve"> REF _Ref129860788 \h </w:instrText>
      </w:r>
      <w:r w:rsidR="006D647D" w:rsidRPr="0047272A">
        <w:rPr>
          <w:rFonts w:cstheme="minorHAnsi"/>
          <w:b/>
          <w:bCs/>
          <w:lang w:val="en-GB"/>
        </w:rPr>
        <w:instrText xml:space="preserve"> \* MERGEFORMAT </w:instrText>
      </w:r>
      <w:r w:rsidR="006D647D" w:rsidRPr="0047272A">
        <w:rPr>
          <w:rFonts w:cstheme="minorHAnsi"/>
          <w:b/>
          <w:bCs/>
          <w:lang w:val="en-GB"/>
        </w:rPr>
      </w:r>
      <w:r w:rsidR="006D647D" w:rsidRPr="0047272A">
        <w:rPr>
          <w:rFonts w:cstheme="minorHAnsi"/>
          <w:b/>
          <w:bCs/>
          <w:lang w:val="en-GB"/>
        </w:rPr>
        <w:fldChar w:fldCharType="separate"/>
      </w:r>
      <w:r w:rsidR="00FF0FC0" w:rsidRPr="00FF0FC0">
        <w:rPr>
          <w:b/>
          <w:lang w:val="en-GB"/>
        </w:rPr>
        <w:t>Figure 4</w:t>
      </w:r>
      <w:r w:rsidR="006D647D" w:rsidRPr="0047272A">
        <w:rPr>
          <w:rFonts w:cstheme="minorHAnsi"/>
          <w:b/>
          <w:bCs/>
          <w:lang w:val="en-GB"/>
        </w:rPr>
        <w:fldChar w:fldCharType="end"/>
      </w:r>
      <w:r w:rsidRPr="0047272A">
        <w:rPr>
          <w:rFonts w:cstheme="minorHAnsi"/>
          <w:b/>
          <w:bCs/>
          <w:lang w:val="en-GB"/>
        </w:rPr>
        <w:t>a</w:t>
      </w:r>
      <w:r w:rsidRPr="0047272A">
        <w:rPr>
          <w:rFonts w:cstheme="minorHAnsi"/>
          <w:lang w:val="en-GB"/>
        </w:rPr>
        <w:t>) and much higher for methanol (1.4 and 7.7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 xml:space="preserve">eq, </w:t>
      </w:r>
      <w:r w:rsidR="006D647D" w:rsidRPr="0047272A">
        <w:rPr>
          <w:rFonts w:cstheme="minorHAnsi"/>
          <w:b/>
          <w:bCs/>
          <w:lang w:val="en-GB"/>
        </w:rPr>
        <w:fldChar w:fldCharType="begin"/>
      </w:r>
      <w:r w:rsidR="006D647D" w:rsidRPr="0047272A">
        <w:rPr>
          <w:rFonts w:cstheme="minorHAnsi"/>
          <w:lang w:val="en-GB"/>
        </w:rPr>
        <w:instrText xml:space="preserve"> REF _Ref129860788 \h </w:instrText>
      </w:r>
      <w:r w:rsidR="006D647D" w:rsidRPr="0047272A">
        <w:rPr>
          <w:rFonts w:cstheme="minorHAnsi"/>
          <w:b/>
          <w:bCs/>
          <w:lang w:val="en-GB"/>
        </w:rPr>
        <w:instrText xml:space="preserve"> \* MERGEFORMAT </w:instrText>
      </w:r>
      <w:r w:rsidR="006D647D" w:rsidRPr="0047272A">
        <w:rPr>
          <w:rFonts w:cstheme="minorHAnsi"/>
          <w:b/>
          <w:bCs/>
          <w:lang w:val="en-GB"/>
        </w:rPr>
      </w:r>
      <w:r w:rsidR="006D647D" w:rsidRPr="0047272A">
        <w:rPr>
          <w:rFonts w:cstheme="minorHAnsi"/>
          <w:b/>
          <w:bCs/>
          <w:lang w:val="en-GB"/>
        </w:rPr>
        <w:fldChar w:fldCharType="separate"/>
      </w:r>
      <w:r w:rsidR="00FF0FC0" w:rsidRPr="00FF0FC0">
        <w:rPr>
          <w:b/>
          <w:lang w:val="en-GB"/>
        </w:rPr>
        <w:t>Figure 4</w:t>
      </w:r>
      <w:r w:rsidR="006D647D" w:rsidRPr="0047272A">
        <w:rPr>
          <w:rFonts w:cstheme="minorHAnsi"/>
          <w:b/>
          <w:bCs/>
          <w:lang w:val="en-GB"/>
        </w:rPr>
        <w:fldChar w:fldCharType="end"/>
      </w:r>
      <w:r w:rsidRPr="0047272A">
        <w:rPr>
          <w:rFonts w:cstheme="minorHAnsi"/>
          <w:b/>
          <w:bCs/>
          <w:lang w:val="en-GB"/>
        </w:rPr>
        <w:t>b</w:t>
      </w:r>
      <w:r w:rsidRPr="0047272A">
        <w:rPr>
          <w:rFonts w:cstheme="minorHAnsi"/>
          <w:lang w:val="en-GB"/>
        </w:rPr>
        <w:t>), mainly due to the greater monetary gap between fossil and green methanol. While the avoidance cost for green ammonia and methanol in 2020 exceeded the removal cost of negative emissions technologies (NETs) such as bioenergy with carbon capture and storage (BECCS) and direct air capture with carbon capture and storage (DACCS), at the peak of natural gas prices in 2022, the avoidance cost of green ammonia and methanol became negative, making their use economically attractive for mitigating carbon emissions. A win-win scenario for economic and environmental competitiveness emerged in July 2021 for wind-based ammonia production, which resulted in potential savings of 0.1 to 0.6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avoided</w:t>
      </w:r>
      <w:r w:rsidR="001B23B5">
        <w:rPr>
          <w:rFonts w:cstheme="minorHAnsi"/>
          <w:lang w:val="en-GB"/>
        </w:rPr>
        <w:t xml:space="preserve"> (see blue shaded area in </w:t>
      </w:r>
      <w:r w:rsidR="001B23B5" w:rsidRPr="001B23B5">
        <w:rPr>
          <w:rFonts w:cstheme="minorHAnsi"/>
          <w:b/>
          <w:lang w:val="en-GB"/>
        </w:rPr>
        <w:fldChar w:fldCharType="begin"/>
      </w:r>
      <w:r w:rsidR="001B23B5" w:rsidRPr="001B23B5">
        <w:rPr>
          <w:rFonts w:cstheme="minorHAnsi"/>
          <w:b/>
          <w:lang w:val="en-GB"/>
        </w:rPr>
        <w:instrText xml:space="preserve"> REF _Ref129860788 \h  \* MERGEFORMAT </w:instrText>
      </w:r>
      <w:r w:rsidR="001B23B5" w:rsidRPr="001B23B5">
        <w:rPr>
          <w:rFonts w:cstheme="minorHAnsi"/>
          <w:b/>
          <w:lang w:val="en-GB"/>
        </w:rPr>
      </w:r>
      <w:r w:rsidR="001B23B5" w:rsidRPr="001B23B5">
        <w:rPr>
          <w:rFonts w:cstheme="minorHAnsi"/>
          <w:b/>
          <w:lang w:val="en-GB"/>
        </w:rPr>
        <w:fldChar w:fldCharType="separate"/>
      </w:r>
      <w:r w:rsidR="00FF0FC0" w:rsidRPr="00FF0FC0">
        <w:rPr>
          <w:b/>
          <w:lang w:val="en-GB"/>
        </w:rPr>
        <w:t xml:space="preserve">Figure </w:t>
      </w:r>
      <w:r w:rsidR="00FF0FC0" w:rsidRPr="00FF0FC0">
        <w:rPr>
          <w:b/>
          <w:noProof/>
          <w:lang w:val="en-GB"/>
        </w:rPr>
        <w:t>4</w:t>
      </w:r>
      <w:r w:rsidR="001B23B5" w:rsidRPr="001B23B5">
        <w:rPr>
          <w:rFonts w:cstheme="minorHAnsi"/>
          <w:b/>
          <w:lang w:val="en-GB"/>
        </w:rPr>
        <w:fldChar w:fldCharType="end"/>
      </w:r>
      <w:r w:rsidR="001B23B5" w:rsidRPr="001B23B5">
        <w:rPr>
          <w:rFonts w:cstheme="minorHAnsi"/>
          <w:b/>
          <w:lang w:val="en-GB"/>
        </w:rPr>
        <w:t>a</w:t>
      </w:r>
      <w:r w:rsidR="001B23B5" w:rsidRPr="001B23B5">
        <w:rPr>
          <w:rFonts w:cstheme="minorHAnsi"/>
          <w:lang w:val="en-GB"/>
        </w:rPr>
        <w:t>)</w:t>
      </w:r>
      <w:r w:rsidRPr="0047272A">
        <w:rPr>
          <w:rFonts w:cstheme="minorHAnsi"/>
          <w:lang w:val="en-GB"/>
        </w:rPr>
        <w:t xml:space="preserve">. For methanol </w:t>
      </w:r>
      <w:r w:rsidRPr="0047272A">
        <w:rPr>
          <w:rFonts w:cstheme="minorHAnsi"/>
          <w:i/>
          <w:iCs/>
          <w:lang w:val="en-GB"/>
        </w:rPr>
        <w:t>via</w:t>
      </w:r>
      <w:r w:rsidRPr="0047272A">
        <w:rPr>
          <w:rFonts w:cstheme="minorHAnsi"/>
          <w:lang w:val="en-GB"/>
        </w:rPr>
        <w:t xml:space="preserve"> wind, the scenario emerged in August 2022 with </w:t>
      </w:r>
      <w:r w:rsidR="004F3039">
        <w:rPr>
          <w:rFonts w:cstheme="minorHAnsi"/>
          <w:lang w:val="en-GB"/>
        </w:rPr>
        <w:t>avoidance costs close to zero (</w:t>
      </w:r>
      <w:r w:rsidR="00C53B57" w:rsidRPr="001B23B5">
        <w:rPr>
          <w:rFonts w:cstheme="minorHAnsi"/>
          <w:b/>
          <w:lang w:val="en-GB"/>
        </w:rPr>
        <w:fldChar w:fldCharType="begin"/>
      </w:r>
      <w:r w:rsidR="00C53B57" w:rsidRPr="001B23B5">
        <w:rPr>
          <w:rFonts w:cstheme="minorHAnsi"/>
          <w:b/>
          <w:lang w:val="en-GB"/>
        </w:rPr>
        <w:instrText xml:space="preserve"> REF _Ref129860788 \h  \* MERGEFORMAT </w:instrText>
      </w:r>
      <w:r w:rsidR="00C53B57" w:rsidRPr="001B23B5">
        <w:rPr>
          <w:rFonts w:cstheme="minorHAnsi"/>
          <w:b/>
          <w:lang w:val="en-GB"/>
        </w:rPr>
      </w:r>
      <w:r w:rsidR="00C53B57" w:rsidRPr="001B23B5">
        <w:rPr>
          <w:rFonts w:cstheme="minorHAnsi"/>
          <w:b/>
          <w:lang w:val="en-GB"/>
        </w:rPr>
        <w:fldChar w:fldCharType="separate"/>
      </w:r>
      <w:r w:rsidR="00FF0FC0" w:rsidRPr="00FF0FC0">
        <w:rPr>
          <w:b/>
          <w:lang w:val="en-GB"/>
        </w:rPr>
        <w:t xml:space="preserve">Figure </w:t>
      </w:r>
      <w:r w:rsidR="00FF0FC0" w:rsidRPr="00FF0FC0">
        <w:rPr>
          <w:b/>
          <w:noProof/>
          <w:lang w:val="en-GB"/>
        </w:rPr>
        <w:t>4</w:t>
      </w:r>
      <w:r w:rsidR="00C53B57" w:rsidRPr="001B23B5">
        <w:rPr>
          <w:rFonts w:cstheme="minorHAnsi"/>
          <w:b/>
          <w:lang w:val="en-GB"/>
        </w:rPr>
        <w:fldChar w:fldCharType="end"/>
      </w:r>
      <w:r w:rsidR="00C53B57">
        <w:rPr>
          <w:rFonts w:cstheme="minorHAnsi"/>
          <w:b/>
          <w:lang w:val="en-GB"/>
        </w:rPr>
        <w:t>b</w:t>
      </w:r>
      <w:r w:rsidR="004F3039">
        <w:rPr>
          <w:rFonts w:cstheme="minorHAnsi"/>
          <w:lang w:val="en-GB"/>
        </w:rPr>
        <w:t xml:space="preserve">) and </w:t>
      </w:r>
      <w:r w:rsidRPr="0047272A">
        <w:rPr>
          <w:rFonts w:cstheme="minorHAnsi"/>
          <w:lang w:val="en-GB"/>
        </w:rPr>
        <w:t>savings of 0.3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avoided, considering the lower end of the hydrogen cost range</w:t>
      </w:r>
      <w:r w:rsidR="004F3039">
        <w:rPr>
          <w:rFonts w:cstheme="minorHAnsi"/>
          <w:lang w:val="en-GB"/>
        </w:rPr>
        <w:t xml:space="preserve"> (</w:t>
      </w:r>
      <w:r w:rsidR="004F3039" w:rsidRPr="00FA18C9">
        <w:rPr>
          <w:rFonts w:cstheme="minorHAnsi"/>
          <w:b/>
          <w:lang w:val="en-GB"/>
        </w:rPr>
        <w:t>Figure S1</w:t>
      </w:r>
      <w:r w:rsidR="0067483D">
        <w:rPr>
          <w:rFonts w:cstheme="minorHAnsi"/>
          <w:b/>
          <w:lang w:val="en-GB"/>
        </w:rPr>
        <w:t>2</w:t>
      </w:r>
      <w:r w:rsidR="004F3039">
        <w:rPr>
          <w:rFonts w:cstheme="minorHAnsi"/>
          <w:lang w:val="en-GB"/>
        </w:rPr>
        <w:t>)</w:t>
      </w:r>
      <w:r w:rsidRPr="0047272A">
        <w:rPr>
          <w:rFonts w:cstheme="minorHAnsi"/>
          <w:lang w:val="en-GB"/>
        </w:rPr>
        <w:t>.</w:t>
      </w:r>
    </w:p>
    <w:p w14:paraId="46E95714" w14:textId="77777777" w:rsidR="008A3579" w:rsidRPr="0047272A" w:rsidRDefault="008A3579" w:rsidP="008A3579">
      <w:pPr>
        <w:pStyle w:val="Heading2"/>
        <w:jc w:val="both"/>
      </w:pPr>
      <w:r w:rsidRPr="0047272A">
        <w:t>Discussion</w:t>
      </w:r>
    </w:p>
    <w:p w14:paraId="00BE6A4B" w14:textId="351D9C5D" w:rsidR="008A3579" w:rsidRPr="0047272A" w:rsidRDefault="008A3579" w:rsidP="008A3579">
      <w:pPr>
        <w:jc w:val="both"/>
        <w:rPr>
          <w:lang w:val="en-GB"/>
        </w:rPr>
      </w:pPr>
      <w:r w:rsidRPr="0047272A">
        <w:rPr>
          <w:lang w:val="en-GB"/>
        </w:rPr>
        <w:t>Our results indicate that the energy crisis in Europe has had a significant and lasting impact on the viability of the low-carbon chemicals industry. It is probable that geopolitical instabilities, weather volatility, and increasing competition for liquefied natural gas will continue to hinder a return to the previous situation</w:t>
      </w:r>
      <w:r w:rsidRPr="0047272A">
        <w:rPr>
          <w:rFonts w:cstheme="minorHAnsi"/>
          <w:lang w:val="en-GB"/>
        </w:rPr>
        <w:fldChar w:fldCharType="begin"/>
      </w:r>
      <w:r w:rsidRPr="0047272A">
        <w:rPr>
          <w:rFonts w:cstheme="minorHAnsi"/>
          <w:lang w:val="en-GB"/>
        </w:rPr>
        <w:instrText xml:space="preserve"> ADDIN ZOTERO_ITEM CSL_CITATION {"citationID":"qgXxSmwb","properties":{"formattedCitation":"\\super 29\\nosupersub{}","plainCitation":"29","noteIndex":0},"citationItems":[{"id":871,"uris":["http://zotero.org/users/9157291/items/FRW5K29Y"],"itemData":{"id":871,"type":"report","abstract":"Summary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average.","language":"en","publisher":"International Energy Agency","source":"Zotero","title":"How to Avoid Gas Shortages in the European Union in 2023","author":[{"family":"IEA","given":""}],"issued":{"date-parts":[["2022",12]]}}}],"schema":"https://github.com/citation-style-language/schema/raw/master/csl-citation.json"}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29</w:t>
      </w:r>
      <w:r w:rsidRPr="0047272A">
        <w:rPr>
          <w:rFonts w:cstheme="minorHAnsi"/>
          <w:lang w:val="en-GB"/>
        </w:rPr>
        <w:fldChar w:fldCharType="end"/>
      </w:r>
      <w:r w:rsidRPr="0047272A">
        <w:rPr>
          <w:lang w:val="en-GB"/>
        </w:rPr>
        <w:t>. In contrast, advancements in renewable technologies and the experience effect are expected to reduce costs</w:t>
      </w:r>
      <w:r w:rsidRPr="0047272A">
        <w:rPr>
          <w:rFonts w:cstheme="minorHAnsi"/>
          <w:lang w:val="en-GB"/>
        </w:rPr>
        <w:fldChar w:fldCharType="begin"/>
      </w:r>
      <w:r w:rsidRPr="0047272A">
        <w:rPr>
          <w:rFonts w:cstheme="minorHAnsi"/>
          <w:lang w:val="en-GB"/>
        </w:rPr>
        <w:instrText xml:space="preserve"> ADDIN ZOTERO_ITEM CSL_CITATION {"citationID":"SIBpthvb","properties":{"formattedCitation":"\\super 30\\nosupersub{}","plainCitation":"30","noteIndex":0},"citationItems":[{"id":585,"uris":["http://zotero.org/users/9157291/items/ASFLIA5W"],"itemData":{"id":585,"type":"article-journal","container-title":"Joule","DOI":"10.1016/j.joule.2022.08.009","ISSN":"2542-4785,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30</w:t>
      </w:r>
      <w:r w:rsidRPr="0047272A">
        <w:rPr>
          <w:rFonts w:cstheme="minorHAnsi"/>
          <w:lang w:val="en-GB"/>
        </w:rPr>
        <w:fldChar w:fldCharType="end"/>
      </w:r>
      <w:r w:rsidRPr="0047272A">
        <w:rPr>
          <w:lang w:val="en-GB"/>
        </w:rPr>
        <w:t>. According to projections, the cost of on-shore wind electricity is expected to be 40 USD MWh</w:t>
      </w:r>
      <w:r w:rsidRPr="0047272A">
        <w:rPr>
          <w:rFonts w:cstheme="minorHAnsi"/>
          <w:vertAlign w:val="superscript"/>
          <w:lang w:val="en-GB"/>
        </w:rPr>
        <w:t>−</w:t>
      </w:r>
      <w:r w:rsidRPr="0047272A">
        <w:rPr>
          <w:vertAlign w:val="superscript"/>
          <w:lang w:val="en-GB"/>
        </w:rPr>
        <w:t>1</w:t>
      </w:r>
      <w:r w:rsidRPr="0047272A">
        <w:rPr>
          <w:lang w:val="en-GB"/>
        </w:rPr>
        <w:t xml:space="preserve"> by 2030. This is expected to result in a decrease in hydrogen's leveli</w:t>
      </w:r>
      <w:r w:rsidR="00830F8D" w:rsidRPr="0047272A">
        <w:rPr>
          <w:lang w:val="en-GB"/>
        </w:rPr>
        <w:t>s</w:t>
      </w:r>
      <w:r w:rsidRPr="0047272A">
        <w:rPr>
          <w:lang w:val="en-GB"/>
        </w:rPr>
        <w:t>ed cost to approximately 2.7 USD kg</w:t>
      </w:r>
      <w:r w:rsidRPr="0047272A">
        <w:rPr>
          <w:rFonts w:cstheme="minorHAnsi"/>
          <w:vertAlign w:val="superscript"/>
          <w:lang w:val="en-GB"/>
        </w:rPr>
        <w:t>−</w:t>
      </w:r>
      <w:r w:rsidRPr="0047272A">
        <w:rPr>
          <w:vertAlign w:val="superscript"/>
          <w:lang w:val="en-GB"/>
        </w:rPr>
        <w:t>1</w:t>
      </w:r>
      <w:r w:rsidRPr="0047272A">
        <w:rPr>
          <w:lang w:val="en-GB"/>
        </w:rPr>
        <w:t>, as described in Ref.</w:t>
      </w:r>
      <w:r w:rsidRPr="0047272A">
        <w:rPr>
          <w:lang w:val="en-GB"/>
        </w:rPr>
        <w:fldChar w:fldCharType="begin"/>
      </w:r>
      <w:r w:rsidRPr="0047272A">
        <w:rPr>
          <w:lang w:val="en-GB"/>
        </w:rPr>
        <w:instrText xml:space="preserve"> ADDIN ZOTERO_ITEM CSL_CITATION {"citationID":"h6UgAJzl","properties":{"formattedCitation":"\\super 31\\nosupersub{}","plainCitation":"31","noteIndex":0},"citationItems":[{"id":706,"uris":["http://zotero.org/users/9157291/items/WE7RN482"],"itemData":{"id":706,"type":"article-journal","abstract":"In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31</w:t>
      </w:r>
      <w:r w:rsidRPr="0047272A">
        <w:rPr>
          <w:lang w:val="en-GB"/>
        </w:rPr>
        <w:fldChar w:fldCharType="end"/>
      </w:r>
    </w:p>
    <w:p w14:paraId="2400726D" w14:textId="77777777" w:rsidR="008A3579" w:rsidRPr="0047272A" w:rsidRDefault="008A3579" w:rsidP="008A3579">
      <w:pPr>
        <w:jc w:val="both"/>
        <w:rPr>
          <w:lang w:val="en-GB"/>
        </w:rPr>
      </w:pPr>
      <w:r w:rsidRPr="0047272A">
        <w:rPr>
          <w:lang w:val="en-GB"/>
        </w:rPr>
        <w:t>Europe has committed to reducing its emissions by 55% by 2030 and achieving net-zero GHG emissions by 2050, in line with the Paris Climate Accords</w:t>
      </w:r>
      <w:r w:rsidRPr="0047272A">
        <w:rPr>
          <w:rFonts w:cstheme="minorHAnsi"/>
          <w:lang w:val="en-GB"/>
        </w:rPr>
        <w:fldChar w:fldCharType="begin"/>
      </w:r>
      <w:r w:rsidRPr="0047272A">
        <w:rPr>
          <w:rFonts w:cstheme="minorHAnsi"/>
          <w:lang w:val="en-GB"/>
        </w:rPr>
        <w:instrText xml:space="preserve"> ADDIN ZOTERO_ITEM CSL_CITATION {"citationID":"fZNn97kP","properties":{"formattedCitation":"\\super 32\\nosupersub{}","plainCitation":"32","noteIndex":0},"citationItems":[{"id":802,"uris":["http://zotero.org/users/9157291/items/RIWZTV2J"],"itemData":{"id":802,"type":"report","publisher":"COM(2021)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32</w:t>
      </w:r>
      <w:r w:rsidRPr="0047272A">
        <w:rPr>
          <w:rFonts w:cstheme="minorHAnsi"/>
          <w:lang w:val="en-GB"/>
        </w:rPr>
        <w:fldChar w:fldCharType="end"/>
      </w:r>
      <w:r w:rsidRPr="0047272A">
        <w:rPr>
          <w:lang w:val="en-GB"/>
        </w:rPr>
        <w:t>. To attain these ambitious targets, significant investment in low-carbon infrastructure is necessary. However, a recent study revealed that the current pace of investment and development falls short of meeting these objectives</w:t>
      </w:r>
      <w:r w:rsidRPr="0047272A">
        <w:rPr>
          <w:lang w:val="en-GB"/>
        </w:rPr>
        <w:fldChar w:fldCharType="begin"/>
      </w:r>
      <w:r w:rsidRPr="0047272A">
        <w:rPr>
          <w:lang w:val="en-GB"/>
        </w:rPr>
        <w:instrText xml:space="preserve"> ADDIN ZOTERO_ITEM CSL_CITATION {"citationID":"ToNHkVRL","properties":{"formattedCitation":"\\super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33</w:t>
      </w:r>
      <w:r w:rsidRPr="0047272A">
        <w:rPr>
          <w:lang w:val="en-GB"/>
        </w:rPr>
        <w:fldChar w:fldCharType="end"/>
      </w:r>
      <w:r w:rsidRPr="0047272A">
        <w:rPr>
          <w:lang w:val="en-GB"/>
        </w:rPr>
        <w:t>. An immediate additional investment of approximately 94 billion USD per year until 2025 is required to achieve net-zero, with substantial funding needed for renewable power, especially on-shore wind (17.3 billion USD per year) and solar (7.6 billion USD per year)</w:t>
      </w:r>
      <w:r w:rsidRPr="0047272A">
        <w:rPr>
          <w:lang w:val="en-GB"/>
        </w:rPr>
        <w:fldChar w:fldCharType="begin"/>
      </w:r>
      <w:r w:rsidRPr="0047272A">
        <w:rPr>
          <w:lang w:val="en-GB"/>
        </w:rPr>
        <w:instrText xml:space="preserve"> ADDIN ZOTERO_ITEM CSL_CITATION {"citationID":"umpqHukE","properties":{"formattedCitation":"\\super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33</w:t>
      </w:r>
      <w:r w:rsidRPr="0047272A">
        <w:rPr>
          <w:lang w:val="en-GB"/>
        </w:rPr>
        <w:fldChar w:fldCharType="end"/>
      </w:r>
      <w:r w:rsidRPr="0047272A">
        <w:rPr>
          <w:lang w:val="en-GB"/>
        </w:rPr>
        <w:t>. Thus, producing green ammonia and methanol through market-driven mechanisms could assist the European chemical industry in reducing GHG emissions at a negative mitigation cost compared to expensive and socio-politically challenging NETs.</w:t>
      </w:r>
    </w:p>
    <w:p w14:paraId="40327566" w14:textId="359354E4" w:rsidR="008A3579" w:rsidRPr="0047272A" w:rsidRDefault="008A3579" w:rsidP="008A3579">
      <w:pPr>
        <w:jc w:val="both"/>
        <w:rPr>
          <w:rFonts w:cstheme="minorHAnsi"/>
          <w:iCs/>
          <w:lang w:val="en-GB"/>
        </w:rPr>
      </w:pPr>
      <w:r w:rsidRPr="0047272A">
        <w:rPr>
          <w:lang w:val="en-GB"/>
        </w:rPr>
        <w:lastRenderedPageBreak/>
        <w:t xml:space="preserve">Both short-term and long-term strategies are required in this situation. To accelerate the implementation of the green routes, favourable macroeconomic environment must be complemented by tailwind regulations. </w:t>
      </w:r>
      <w:r w:rsidR="00414424">
        <w:rPr>
          <w:lang w:val="en-GB"/>
        </w:rPr>
        <w:t>Additionally, a</w:t>
      </w:r>
      <w:r w:rsidRPr="0047272A">
        <w:rPr>
          <w:lang w:val="en-GB"/>
        </w:rPr>
        <w:t xml:space="preserve"> fraction of the investment should be focused on research and development to enhance current performance and boost emerging technologies with low TRL to face concrete challenges. For both ammonia and methanol production, enhancing the performance of polymeric membrane water electrolyzers should become a priority to increase competitiveness. Optimized anodes, ideally containing catalysts with lower Pt-group metal content, can achieve technological maturity through lower cell voltages</w:t>
      </w:r>
      <w:r w:rsidRPr="0047272A">
        <w:rPr>
          <w:rFonts w:cstheme="minorHAnsi"/>
          <w:lang w:val="en-GB"/>
        </w:rPr>
        <w:t xml:space="preserve"> and increased stability</w:t>
      </w:r>
      <w:r w:rsidRPr="0047272A">
        <w:rPr>
          <w:rFonts w:cstheme="minorHAnsi"/>
          <w:lang w:val="en-GB"/>
        </w:rPr>
        <w:fldChar w:fldCharType="begin"/>
      </w:r>
      <w:r w:rsidRPr="0047272A">
        <w:rPr>
          <w:rFonts w:cstheme="minorHAnsi"/>
          <w:lang w:val="en-GB"/>
        </w:rPr>
        <w:instrText xml:space="preserve"> ADDIN ZOTERO_ITEM CSL_CITATION {"citationID":"zVrxVJYu","properties":{"formattedCitation":"\\super 34,35\\nosupersub{}","plainCitation":"34,35","noteIndex":0},"citationItems":[{"id":999,"uris":["http://zotero.org/users/9157291/items/QSNU36QI"],"itemData":{"id":999,"type":"article-journal","abstract":"Electrochemistry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M."}],"issued":{"date-parts":[["2022",10,27]]}}},{"id":998,"uris":["http://zotero.org/users/9157291/items/XLRY476D"],"itemData":{"id":998,"type":"article-journal","abstract":"Replacing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34,35</w:t>
      </w:r>
      <w:r w:rsidRPr="0047272A">
        <w:rPr>
          <w:rFonts w:cstheme="minorHAnsi"/>
          <w:lang w:val="en-GB"/>
        </w:rPr>
        <w:fldChar w:fldCharType="end"/>
      </w:r>
      <w:r w:rsidRPr="0047272A">
        <w:rPr>
          <w:lang w:val="en-GB"/>
        </w:rPr>
        <w:t xml:space="preserve">. </w:t>
      </w:r>
      <w:r w:rsidR="00612E4C">
        <w:rPr>
          <w:lang w:val="en-GB"/>
        </w:rPr>
        <w:t xml:space="preserve">From a wider perspective, </w:t>
      </w:r>
      <w:r w:rsidR="00612E4C" w:rsidRPr="0047272A">
        <w:rPr>
          <w:lang w:val="en-GB"/>
        </w:rPr>
        <w:t>the</w:t>
      </w:r>
      <w:r w:rsidRPr="0047272A">
        <w:rPr>
          <w:lang w:val="en-GB"/>
        </w:rPr>
        <w:t xml:space="preserve"> availability of different routes could realize a new scenario where green centralised and decentralised production units coexist. Small electrocatalytic reactors coupled to solar power, known as ammonia leaves</w:t>
      </w:r>
      <w:r w:rsidRPr="0047272A">
        <w:rPr>
          <w:rFonts w:cstheme="minorHAnsi"/>
          <w:lang w:val="en-GB"/>
        </w:rPr>
        <w:fldChar w:fldCharType="begin"/>
      </w:r>
      <w:r w:rsidRPr="0047272A">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Pr="0047272A">
        <w:rPr>
          <w:rFonts w:ascii="Cambria Math" w:hAnsi="Cambria Math" w:cs="Cambria Math"/>
          <w:lang w:val="en-GB"/>
        </w:rPr>
        <w:instrText>≫</w:instrText>
      </w:r>
      <w:r w:rsidRPr="0047272A">
        <w:rPr>
          <w:rFonts w:cstheme="minorHAnsi"/>
          <w:lang w:val="en-GB"/>
        </w:rPr>
        <w:instrText xml:space="preserve"> CO2 </w:instrText>
      </w:r>
      <w:r w:rsidRPr="0047272A">
        <w:rPr>
          <w:rFonts w:ascii="Calibri" w:hAnsi="Calibri" w:cs="Calibri"/>
          <w:lang w:val="en-GB"/>
        </w:rPr>
        <w:instrText>≥</w:instrText>
      </w:r>
      <w:r w:rsidRPr="0047272A">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36</w:t>
      </w:r>
      <w:r w:rsidRPr="0047272A">
        <w:rPr>
          <w:rFonts w:cstheme="minorHAnsi"/>
          <w:lang w:val="en-GB"/>
        </w:rPr>
        <w:fldChar w:fldCharType="end"/>
      </w:r>
      <w:r w:rsidRPr="0047272A">
        <w:rPr>
          <w:lang w:val="en-GB"/>
        </w:rPr>
        <w:t>, may open the door to direct production of fertilizers at croplands. However, direct electrocatalytic reduction of nitrogen is still impractical at an industrial scale, as research must overcome early challenges such as identifying reference catalysts</w:t>
      </w:r>
      <w:r w:rsidR="00561AC6" w:rsidRPr="0047272A">
        <w:rPr>
          <w:rFonts w:cstheme="minorHAnsi"/>
          <w:lang w:val="en-GB"/>
        </w:rPr>
        <w:fldChar w:fldCharType="begin"/>
      </w:r>
      <w:r w:rsidR="00561AC6" w:rsidRPr="0047272A">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561AC6" w:rsidRPr="0047272A">
        <w:rPr>
          <w:rFonts w:ascii="Cambria Math" w:hAnsi="Cambria Math" w:cs="Cambria Math"/>
          <w:lang w:val="en-GB"/>
        </w:rPr>
        <w:instrText>≫</w:instrText>
      </w:r>
      <w:r w:rsidR="00561AC6" w:rsidRPr="0047272A">
        <w:rPr>
          <w:rFonts w:cstheme="minorHAnsi"/>
          <w:lang w:val="en-GB"/>
        </w:rPr>
        <w:instrText xml:space="preserve"> CO2 </w:instrText>
      </w:r>
      <w:r w:rsidR="00561AC6" w:rsidRPr="0047272A">
        <w:rPr>
          <w:rFonts w:ascii="Calibri" w:hAnsi="Calibri" w:cs="Calibri"/>
          <w:lang w:val="en-GB"/>
        </w:rPr>
        <w:instrText>≥</w:instrText>
      </w:r>
      <w:r w:rsidR="00561AC6" w:rsidRPr="0047272A">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00561AC6" w:rsidRPr="0047272A">
        <w:rPr>
          <w:rFonts w:cstheme="minorHAnsi"/>
          <w:lang w:val="en-GB"/>
        </w:rPr>
        <w:fldChar w:fldCharType="separate"/>
      </w:r>
      <w:r w:rsidR="00561AC6" w:rsidRPr="0047272A">
        <w:rPr>
          <w:rFonts w:ascii="Calibri" w:hAnsi="Calibri" w:cs="Calibri"/>
          <w:szCs w:val="24"/>
          <w:vertAlign w:val="superscript"/>
          <w:lang w:val="en-GB"/>
        </w:rPr>
        <w:t>36</w:t>
      </w:r>
      <w:r w:rsidR="00561AC6" w:rsidRPr="0047272A">
        <w:rPr>
          <w:rFonts w:cstheme="minorHAnsi"/>
          <w:lang w:val="en-GB"/>
        </w:rPr>
        <w:fldChar w:fldCharType="end"/>
      </w:r>
      <w:r w:rsidRPr="0047272A">
        <w:rPr>
          <w:lang w:val="en-GB"/>
        </w:rPr>
        <w:t>. As for methanol synthesis, recent breakthrough discoveries of catalysts such as promoted indium oxide</w:t>
      </w:r>
      <w:r w:rsidRPr="0047272A">
        <w:rPr>
          <w:rFonts w:cstheme="minorHAnsi"/>
          <w:lang w:val="en-GB"/>
        </w:rPr>
        <w:fldChar w:fldCharType="begin"/>
      </w:r>
      <w:r w:rsidRPr="0047272A">
        <w:rPr>
          <w:rFonts w:cstheme="minorHAnsi"/>
          <w:lang w:val="en-GB"/>
        </w:rPr>
        <w:instrText xml:space="preserve"> ADDIN ZOTERO_ITEM CSL_CITATION {"citationID":"9YrmQOSN","properties":{"formattedCitation":"\\super 37,38\\nosupersub{}","plainCitation":"37,38","noteIndex":0},"citationItems":[{"id":25710,"uris":["http://zotero.org/users/9157291/items/VK34W2J4"],"itemData":{"id":25710,"type":"article-journal","abstract":"Methanol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 International Edition","DOI":"10.1002/anie.201600943","ISSN":"1521-3773","issue":"21","journalAbbreviation":"Angew. Chem., Int. Ed. Engl.","language":"en","note":"_eprint: https://onlinelibrary.wiley.com/doi/pdf/10.1002/anie.201600943","page":"6261-6265","source":"Wiley Online Library","title":"Indium Oxide as a Superior Catalyst for Methanol Synthesis by CO2 Hydrogenation","volume":"55","author":[{"family":"Martin","given":"Oliver"},{"family":"Martín","given":"Antonio J."},{"family":"Mondelli","given":"Cecilia"},{"family":"Mitchell","given":"Sharon"},{"family":"Segawa","given":"Takuya F."},{"family":"Hauert","given":"Roland"},{"family":"Drouilly","given":"Charlotte"},{"family":"Curulla-Ferré","given":"Daniel"},{"family":"Pérez-Ramírez","given":"Javier"}],"issued":{"date-parts":[["2016"]]}}},{"id":1002,"uris":["http://zotero.org/users/9157291/items/DUJ2VT33"],"itemData":{"id":1002,"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37,38</w:t>
      </w:r>
      <w:r w:rsidRPr="0047272A">
        <w:rPr>
          <w:rFonts w:cstheme="minorHAnsi"/>
          <w:lang w:val="en-GB"/>
        </w:rPr>
        <w:fldChar w:fldCharType="end"/>
      </w:r>
      <w:r w:rsidRPr="0047272A">
        <w:rPr>
          <w:lang w:val="en-GB"/>
        </w:rPr>
        <w:t xml:space="preserve"> or zinc-zirconium oxide</w:t>
      </w:r>
      <w:r w:rsidRPr="0047272A">
        <w:rPr>
          <w:rFonts w:cstheme="minorHAnsi"/>
          <w:lang w:val="en-GB"/>
        </w:rPr>
        <w:fldChar w:fldCharType="begin"/>
      </w:r>
      <w:r w:rsidRPr="0047272A">
        <w:rPr>
          <w:rFonts w:cstheme="minorHAnsi"/>
          <w:lang w:val="en-GB"/>
        </w:rPr>
        <w:instrText xml:space="preserve"> ADDIN ZOTERO_ITEM CSL_CITATION {"citationID":"tZ4iLRHP","properties":{"formattedCitation":"\\super 39\\nosupersub{}","plainCitation":"39","noteIndex":0},"citationItems":[{"id":1001,"uris":["http://zotero.org/users/9157291/items/GSWCS3NY"],"itemData":{"id":1001,"type":"article-journal","abstract":"Although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Advances","DOI":"10.1126/sciadv.1701290","issue":"10","journalAbbreviation":"Sci. Adv.","note":"publisher: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39</w:t>
      </w:r>
      <w:r w:rsidRPr="0047272A">
        <w:rPr>
          <w:rFonts w:cstheme="minorHAnsi"/>
          <w:lang w:val="en-GB"/>
        </w:rPr>
        <w:fldChar w:fldCharType="end"/>
      </w:r>
      <w:r w:rsidRPr="0047272A">
        <w:rPr>
          <w:lang w:val="en-GB"/>
        </w:rPr>
        <w:t xml:space="preserve"> have expanded the options for the direct hydrogenation of CO</w:t>
      </w:r>
      <w:r w:rsidRPr="0047272A">
        <w:rPr>
          <w:vertAlign w:val="subscript"/>
          <w:lang w:val="en-GB"/>
        </w:rPr>
        <w:t>2</w:t>
      </w:r>
      <w:r w:rsidRPr="0047272A">
        <w:rPr>
          <w:lang w:val="en-GB"/>
        </w:rPr>
        <w:t xml:space="preserve"> into methanol beyond traditional copper-based catalysts with insufficient selectivity and stability. These new materials must still prove increased activity while making further progress in stability and selectivity</w:t>
      </w:r>
      <w:r w:rsidRPr="0047272A">
        <w:rPr>
          <w:rFonts w:cstheme="minorHAnsi"/>
          <w:lang w:val="en-GB"/>
        </w:rPr>
        <w:fldChar w:fldCharType="begin"/>
      </w:r>
      <w:r w:rsidRPr="0047272A">
        <w:rPr>
          <w:rFonts w:cstheme="minorHAnsi"/>
          <w:lang w:val="en-GB"/>
        </w:rPr>
        <w:instrText xml:space="preserve"> ADDIN ZOTERO_ITEM CSL_CITATION {"citationID":"bnaoirAC","properties":{"formattedCitation":"\\super 40\\nosupersub{}","plainCitation":"40","noteIndex":0},"citationItems":[{"id":997,"uris":["http://zotero.org/users/9157291/items/CH6KXFUW"],"itemData":{"id":997,"type":"article-journal","abstract":"Flame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Materials","DOI":"10.1002/aenm.202270056","ISSN":"1614-6840","issue":"14","journalAbbreviation":"Adv. Energy Mater.","note":"_eprint: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40</w:t>
      </w:r>
      <w:r w:rsidRPr="0047272A">
        <w:rPr>
          <w:rFonts w:cstheme="minorHAnsi"/>
          <w:lang w:val="en-GB"/>
        </w:rPr>
        <w:fldChar w:fldCharType="end"/>
      </w:r>
      <w:r w:rsidRPr="0047272A">
        <w:rPr>
          <w:lang w:val="en-GB"/>
        </w:rPr>
        <w:t>. With the development of more active and selective copper electrocatalysts, it may be appealing to synthesize carbon products with direct use as fuels such as methanol or ethanol from CO</w:t>
      </w:r>
      <w:r w:rsidRPr="0047272A">
        <w:rPr>
          <w:vertAlign w:val="subscript"/>
          <w:lang w:val="en-GB"/>
        </w:rPr>
        <w:t>2</w:t>
      </w:r>
      <w:r w:rsidRPr="0047272A">
        <w:rPr>
          <w:lang w:val="en-GB"/>
        </w:rPr>
        <w:t xml:space="preserve"> on a small scale in artificial leaves</w:t>
      </w:r>
      <w:r w:rsidRPr="0047272A">
        <w:rPr>
          <w:rFonts w:cstheme="minorHAnsi"/>
          <w:lang w:val="en-GB"/>
        </w:rPr>
        <w:fldChar w:fldCharType="begin"/>
      </w:r>
      <w:r w:rsidRPr="0047272A">
        <w:rPr>
          <w:rFonts w:cstheme="minorHAnsi"/>
          <w:lang w:val="en-GB"/>
        </w:rPr>
        <w:instrText xml:space="preserve"> ADDIN ZOTERO_ITEM CSL_CITATION {"citationID":"iHpEFctL","properties":{"formattedCitation":"\\super 41\\nosupersub{}","plainCitation":"41","noteIndex":0},"citationItems":[{"id":1000,"uris":["http://zotero.org/users/9157291/items/L7BUP9ZA"],"itemData":{"id":1000,"type":"article-journal","abstract":"To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41</w:t>
      </w:r>
      <w:r w:rsidRPr="0047272A">
        <w:rPr>
          <w:rFonts w:cstheme="minorHAnsi"/>
          <w:lang w:val="en-GB"/>
        </w:rPr>
        <w:fldChar w:fldCharType="end"/>
      </w:r>
      <w:r w:rsidRPr="0047272A">
        <w:rPr>
          <w:lang w:val="en-GB"/>
        </w:rPr>
        <w:t>. Methanol has remained a minor product in the direct electrocatalytic conversion of CO</w:t>
      </w:r>
      <w:r w:rsidRPr="0047272A">
        <w:rPr>
          <w:vertAlign w:val="subscript"/>
          <w:lang w:val="en-GB"/>
        </w:rPr>
        <w:t>2</w:t>
      </w:r>
      <w:r w:rsidRPr="0047272A">
        <w:rPr>
          <w:lang w:val="en-GB"/>
        </w:rPr>
        <w:t>, though molybdenum-based catalysts have signalled promise for further development</w:t>
      </w:r>
      <w:r w:rsidRPr="0047272A">
        <w:rPr>
          <w:lang w:val="en-GB"/>
        </w:rPr>
        <w:fldChar w:fldCharType="begin"/>
      </w:r>
      <w:r w:rsidRPr="0047272A">
        <w:rPr>
          <w:lang w:val="en-GB"/>
        </w:rPr>
        <w:instrText xml:space="preserve"> ADDIN ZOTERO_ITEM CSL_CITATION {"citationID":"FHjUeszI","properties":{"formattedCitation":"\\super 42\\nosupersub{}","plainCitation":"42","noteIndex":0},"citationItems":[{"id":25707,"uris":["http://zotero.org/users/9157291/items/X67H25BG"],"itemData":{"id":25707,"type":"article-journal","abstract":"The reduction of carbon dioxide using electrochemical cells is an appealing technology to store renewable electricity in a chemical form. The preferential adsorption of oxygen over carbon atoms of intermediates could improve the methanol selectivity due to the retention of C–O bond. However, the adsorbent-surface interaction is mainly related to the d states of transition metals in catalysts, thus it is difficult to promote the formation of oxygen-bound intermediates without affecting the carbon affinity. This paper describes the construction of a molybdenum-based metal carbide catalyst that promotes the formation and adsorption of oxygen-bound intermediates, where the sp states in catalyst are enabled to participate in the bonding of intermediates. A high Faradaic efficiency of 80.4% for methanol is achieved at −1.1 V vs. the standard hydrogen electrode.","container-title":"Nature Communications","DOI":"10.1038/s41467-022-35450-8","ISSN":"2041-1723","issue":"1","journalAbbreviation":"Nat. Commun.","language":"en","license":"2022 The Author(s)","note":"number: 1\npublisher: Nature Publishing Group","page":"7768","source":"www.nature.com","title":"Selective CO2 electroreduction to methanol via enhanced oxygen bonding","volume":"13","author":[{"family":"Zhang","given":"Gong"},{"family":"Wang","given":"Tuo"},{"family":"Zhang","given":"Mengmeng"},{"family":"Li","given":"Lulu"},{"family":"Cheng","given":"Dongfang"},{"family":"Zhen","given":"Shiyu"},{"family":"Wang","given":"Yongtao"},{"family":"Qin","given":"Jian"},{"family":"Zhao","given":"Zhi-Jian"},{"family":"Gong","given":"Jinlong"}],"issued":{"date-parts":[["2022",12,15]]}}}],"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42</w:t>
      </w:r>
      <w:r w:rsidRPr="0047272A">
        <w:rPr>
          <w:lang w:val="en-GB"/>
        </w:rPr>
        <w:fldChar w:fldCharType="end"/>
      </w:r>
      <w:r w:rsidRPr="0047272A">
        <w:rPr>
          <w:lang w:val="en-GB"/>
        </w:rPr>
        <w:t>.</w:t>
      </w:r>
    </w:p>
    <w:p w14:paraId="0F6ACAC9" w14:textId="6647E601" w:rsidR="00AE3C28" w:rsidRDefault="008A3579" w:rsidP="00AA4E0B">
      <w:pPr>
        <w:jc w:val="both"/>
        <w:rPr>
          <w:rFonts w:cstheme="minorHAnsi"/>
          <w:iCs/>
          <w:lang w:val="en-GB"/>
        </w:rPr>
      </w:pPr>
      <w:r w:rsidRPr="0047272A">
        <w:rPr>
          <w:rFonts w:cstheme="minorHAnsi"/>
          <w:iCs/>
          <w:lang w:val="en-GB"/>
        </w:rPr>
        <w:t>Taken together, our findings indicate that the increasing energy prices in Europe have the potential to establish cost</w:t>
      </w:r>
      <w:r w:rsidR="00AD3107" w:rsidRPr="0047272A">
        <w:rPr>
          <w:rFonts w:cstheme="minorHAnsi"/>
          <w:iCs/>
          <w:lang w:val="en-GB"/>
        </w:rPr>
        <w:noBreakHyphen/>
      </w:r>
      <w:r w:rsidRPr="0047272A">
        <w:rPr>
          <w:rFonts w:cstheme="minorHAnsi"/>
          <w:iCs/>
          <w:lang w:val="en-GB"/>
        </w:rPr>
        <w:t>competitive green ammonia and methanol production routes, thus surmounting the primary obstacle to their execution. By embracing this transformation, the European chemical industry can assert itself as a leader in the global movement towards sustainable and environmentally responsible practices, while simultaneously reaping significant economic benefits in the long run.</w:t>
      </w:r>
    </w:p>
    <w:p w14:paraId="6D7BCED9" w14:textId="77777777" w:rsidR="00E825C8" w:rsidRPr="0047272A" w:rsidRDefault="00E825C8" w:rsidP="00E825C8">
      <w:pPr>
        <w:pStyle w:val="Heading2"/>
        <w:jc w:val="both"/>
      </w:pPr>
      <w:r w:rsidRPr="0047272A">
        <w:t>Methods</w:t>
      </w:r>
    </w:p>
    <w:p w14:paraId="41BB5830" w14:textId="5836C953" w:rsidR="00E825C8" w:rsidRPr="0047272A" w:rsidRDefault="00E825C8" w:rsidP="00E825C8">
      <w:pPr>
        <w:jc w:val="both"/>
        <w:rPr>
          <w:rFonts w:cstheme="minorHAnsi"/>
          <w:bCs/>
          <w:lang w:val="en-GB"/>
        </w:rPr>
      </w:pPr>
      <w:r w:rsidRPr="0047272A">
        <w:rPr>
          <w:rFonts w:cstheme="minorHAnsi"/>
          <w:b/>
          <w:bCs/>
          <w:lang w:val="en-GB"/>
        </w:rPr>
        <w:t xml:space="preserve">Economic assessment. </w:t>
      </w:r>
      <w:r w:rsidRPr="0047272A">
        <w:rPr>
          <w:rFonts w:cstheme="minorHAnsi"/>
          <w:bCs/>
          <w:lang w:val="en-GB"/>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Pr="0047272A">
        <w:rPr>
          <w:rFonts w:cstheme="minorHAnsi"/>
          <w:lang w:val="en-GB"/>
        </w:rPr>
        <w:t xml:space="preserve"> section 2 of the ESI.</w:t>
      </w:r>
      <w:r>
        <w:rPr>
          <w:rFonts w:cstheme="minorHAnsi"/>
          <w:lang w:val="en-GB"/>
        </w:rPr>
        <w:t xml:space="preserve"> </w:t>
      </w:r>
    </w:p>
    <w:p w14:paraId="4B32FEEE" w14:textId="77777777" w:rsidR="00E825C8" w:rsidRPr="0047272A" w:rsidRDefault="00E825C8" w:rsidP="00E825C8">
      <w:pPr>
        <w:jc w:val="both"/>
        <w:rPr>
          <w:rFonts w:eastAsiaTheme="minorEastAsia" w:cstheme="minorHAnsi"/>
          <w:i/>
          <w:lang w:val="en-GB"/>
        </w:rPr>
      </w:pPr>
      <w:r w:rsidRPr="0047272A">
        <w:rPr>
          <w:b/>
          <w:lang w:val="en-GB"/>
        </w:rPr>
        <w:t>Avoidance costs</w:t>
      </w:r>
      <w:r w:rsidRPr="0047272A">
        <w:rPr>
          <w:lang w:val="en-GB"/>
        </w:rPr>
        <w:t xml:space="preserve">. </w:t>
      </w:r>
      <w:r w:rsidRPr="0047272A">
        <w:rPr>
          <w:rFonts w:cstheme="minorHAnsi"/>
          <w:lang w:val="en-GB"/>
        </w:rPr>
        <w:t>The avoidance cost for each green chemical is as follows:</w:t>
      </w:r>
      <w:r w:rsidRPr="0047272A">
        <w:rPr>
          <w:rFonts w:eastAsiaTheme="minorEastAsia" w:cstheme="minorHAnsi"/>
          <w:i/>
          <w:lang w:val="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3"/>
        <w:gridCol w:w="1196"/>
      </w:tblGrid>
      <w:tr w:rsidR="00E825C8" w:rsidRPr="0047272A" w14:paraId="70F6984C" w14:textId="77777777" w:rsidTr="00245A55">
        <w:trPr>
          <w:trHeight w:val="620"/>
          <w:jc w:val="center"/>
        </w:trPr>
        <w:tc>
          <w:tcPr>
            <w:tcW w:w="0" w:type="auto"/>
          </w:tcPr>
          <w:p w14:paraId="7E6AD3F6" w14:textId="77777777" w:rsidR="00E825C8" w:rsidRPr="0047272A" w:rsidRDefault="00E825C8" w:rsidP="00245A55">
            <w:pPr>
              <w:jc w:val="center"/>
              <w:rPr>
                <w:rFonts w:eastAsiaTheme="minorEastAsia" w:cstheme="minorHAnsi"/>
                <w:b/>
                <w:i/>
                <w:lang w:val="en-GB"/>
              </w:rPr>
            </w:pPr>
            <w:r w:rsidRPr="0047272A">
              <w:rPr>
                <w:rFonts w:eastAsiaTheme="minorEastAsia" w:cstheme="minorHAnsi"/>
                <w:position w:val="-24"/>
                <w:lang w:val="en-GB"/>
              </w:rPr>
              <w:object w:dxaOrig="1939" w:dyaOrig="620" w14:anchorId="3EF8E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2pt;height:31.2pt" o:ole="">
                  <v:imagedata r:id="rId9" o:title=""/>
                </v:shape>
                <o:OLEObject Type="Embed" ProgID="Equation.DSMT4" ShapeID="_x0000_i1025" DrawAspect="Content" ObjectID="_1740556677" r:id="rId10"/>
              </w:object>
            </w:r>
          </w:p>
        </w:tc>
        <w:tc>
          <w:tcPr>
            <w:tcW w:w="0" w:type="auto"/>
            <w:vAlign w:val="center"/>
          </w:tcPr>
          <w:p w14:paraId="63528CF6" w14:textId="77777777" w:rsidR="00E825C8" w:rsidRPr="0047272A" w:rsidRDefault="00E825C8" w:rsidP="00245A55">
            <w:pPr>
              <w:jc w:val="center"/>
              <w:rPr>
                <w:rFonts w:eastAsiaTheme="minorEastAsia" w:cstheme="minorHAnsi"/>
                <w:b/>
                <w:iCs/>
                <w:lang w:val="en-GB"/>
              </w:rPr>
            </w:pPr>
            <w:r w:rsidRPr="0047272A">
              <w:rPr>
                <w:rFonts w:eastAsiaTheme="minorEastAsia" w:cstheme="minorHAnsi"/>
                <w:b/>
                <w:iCs/>
                <w:lang w:val="en-GB"/>
              </w:rPr>
              <w:t>Equation 1</w:t>
            </w:r>
          </w:p>
        </w:tc>
      </w:tr>
    </w:tbl>
    <w:p w14:paraId="3F3DA122" w14:textId="77777777" w:rsidR="00E825C8" w:rsidRPr="0047272A" w:rsidRDefault="00E825C8" w:rsidP="00E825C8">
      <w:pPr>
        <w:spacing w:before="240" w:after="0"/>
        <w:jc w:val="both"/>
        <w:rPr>
          <w:rFonts w:eastAsiaTheme="minorEastAsia" w:cstheme="minorHAnsi"/>
          <w:iCs/>
          <w:lang w:val="en-GB"/>
        </w:rPr>
      </w:pPr>
      <w:r w:rsidRPr="0047272A">
        <w:rPr>
          <w:rFonts w:eastAsiaTheme="minorEastAsia" w:cstheme="minorHAnsi"/>
          <w:iCs/>
          <w:lang w:val="en-GB"/>
        </w:rPr>
        <w:t xml:space="preserve">where AC is the avoidance cost in </w:t>
      </w:r>
      <w:r w:rsidRPr="0047272A">
        <w:rPr>
          <w:rFonts w:cstheme="minorHAnsi"/>
          <w:lang w:val="en-GB"/>
        </w:rPr>
        <w:t>USD kg</w:t>
      </w:r>
      <w:r w:rsidRPr="0047272A">
        <w:rPr>
          <w:rFonts w:cstheme="minorHAnsi"/>
          <w:vertAlign w:val="superscript"/>
          <w:lang w:val="en-GB"/>
        </w:rPr>
        <w:t xml:space="preserve">−1 </w:t>
      </w:r>
      <w:r w:rsidRPr="0047272A">
        <w:rPr>
          <w:rFonts w:cstheme="minorHAnsi"/>
          <w:lang w:val="en-GB"/>
        </w:rPr>
        <w:t>CO</w:t>
      </w:r>
      <w:r w:rsidRPr="0047272A">
        <w:rPr>
          <w:rFonts w:cstheme="minorHAnsi"/>
          <w:sz w:val="16"/>
          <w:szCs w:val="16"/>
          <w:vertAlign w:val="subscript"/>
          <w:lang w:val="en-GB"/>
        </w:rPr>
        <w:t>2</w:t>
      </w:r>
      <w:r w:rsidRPr="0047272A">
        <w:rPr>
          <w:rFonts w:cstheme="minorHAnsi"/>
          <w:lang w:val="en-GB"/>
        </w:rPr>
        <w:t>-eq</w:t>
      </w:r>
      <w:r w:rsidRPr="0047272A">
        <w:rPr>
          <w:rFonts w:cstheme="minorHAnsi"/>
          <w:sz w:val="18"/>
          <w:szCs w:val="18"/>
          <w:lang w:val="en-GB"/>
        </w:rPr>
        <w:t xml:space="preserve">, </w:t>
      </w:r>
      <m:oMath>
        <m:sSub>
          <m:sSubPr>
            <m:ctrlPr>
              <w:rPr>
                <w:rFonts w:ascii="Cambria Math" w:hAnsi="Cambria Math" w:cstheme="minorHAnsi"/>
                <w:lang w:val="en-GB"/>
              </w:rPr>
            </m:ctrlPr>
          </m:sSubPr>
          <m:e>
            <m:r>
              <m:rPr>
                <m:nor/>
              </m:rPr>
              <w:rPr>
                <w:rFonts w:cstheme="minorHAnsi"/>
                <w:lang w:val="en-GB"/>
              </w:rPr>
              <m:t>PC</m:t>
            </m:r>
          </m:e>
          <m:sub>
            <m:r>
              <m:rPr>
                <m:nor/>
              </m:rPr>
              <w:rPr>
                <w:rFonts w:ascii="Cambria Math" w:cstheme="minorHAnsi"/>
                <w:lang w:val="en-GB"/>
              </w:rPr>
              <m:t>Fossil/</m:t>
            </m:r>
            <m:r>
              <m:rPr>
                <m:nor/>
              </m:rPr>
              <w:rPr>
                <w:rFonts w:cstheme="minorHAnsi"/>
                <w:lang w:val="en-GB"/>
              </w:rPr>
              <m:t>Green</m:t>
            </m:r>
            <m:r>
              <m:rPr>
                <m:nor/>
              </m:rPr>
              <w:rPr>
                <w:rFonts w:ascii="Cambria Math" w:cstheme="minorHAnsi"/>
                <w:lang w:val="en-GB"/>
              </w:rPr>
              <m:t xml:space="preserve"> </m:t>
            </m:r>
          </m:sub>
        </m:sSub>
      </m:oMath>
      <w:r w:rsidRPr="0047272A">
        <w:rPr>
          <w:rFonts w:eastAsiaTheme="minorEastAsia" w:cstheme="minorHAnsi"/>
          <w:iCs/>
          <w:lang w:val="en-GB"/>
        </w:rPr>
        <w:t>represents the production cost in USD kg</w:t>
      </w:r>
      <w:r w:rsidRPr="0047272A">
        <w:rPr>
          <w:rFonts w:cstheme="minorHAnsi"/>
          <w:vertAlign w:val="superscript"/>
          <w:lang w:val="en-GB"/>
        </w:rPr>
        <w:t>−</w:t>
      </w:r>
      <w:r w:rsidRPr="0047272A">
        <w:rPr>
          <w:rFonts w:eastAsiaTheme="minorEastAsia" w:cstheme="minorHAnsi"/>
          <w:iCs/>
          <w:vertAlign w:val="superscript"/>
          <w:lang w:val="en-GB"/>
        </w:rPr>
        <w:t xml:space="preserve">1 </w:t>
      </w:r>
      <w:r w:rsidRPr="0047272A">
        <w:rPr>
          <w:rFonts w:eastAsiaTheme="minorEastAsia" w:cstheme="minorHAnsi"/>
          <w:iCs/>
          <w:lang w:val="en-GB"/>
        </w:rPr>
        <w:t xml:space="preserve">for the fossil and green routes, and </w:t>
      </w:r>
      <m:oMath>
        <m:sSub>
          <m:sSubPr>
            <m:ctrlPr>
              <w:rPr>
                <w:rFonts w:ascii="Cambria Math" w:hAnsi="Cambria Math" w:cstheme="minorHAnsi"/>
                <w:lang w:val="en-GB"/>
              </w:rPr>
            </m:ctrlPr>
          </m:sSubPr>
          <m:e>
            <m:r>
              <m:rPr>
                <m:nor/>
              </m:rPr>
              <w:rPr>
                <w:rFonts w:cstheme="minorHAnsi"/>
                <w:lang w:val="en-GB"/>
              </w:rPr>
              <m:t>CF</m:t>
            </m:r>
          </m:e>
          <m:sub>
            <m:r>
              <m:rPr>
                <m:nor/>
              </m:rPr>
              <w:rPr>
                <w:rFonts w:ascii="Cambria Math" w:cstheme="minorHAnsi"/>
                <w:lang w:val="en-GB"/>
              </w:rPr>
              <m:t>Fossil/</m:t>
            </m:r>
            <m:r>
              <m:rPr>
                <m:nor/>
              </m:rPr>
              <w:rPr>
                <w:rFonts w:cstheme="minorHAnsi"/>
                <w:lang w:val="en-GB"/>
              </w:rPr>
              <m:t>Green</m:t>
            </m:r>
          </m:sub>
        </m:sSub>
      </m:oMath>
      <w:r w:rsidRPr="0047272A">
        <w:rPr>
          <w:rFonts w:eastAsiaTheme="minorEastAsia" w:cstheme="minorHAnsi"/>
          <w:iCs/>
          <w:vertAlign w:val="subscript"/>
          <w:lang w:val="en-GB"/>
        </w:rPr>
        <w:t xml:space="preserve"> </w:t>
      </w:r>
      <w:r w:rsidRPr="0047272A">
        <w:rPr>
          <w:rFonts w:eastAsiaTheme="minorEastAsia" w:cstheme="minorHAnsi"/>
          <w:iCs/>
          <w:lang w:val="en-GB"/>
        </w:rPr>
        <w:t xml:space="preserve">represents the carbon footprint in kg </w:t>
      </w:r>
      <w:r w:rsidRPr="0047272A">
        <w:rPr>
          <w:rFonts w:cstheme="minorHAnsi"/>
          <w:lang w:val="en-GB"/>
        </w:rPr>
        <w:t>CO</w:t>
      </w:r>
      <w:r w:rsidRPr="0047272A">
        <w:rPr>
          <w:rFonts w:cstheme="minorHAnsi"/>
          <w:sz w:val="16"/>
          <w:szCs w:val="16"/>
          <w:vertAlign w:val="subscript"/>
          <w:lang w:val="en-GB"/>
        </w:rPr>
        <w:t>2</w:t>
      </w:r>
      <w:r w:rsidRPr="0047272A">
        <w:rPr>
          <w:rFonts w:cstheme="minorHAnsi"/>
          <w:lang w:val="en-GB"/>
        </w:rPr>
        <w:t>-eq</w:t>
      </w:r>
      <w:r w:rsidRPr="0047272A">
        <w:rPr>
          <w:rFonts w:eastAsiaTheme="minorEastAsia" w:cstheme="minorHAnsi"/>
          <w:iCs/>
          <w:lang w:val="en-GB"/>
        </w:rPr>
        <w:t xml:space="preserve"> kg</w:t>
      </w:r>
      <w:r w:rsidRPr="0047272A">
        <w:rPr>
          <w:rFonts w:cstheme="minorHAnsi"/>
          <w:vertAlign w:val="superscript"/>
          <w:lang w:val="en-GB"/>
        </w:rPr>
        <w:t>−</w:t>
      </w:r>
      <w:r w:rsidRPr="0047272A">
        <w:rPr>
          <w:rFonts w:eastAsiaTheme="minorEastAsia" w:cstheme="minorHAnsi"/>
          <w:iCs/>
          <w:vertAlign w:val="superscript"/>
          <w:lang w:val="en-GB"/>
        </w:rPr>
        <w:t>1</w:t>
      </w:r>
      <w:r w:rsidRPr="0047272A">
        <w:rPr>
          <w:rFonts w:eastAsiaTheme="minorEastAsia" w:cstheme="minorHAnsi"/>
          <w:iCs/>
          <w:lang w:val="en-GB"/>
        </w:rPr>
        <w:t xml:space="preserve">. </w:t>
      </w:r>
    </w:p>
    <w:p w14:paraId="3A5B6334" w14:textId="77777777" w:rsidR="00E825C8" w:rsidRDefault="00E825C8" w:rsidP="00E825C8">
      <w:pPr>
        <w:spacing w:after="0"/>
        <w:jc w:val="both"/>
        <w:rPr>
          <w:rFonts w:eastAsiaTheme="minorEastAsia" w:cstheme="minorHAnsi"/>
          <w:iCs/>
          <w:lang w:val="en-GB"/>
        </w:rPr>
      </w:pPr>
    </w:p>
    <w:p w14:paraId="67205625" w14:textId="77777777" w:rsidR="006F59DF" w:rsidRDefault="00E825C8" w:rsidP="006F59DF">
      <w:pPr>
        <w:spacing w:after="0"/>
        <w:jc w:val="both"/>
        <w:rPr>
          <w:lang w:val="en-GB"/>
        </w:rPr>
      </w:pPr>
      <w:r w:rsidRPr="0047272A">
        <w:rPr>
          <w:rFonts w:eastAsiaTheme="minorEastAsia" w:cstheme="minorHAnsi"/>
          <w:iCs/>
          <w:lang w:val="en-GB"/>
        </w:rPr>
        <w:t>We estimate the chemicals carbon footprint with an attributional life cycle assessment (LCA) in accordance with the ISO 14040/14044 standards</w:t>
      </w:r>
      <w:r w:rsidRPr="0047272A">
        <w:rPr>
          <w:lang w:val="en-GB"/>
        </w:rPr>
        <w:fldChar w:fldCharType="begin"/>
      </w:r>
      <w:r w:rsidRPr="0047272A">
        <w:rPr>
          <w:lang w:val="en-GB"/>
        </w:rPr>
        <w:instrText xml:space="preserve"> ADDIN ZOTERO_ITEM CSL_CITATION {"citationID":"YqA10csG","properties":{"formattedCitation":"\\super 43,44\\nosupersub{}","plainCitation":"43,44","noteIndex":0},"citationItems":[{"id":980,"uris":["http://zotero.org/users/9157291/items/8THP7CZS"],"itemData":{"id":980,"type":"report","page":"2020","title":"Environmental management — Life cycle assessment — Principles and framework","author":[{"family":"ISO 14040:2006","given":""}],"issued":{"date-parts":[["2006"]]}}},{"id":981,"uris":["http://zotero.org/users/9157291/items/LVIHQH94"],"itemData":{"id":981,"type":"report","page":"2020","title":"Environmental management — Life cycle assessment — Requirements and guidelines","author":[{"family":"ISO 14044:2006","given":""}],"issued":{"date-parts":[["2006"]]}}}],"schema":"https://github.com/citation-style-language/schema/raw/master/csl-citation.json"}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43,44</w:t>
      </w:r>
      <w:r w:rsidRPr="0047272A">
        <w:rPr>
          <w:lang w:val="en-GB"/>
        </w:rPr>
        <w:fldChar w:fldCharType="end"/>
      </w:r>
      <w:r w:rsidRPr="0047272A">
        <w:rPr>
          <w:rFonts w:eastAsiaTheme="minorEastAsia" w:cstheme="minorHAnsi"/>
          <w:iCs/>
          <w:lang w:val="en-GB"/>
        </w:rPr>
        <w:t>. LCA quantifies environmental impacts over the life cycle of products, from raw materials extraction to end-user disposal</w:t>
      </w:r>
      <w:r w:rsidRPr="0047272A">
        <w:rPr>
          <w:lang w:val="en-GB"/>
        </w:rPr>
        <w:fldChar w:fldCharType="begin"/>
      </w:r>
      <w:r w:rsidRPr="0047272A">
        <w:rPr>
          <w:lang w:val="en-GB"/>
        </w:rPr>
        <w:instrText xml:space="preserve"> ADDIN ZOTERO_ITEM CSL_CITATION {"citationID":"wYvYfYmm","properties":{"formattedCitation":"\\super 45\\nosupersub{}","plainCitation":"45","noteIndex":0},"citationItems":[{"id":677,"uris":["http://zotero.org/users/9157291/items/5YE28A2T"],"itemData":{"id":677,"type":"article-journal","abstract":"In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45</w:t>
      </w:r>
      <w:r w:rsidRPr="0047272A">
        <w:rPr>
          <w:lang w:val="en-GB"/>
        </w:rPr>
        <w:fldChar w:fldCharType="end"/>
      </w:r>
      <w:r w:rsidRPr="0047272A">
        <w:rPr>
          <w:lang w:val="en-GB"/>
        </w:rPr>
        <w:t>. The functional unit for the LCA is defined as “the production of 1 kg chemicals (ammonia or methanol)”. The scope of the assessment is cradle-to-gate, meaning that the burdens considered cover all the stages from the extraction of raw materials (</w:t>
      </w:r>
      <w:r w:rsidRPr="0047272A">
        <w:rPr>
          <w:i/>
          <w:lang w:val="en-GB"/>
        </w:rPr>
        <w:t>e.g.</w:t>
      </w:r>
      <w:r w:rsidRPr="0047272A">
        <w:rPr>
          <w:lang w:val="en-GB"/>
        </w:rPr>
        <w:t xml:space="preserve">, natural gas) to the production of the chemicals. The mass and energy flows for the production routes were primarily obtained from </w:t>
      </w:r>
      <w:r w:rsidRPr="0047272A">
        <w:rPr>
          <w:rFonts w:cstheme="minorHAnsi"/>
          <w:lang w:val="en-GB"/>
        </w:rPr>
        <w:t xml:space="preserve">D’Angelo </w:t>
      </w:r>
      <w:r w:rsidRPr="0047272A">
        <w:rPr>
          <w:rFonts w:cstheme="minorHAnsi"/>
          <w:i/>
          <w:lang w:val="en-GB"/>
        </w:rPr>
        <w:t>et al.</w:t>
      </w:r>
      <w:r w:rsidRPr="0047272A">
        <w:rPr>
          <w:rFonts w:cstheme="minorHAnsi"/>
          <w:i/>
          <w:lang w:val="en-GB"/>
        </w:rPr>
        <w:fldChar w:fldCharType="begin"/>
      </w:r>
      <w:r w:rsidRPr="0047272A">
        <w:rPr>
          <w:rFonts w:cstheme="minorHAnsi"/>
          <w:i/>
          <w:lang w:val="en-GB"/>
        </w:rPr>
        <w:instrText xml:space="preserve"> ADDIN ZOTERO_ITEM CSL_CITATION {"citationID":"VXxpLMcX","properties":{"formattedCitation":"\\super 15\\nosupersub{}","plainCitation":"15","noteIndex":0},"citationItems":[{"id":684,"uris":["http://zotero.org/users/9157291/items/AFKW7KRC"],"itemData":{"id":684,"type":"article-journal","abstract":"At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47272A">
        <w:rPr>
          <w:rFonts w:cstheme="minorHAnsi"/>
          <w:i/>
          <w:lang w:val="en-GB"/>
        </w:rPr>
        <w:fldChar w:fldCharType="separate"/>
      </w:r>
      <w:r w:rsidRPr="0047272A">
        <w:rPr>
          <w:rFonts w:ascii="Calibri" w:hAnsi="Calibri" w:cs="Calibri"/>
          <w:szCs w:val="24"/>
          <w:vertAlign w:val="superscript"/>
          <w:lang w:val="en-GB"/>
        </w:rPr>
        <w:t>15</w:t>
      </w:r>
      <w:r w:rsidRPr="0047272A">
        <w:rPr>
          <w:rFonts w:cstheme="minorHAnsi"/>
          <w:i/>
          <w:lang w:val="en-GB"/>
        </w:rPr>
        <w:fldChar w:fldCharType="end"/>
      </w:r>
      <w:r w:rsidRPr="0047272A">
        <w:rPr>
          <w:rFonts w:cstheme="minorHAnsi"/>
          <w:i/>
          <w:lang w:val="en-GB"/>
        </w:rPr>
        <w:t xml:space="preserve"> </w:t>
      </w:r>
      <w:r w:rsidRPr="0047272A">
        <w:rPr>
          <w:lang w:val="en-GB"/>
        </w:rPr>
        <w:t xml:space="preserve">and </w:t>
      </w:r>
      <w:r w:rsidRPr="0047272A">
        <w:rPr>
          <w:rFonts w:cstheme="minorHAnsi"/>
          <w:lang w:val="en-GB"/>
        </w:rPr>
        <w:t xml:space="preserve">González-Garay </w:t>
      </w:r>
      <w:r w:rsidRPr="0047272A">
        <w:rPr>
          <w:rFonts w:cstheme="minorHAnsi"/>
          <w:i/>
          <w:lang w:val="en-GB"/>
        </w:rPr>
        <w:t>et al.</w:t>
      </w:r>
      <w:r w:rsidRPr="0047272A">
        <w:rPr>
          <w:rFonts w:cstheme="minorHAnsi"/>
          <w:i/>
          <w:lang w:val="en-GB"/>
        </w:rPr>
        <w:fldChar w:fldCharType="begin"/>
      </w:r>
      <w:r w:rsidRPr="0047272A">
        <w:rPr>
          <w:rFonts w:cstheme="minorHAnsi"/>
          <w:i/>
          <w:lang w:val="en-GB"/>
        </w:rPr>
        <w:instrText xml:space="preserve"> ADDIN ZOTERO_ITEM CSL_CITATION {"citationID":"xRwYEfTg","properties":{"formattedCitation":"\\super 20\\nosupersub{}","plainCitation":"20","noteIndex":0},"citationItems":[{"id":681,"uris":["http://zotero.org/users/9157291/items/GTFADUPK"],"itemData":{"id":681,"type":"article-journal","abstract":"The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47272A">
        <w:rPr>
          <w:rFonts w:cstheme="minorHAnsi"/>
          <w:i/>
          <w:lang w:val="en-GB"/>
        </w:rPr>
        <w:fldChar w:fldCharType="separate"/>
      </w:r>
      <w:r w:rsidRPr="0047272A">
        <w:rPr>
          <w:rFonts w:ascii="Calibri" w:hAnsi="Calibri" w:cs="Calibri"/>
          <w:szCs w:val="24"/>
          <w:vertAlign w:val="superscript"/>
          <w:lang w:val="en-GB"/>
        </w:rPr>
        <w:t>20</w:t>
      </w:r>
      <w:r w:rsidRPr="0047272A">
        <w:rPr>
          <w:rFonts w:cstheme="minorHAnsi"/>
          <w:i/>
          <w:lang w:val="en-GB"/>
        </w:rPr>
        <w:fldChar w:fldCharType="end"/>
      </w:r>
      <w:r w:rsidRPr="0047272A">
        <w:rPr>
          <w:rFonts w:cstheme="minorHAnsi"/>
          <w:lang w:val="en-GB"/>
        </w:rPr>
        <w:t>, as described above.</w:t>
      </w:r>
      <w:r w:rsidRPr="0047272A">
        <w:rPr>
          <w:lang w:val="en-GB"/>
        </w:rPr>
        <w:t xml:space="preserve"> Data for the background system (</w:t>
      </w:r>
      <w:r w:rsidRPr="0047272A">
        <w:rPr>
          <w:i/>
          <w:lang w:val="en-GB"/>
        </w:rPr>
        <w:t>e.g.</w:t>
      </w:r>
      <w:r w:rsidRPr="0047272A">
        <w:rPr>
          <w:lang w:val="en-GB"/>
        </w:rPr>
        <w:t>, natural gas and electricity supply) were obtained from the Ecoinvent v3.5 database</w:t>
      </w:r>
      <w:r w:rsidRPr="0047272A">
        <w:rPr>
          <w:lang w:val="en-GB"/>
        </w:rPr>
        <w:fldChar w:fldCharType="begin"/>
      </w:r>
      <w:r w:rsidRPr="0047272A">
        <w:rPr>
          <w:lang w:val="en-GB"/>
        </w:rPr>
        <w:instrText xml:space="preserve"> ADDIN ZOTERO_ITEM CSL_CITATION {"citationID":"JU3ZCGo0","properties":{"formattedCitation":"\\super 46\\nosupersub{}","plainCitation":"46","noteIndex":0},"citationItems":[{"id":463,"uris":["http://zotero.org/users/9157291/items/ED4WDBP2"],"itemData":{"id":463,"type":"article-journal","abstract":"Purpose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46</w:t>
      </w:r>
      <w:r w:rsidRPr="0047272A">
        <w:rPr>
          <w:lang w:val="en-GB"/>
        </w:rPr>
        <w:fldChar w:fldCharType="end"/>
      </w:r>
      <w:r w:rsidRPr="0047272A">
        <w:rPr>
          <w:lang w:val="en-GB"/>
        </w:rPr>
        <w:t>. Regarding the climate impact assessment, we consider the 100-year global warming potentials (GWPs) as implemented in the ReCiPe 2016 methodology</w:t>
      </w:r>
      <w:r w:rsidRPr="0047272A">
        <w:rPr>
          <w:lang w:val="en-GB"/>
        </w:rPr>
        <w:fldChar w:fldCharType="begin"/>
      </w:r>
      <w:r w:rsidRPr="0047272A">
        <w:rPr>
          <w:lang w:val="en-GB"/>
        </w:rPr>
        <w:instrText xml:space="preserve"> ADDIN ZOTERO_ITEM CSL_CITATION {"citationID":"DBi8jiTE","properties":{"formattedCitation":"\\super 47\\nosupersub{}","plainCitation":"47","noteIndex":0},"citationItems":[{"id":798,"uris":["http://zotero.org/users/9157291/items/BPUY94KP"],"itemData":{"id":798,"type":"article-journal","abstract":"Life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47</w:t>
      </w:r>
      <w:r w:rsidRPr="0047272A">
        <w:rPr>
          <w:lang w:val="en-GB"/>
        </w:rPr>
        <w:fldChar w:fldCharType="end"/>
      </w:r>
      <w:r w:rsidRPr="0047272A">
        <w:rPr>
          <w:lang w:val="en-GB"/>
        </w:rPr>
        <w:t>.</w:t>
      </w:r>
    </w:p>
    <w:p w14:paraId="7F6F9FCD" w14:textId="6877CF0A" w:rsidR="00AE3C28" w:rsidRPr="004538C8" w:rsidRDefault="006F59DF" w:rsidP="006F59DF">
      <w:pPr>
        <w:pStyle w:val="Heading3"/>
        <w:rPr>
          <w:rFonts w:cstheme="minorBidi"/>
          <w:u w:val="single"/>
        </w:rPr>
      </w:pPr>
      <w:r w:rsidRPr="004538C8">
        <w:rPr>
          <w:u w:val="single"/>
        </w:rPr>
        <w:lastRenderedPageBreak/>
        <w:t>Figures</w:t>
      </w:r>
    </w:p>
    <w:p w14:paraId="005650F0" w14:textId="77777777" w:rsidR="00AE3C28" w:rsidRPr="0047272A" w:rsidRDefault="00AE3C28" w:rsidP="00AE3C28">
      <w:pPr>
        <w:keepNext/>
        <w:spacing w:after="0"/>
        <w:jc w:val="center"/>
        <w:rPr>
          <w:lang w:val="en-GB"/>
        </w:rPr>
      </w:pPr>
      <w:r w:rsidRPr="0047272A">
        <w:rPr>
          <w:noProof/>
          <w:sz w:val="16"/>
          <w:szCs w:val="16"/>
          <w:lang w:val="en-GB"/>
        </w:rPr>
        <w:drawing>
          <wp:inline distT="0" distB="0" distL="0" distR="0" wp14:anchorId="627D3693" wp14:editId="505E2A34">
            <wp:extent cx="5752350" cy="3147828"/>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1a (version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2350" cy="3147828"/>
                    </a:xfrm>
                    <a:prstGeom prst="rect">
                      <a:avLst/>
                    </a:prstGeom>
                  </pic:spPr>
                </pic:pic>
              </a:graphicData>
            </a:graphic>
          </wp:inline>
        </w:drawing>
      </w:r>
    </w:p>
    <w:p w14:paraId="0A6BBEA3" w14:textId="62978351" w:rsidR="00AE3C28" w:rsidRPr="0047272A" w:rsidRDefault="00AE3C28" w:rsidP="00AE3C28">
      <w:pPr>
        <w:pStyle w:val="Caption"/>
        <w:jc w:val="both"/>
        <w:rPr>
          <w:rFonts w:cstheme="minorHAnsi"/>
          <w:i w:val="0"/>
          <w:color w:val="auto"/>
          <w:sz w:val="20"/>
        </w:rPr>
      </w:pPr>
      <w:bookmarkStart w:id="3" w:name="_Ref129860436"/>
      <w:r w:rsidRPr="0047272A">
        <w:rPr>
          <w:b/>
          <w:i w:val="0"/>
          <w:color w:val="auto"/>
          <w:sz w:val="20"/>
          <w:szCs w:val="20"/>
        </w:rPr>
        <w:t xml:space="preserve">Figure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1</w:t>
      </w:r>
      <w:r w:rsidRPr="0047272A">
        <w:rPr>
          <w:b/>
          <w:i w:val="0"/>
          <w:color w:val="auto"/>
          <w:sz w:val="20"/>
          <w:szCs w:val="20"/>
        </w:rPr>
        <w:fldChar w:fldCharType="end"/>
      </w:r>
      <w:bookmarkEnd w:id="3"/>
      <w:r w:rsidRPr="0047272A">
        <w:rPr>
          <w:b/>
          <w:i w:val="0"/>
          <w:color w:val="auto"/>
          <w:sz w:val="20"/>
          <w:szCs w:val="20"/>
        </w:rPr>
        <w:t>. Natural gas spot prices and production cost for fossil ammonia and methanol in Europe.</w:t>
      </w:r>
      <w:r w:rsidRPr="0047272A">
        <w:rPr>
          <w:i w:val="0"/>
          <w:color w:val="auto"/>
          <w:sz w:val="20"/>
        </w:rPr>
        <w:t xml:space="preserve"> </w:t>
      </w:r>
      <w:r w:rsidRPr="00B727EA">
        <w:rPr>
          <w:b/>
          <w:bCs/>
          <w:i w:val="0"/>
          <w:color w:val="auto"/>
          <w:sz w:val="20"/>
        </w:rPr>
        <w:t>(a)</w:t>
      </w:r>
      <w:r w:rsidRPr="0047272A">
        <w:rPr>
          <w:i w:val="0"/>
          <w:color w:val="auto"/>
          <w:sz w:val="20"/>
        </w:rPr>
        <w:t xml:space="preserve"> Fossil ammonia produced </w:t>
      </w:r>
      <w:r w:rsidRPr="0047272A">
        <w:rPr>
          <w:color w:val="auto"/>
          <w:sz w:val="20"/>
        </w:rPr>
        <w:t>via</w:t>
      </w:r>
      <w:r w:rsidRPr="0047272A">
        <w:rPr>
          <w:i w:val="0"/>
          <w:color w:val="auto"/>
          <w:sz w:val="20"/>
        </w:rPr>
        <w:t xml:space="preserve"> the Haber-Bosch process with grey hydrogen obtained from natural gas as feedstock. </w:t>
      </w:r>
      <w:r w:rsidRPr="0047272A">
        <w:rPr>
          <w:b/>
          <w:bCs/>
          <w:i w:val="0"/>
          <w:color w:val="auto"/>
          <w:sz w:val="20"/>
        </w:rPr>
        <w:t>(b)</w:t>
      </w:r>
      <w:r w:rsidRPr="0047272A">
        <w:rPr>
          <w:i w:val="0"/>
          <w:color w:val="auto"/>
          <w:sz w:val="20"/>
        </w:rPr>
        <w:t xml:space="preserve"> Fossil methanol synthesised through syngas obtained from natural gas. Process simulations contain the necessary information for economic calculations (CAPEX and OPEX). Calculations were performed considering the effect of inflation and the monthly fluctuations in natural gas and electricity prices (the evolution of electricity prices in Europe is displayed in </w:t>
      </w:r>
      <w:r w:rsidRPr="00B727EA">
        <w:rPr>
          <w:b/>
          <w:i w:val="0"/>
          <w:color w:val="auto"/>
          <w:sz w:val="20"/>
        </w:rPr>
        <w:t>Figure S</w:t>
      </w:r>
      <w:r w:rsidR="005B3FBE">
        <w:rPr>
          <w:b/>
          <w:i w:val="0"/>
          <w:color w:val="auto"/>
          <w:sz w:val="20"/>
        </w:rPr>
        <w:t>5</w:t>
      </w:r>
      <w:r w:rsidRPr="0047272A">
        <w:rPr>
          <w:i w:val="0"/>
          <w:color w:val="auto"/>
          <w:sz w:val="20"/>
        </w:rPr>
        <w:t xml:space="preserve">). Monthly analyses are available in </w:t>
      </w:r>
      <w:r w:rsidR="00E453B6">
        <w:rPr>
          <w:b/>
          <w:i w:val="0"/>
          <w:color w:val="auto"/>
          <w:sz w:val="20"/>
        </w:rPr>
        <w:t>Figure S6</w:t>
      </w:r>
      <w:bookmarkStart w:id="4" w:name="_GoBack"/>
      <w:bookmarkEnd w:id="4"/>
      <w:r w:rsidRPr="0047272A">
        <w:rPr>
          <w:i w:val="0"/>
          <w:color w:val="auto"/>
          <w:sz w:val="20"/>
        </w:rPr>
        <w:t>.</w:t>
      </w:r>
    </w:p>
    <w:p w14:paraId="11152564" w14:textId="77777777" w:rsidR="00AE3C28" w:rsidRPr="0047272A" w:rsidRDefault="00AE3C28" w:rsidP="00AE3C28">
      <w:pPr>
        <w:keepNext/>
        <w:spacing w:after="0"/>
        <w:jc w:val="center"/>
        <w:rPr>
          <w:lang w:val="en-GB"/>
        </w:rPr>
      </w:pPr>
      <w:r w:rsidRPr="0047272A">
        <w:rPr>
          <w:rFonts w:cstheme="minorHAnsi"/>
          <w:noProof/>
          <w:lang w:val="en-GB"/>
        </w:rPr>
        <w:lastRenderedPageBreak/>
        <w:drawing>
          <wp:inline distT="0" distB="0" distL="0" distR="0" wp14:anchorId="337AF55A" wp14:editId="0F2341A9">
            <wp:extent cx="5577851" cy="711099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rada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7851" cy="7110998"/>
                    </a:xfrm>
                    <a:prstGeom prst="rect">
                      <a:avLst/>
                    </a:prstGeom>
                  </pic:spPr>
                </pic:pic>
              </a:graphicData>
            </a:graphic>
          </wp:inline>
        </w:drawing>
      </w:r>
    </w:p>
    <w:p w14:paraId="73483089" w14:textId="6DA7B045" w:rsidR="00AE3C28" w:rsidRPr="0047272A" w:rsidRDefault="00AE3C28" w:rsidP="00AE3C28">
      <w:pPr>
        <w:jc w:val="both"/>
        <w:rPr>
          <w:sz w:val="20"/>
          <w:szCs w:val="20"/>
          <w:lang w:val="en-GB"/>
        </w:rPr>
      </w:pPr>
      <w:bookmarkStart w:id="5" w:name="_Ref129860559"/>
      <w:r w:rsidRPr="0047272A">
        <w:rPr>
          <w:b/>
          <w:sz w:val="20"/>
          <w:szCs w:val="20"/>
          <w:lang w:val="en-GB"/>
        </w:rPr>
        <w:t>Fig</w:t>
      </w:r>
      <w:r w:rsidR="005E3244" w:rsidRPr="0047272A">
        <w:rPr>
          <w:b/>
          <w:sz w:val="20"/>
          <w:szCs w:val="20"/>
          <w:lang w:val="en-GB"/>
        </w:rPr>
        <w:t>ure</w:t>
      </w:r>
      <w:r w:rsidRPr="0047272A">
        <w:rPr>
          <w:b/>
          <w:sz w:val="20"/>
          <w:szCs w:val="20"/>
          <w:lang w:val="en-GB"/>
        </w:rPr>
        <w:t xml:space="preserve"> </w:t>
      </w:r>
      <w:r w:rsidRPr="0047272A">
        <w:rPr>
          <w:b/>
          <w:sz w:val="20"/>
          <w:szCs w:val="20"/>
          <w:lang w:val="en-GB"/>
        </w:rPr>
        <w:fldChar w:fldCharType="begin"/>
      </w:r>
      <w:r w:rsidRPr="0047272A">
        <w:rPr>
          <w:b/>
          <w:sz w:val="20"/>
          <w:szCs w:val="20"/>
          <w:lang w:val="en-GB"/>
        </w:rPr>
        <w:instrText xml:space="preserve"> SEQ Fig._ \* ARABIC </w:instrText>
      </w:r>
      <w:r w:rsidRPr="0047272A">
        <w:rPr>
          <w:b/>
          <w:sz w:val="20"/>
          <w:szCs w:val="20"/>
          <w:lang w:val="en-GB"/>
        </w:rPr>
        <w:fldChar w:fldCharType="separate"/>
      </w:r>
      <w:r w:rsidR="00FF0FC0">
        <w:rPr>
          <w:b/>
          <w:noProof/>
          <w:sz w:val="20"/>
          <w:szCs w:val="20"/>
          <w:lang w:val="en-GB"/>
        </w:rPr>
        <w:t>2</w:t>
      </w:r>
      <w:r w:rsidRPr="0047272A">
        <w:rPr>
          <w:b/>
          <w:sz w:val="20"/>
          <w:szCs w:val="20"/>
          <w:lang w:val="en-GB"/>
        </w:rPr>
        <w:fldChar w:fldCharType="end"/>
      </w:r>
      <w:bookmarkEnd w:id="5"/>
      <w:r w:rsidRPr="0047272A">
        <w:rPr>
          <w:rFonts w:cstheme="minorHAnsi"/>
          <w:b/>
          <w:sz w:val="20"/>
          <w:szCs w:val="20"/>
          <w:lang w:val="en-GB"/>
        </w:rPr>
        <w:t>. Production cost for green ammonia and methanol in Europe compared with the fossil counterpart in USD kg</w:t>
      </w:r>
      <w:r w:rsidRPr="0047272A">
        <w:rPr>
          <w:rFonts w:cstheme="minorHAnsi"/>
          <w:sz w:val="20"/>
          <w:szCs w:val="20"/>
          <w:vertAlign w:val="superscript"/>
          <w:lang w:val="en-GB"/>
        </w:rPr>
        <w:t>−</w:t>
      </w:r>
      <w:r w:rsidRPr="0047272A">
        <w:rPr>
          <w:rFonts w:cstheme="minorHAnsi"/>
          <w:b/>
          <w:sz w:val="20"/>
          <w:szCs w:val="20"/>
          <w:vertAlign w:val="superscript"/>
          <w:lang w:val="en-GB"/>
        </w:rPr>
        <w:t>1</w:t>
      </w:r>
      <w:r w:rsidRPr="0047272A">
        <w:rPr>
          <w:rFonts w:cstheme="minorHAnsi"/>
          <w:b/>
          <w:sz w:val="20"/>
          <w:szCs w:val="20"/>
          <w:lang w:val="en-GB"/>
        </w:rPr>
        <w:t xml:space="preserve">. </w:t>
      </w:r>
      <w:r w:rsidRPr="0047272A">
        <w:rPr>
          <w:rFonts w:cstheme="minorHAnsi"/>
          <w:sz w:val="20"/>
          <w:szCs w:val="20"/>
          <w:lang w:val="en-GB"/>
        </w:rPr>
        <w:t xml:space="preserve">Green </w:t>
      </w:r>
      <w:r w:rsidRPr="0047272A">
        <w:rPr>
          <w:sz w:val="20"/>
          <w:szCs w:val="20"/>
          <w:lang w:val="en-GB"/>
        </w:rPr>
        <w:t xml:space="preserve">ammonia produced </w:t>
      </w:r>
      <w:r w:rsidRPr="0047272A">
        <w:rPr>
          <w:i/>
          <w:sz w:val="20"/>
          <w:szCs w:val="20"/>
          <w:lang w:val="en-GB"/>
        </w:rPr>
        <w:t>via</w:t>
      </w:r>
      <w:r w:rsidRPr="0047272A">
        <w:rPr>
          <w:sz w:val="20"/>
          <w:szCs w:val="20"/>
          <w:lang w:val="en-GB"/>
        </w:rPr>
        <w:t xml:space="preserve"> the Haber-Bosch process with </w:t>
      </w:r>
      <w:r w:rsidRPr="0047272A">
        <w:rPr>
          <w:b/>
          <w:sz w:val="20"/>
          <w:szCs w:val="20"/>
          <w:lang w:val="en-GB"/>
        </w:rPr>
        <w:t>(a)</w:t>
      </w:r>
      <w:r w:rsidRPr="0047272A">
        <w:rPr>
          <w:sz w:val="20"/>
          <w:szCs w:val="20"/>
          <w:lang w:val="en-GB"/>
        </w:rPr>
        <w:t xml:space="preserve"> blue hydrogen from steam methane reforming (SMR) coupled with carbon capture and storage (CCS), green hydrogen from water electrolysis using </w:t>
      </w:r>
      <w:r w:rsidRPr="0047272A">
        <w:rPr>
          <w:b/>
          <w:bCs/>
          <w:sz w:val="20"/>
          <w:szCs w:val="20"/>
          <w:lang w:val="en-GB"/>
        </w:rPr>
        <w:t>(b)</w:t>
      </w:r>
      <w:r w:rsidRPr="0047272A" w:rsidDel="00940416">
        <w:rPr>
          <w:bCs/>
          <w:sz w:val="20"/>
          <w:szCs w:val="20"/>
          <w:lang w:val="en-GB"/>
        </w:rPr>
        <w:t xml:space="preserve"> </w:t>
      </w:r>
      <w:r w:rsidRPr="0047272A">
        <w:rPr>
          <w:sz w:val="20"/>
          <w:szCs w:val="20"/>
          <w:lang w:val="en-GB"/>
        </w:rPr>
        <w:t xml:space="preserve">solar photovoltaic (PV) electricity or </w:t>
      </w:r>
      <w:r w:rsidRPr="0047272A">
        <w:rPr>
          <w:b/>
          <w:bCs/>
          <w:sz w:val="20"/>
          <w:szCs w:val="20"/>
          <w:lang w:val="en-GB"/>
        </w:rPr>
        <w:t>(c)</w:t>
      </w:r>
      <w:r w:rsidRPr="0047272A">
        <w:rPr>
          <w:sz w:val="20"/>
          <w:szCs w:val="20"/>
          <w:lang w:val="en-GB"/>
        </w:rPr>
        <w:t xml:space="preserve"> on-shore wind electricity. Methanol synthesised from captured CO</w:t>
      </w:r>
      <w:r w:rsidRPr="0047272A">
        <w:rPr>
          <w:sz w:val="20"/>
          <w:szCs w:val="20"/>
          <w:vertAlign w:val="subscript"/>
          <w:lang w:val="en-GB"/>
        </w:rPr>
        <w:t>2</w:t>
      </w:r>
      <w:r w:rsidRPr="0047272A">
        <w:rPr>
          <w:sz w:val="20"/>
          <w:szCs w:val="20"/>
          <w:lang w:val="en-GB"/>
        </w:rPr>
        <w:t xml:space="preserve"> and </w:t>
      </w:r>
      <w:r w:rsidRPr="0047272A">
        <w:rPr>
          <w:b/>
          <w:sz w:val="20"/>
          <w:szCs w:val="20"/>
          <w:lang w:val="en-GB"/>
        </w:rPr>
        <w:t>(d)</w:t>
      </w:r>
      <w:r w:rsidRPr="0047272A">
        <w:rPr>
          <w:sz w:val="20"/>
          <w:szCs w:val="20"/>
          <w:lang w:val="en-GB"/>
        </w:rPr>
        <w:t xml:space="preserve"> blue hydrogen, </w:t>
      </w:r>
      <w:r w:rsidRPr="0047272A">
        <w:rPr>
          <w:b/>
          <w:sz w:val="20"/>
          <w:szCs w:val="20"/>
          <w:lang w:val="en-GB"/>
        </w:rPr>
        <w:t>(e)</w:t>
      </w:r>
      <w:r w:rsidRPr="0047272A">
        <w:rPr>
          <w:sz w:val="20"/>
          <w:szCs w:val="20"/>
          <w:lang w:val="en-GB"/>
        </w:rPr>
        <w:t xml:space="preserve"> PV-based electrolytic hydrogen or </w:t>
      </w:r>
      <w:r w:rsidRPr="0047272A">
        <w:rPr>
          <w:b/>
          <w:sz w:val="20"/>
          <w:szCs w:val="20"/>
          <w:lang w:val="en-GB"/>
        </w:rPr>
        <w:t xml:space="preserve">(f) </w:t>
      </w:r>
      <w:r w:rsidRPr="0047272A">
        <w:rPr>
          <w:sz w:val="20"/>
          <w:szCs w:val="20"/>
          <w:lang w:val="en-GB"/>
        </w:rPr>
        <w:t xml:space="preserve">wind-based electrolytic hydrogen. </w:t>
      </w:r>
      <w:r w:rsidRPr="0047272A">
        <w:rPr>
          <w:iCs/>
          <w:sz w:val="20"/>
          <w:szCs w:val="20"/>
          <w:lang w:val="en-GB"/>
        </w:rPr>
        <w:t xml:space="preserve">Monthly analyses are available in </w:t>
      </w:r>
      <w:r w:rsidRPr="0020328A">
        <w:rPr>
          <w:b/>
          <w:iCs/>
          <w:sz w:val="20"/>
          <w:szCs w:val="20"/>
          <w:lang w:val="en-GB"/>
        </w:rPr>
        <w:t>Figure S</w:t>
      </w:r>
      <w:r w:rsidR="00CB30A7">
        <w:rPr>
          <w:b/>
          <w:iCs/>
          <w:sz w:val="20"/>
          <w:szCs w:val="20"/>
          <w:lang w:val="en-GB"/>
        </w:rPr>
        <w:t>10</w:t>
      </w:r>
      <w:r w:rsidRPr="0047272A">
        <w:rPr>
          <w:iCs/>
          <w:sz w:val="20"/>
          <w:szCs w:val="20"/>
          <w:lang w:val="en-GB"/>
        </w:rPr>
        <w:t>.</w:t>
      </w:r>
      <w:r w:rsidRPr="0047272A">
        <w:rPr>
          <w:i/>
          <w:sz w:val="20"/>
          <w:szCs w:val="20"/>
          <w:lang w:val="en-GB"/>
        </w:rPr>
        <w:t xml:space="preserve"> </w:t>
      </w:r>
      <w:r w:rsidR="00622E3B">
        <w:rPr>
          <w:sz w:val="20"/>
          <w:szCs w:val="20"/>
          <w:lang w:val="en-GB"/>
        </w:rPr>
        <w:t>The temporal</w:t>
      </w:r>
      <w:r w:rsidRPr="0047272A">
        <w:rPr>
          <w:sz w:val="20"/>
          <w:szCs w:val="20"/>
          <w:lang w:val="en-GB"/>
        </w:rPr>
        <w:t xml:space="preserve"> resolution of the period post-July 2022 is enlarged to assess the escalating volatility of fossil routes.</w:t>
      </w:r>
    </w:p>
    <w:p w14:paraId="1778651A" w14:textId="77777777" w:rsidR="00AE3C28" w:rsidRPr="0047272A" w:rsidRDefault="00AE3C28" w:rsidP="00AE3C28">
      <w:pPr>
        <w:keepNext/>
        <w:spacing w:after="0"/>
        <w:jc w:val="center"/>
        <w:rPr>
          <w:lang w:val="en-GB"/>
        </w:rPr>
      </w:pPr>
      <w:r w:rsidRPr="0047272A">
        <w:rPr>
          <w:noProof/>
          <w:lang w:val="en-GB"/>
        </w:rPr>
        <w:lastRenderedPageBreak/>
        <w:drawing>
          <wp:inline distT="0" distB="0" distL="0" distR="0" wp14:anchorId="12472FC1" wp14:editId="4FFFB73C">
            <wp:extent cx="6547117" cy="6664466"/>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17" cy="6664466"/>
                    </a:xfrm>
                    <a:prstGeom prst="rect">
                      <a:avLst/>
                    </a:prstGeom>
                  </pic:spPr>
                </pic:pic>
              </a:graphicData>
            </a:graphic>
          </wp:inline>
        </w:drawing>
      </w:r>
    </w:p>
    <w:p w14:paraId="00CB4C9F" w14:textId="43A578C9" w:rsidR="00AE3C28" w:rsidRPr="007035ED" w:rsidRDefault="00AE3C28" w:rsidP="00AE3C28">
      <w:pPr>
        <w:pStyle w:val="Caption"/>
        <w:jc w:val="both"/>
        <w:rPr>
          <w:i w:val="0"/>
          <w:color w:val="auto"/>
          <w:sz w:val="20"/>
        </w:rPr>
      </w:pPr>
      <w:bookmarkStart w:id="6" w:name="_Ref129860715"/>
      <w:r w:rsidRPr="0047272A">
        <w:rPr>
          <w:b/>
          <w:i w:val="0"/>
          <w:color w:val="auto"/>
          <w:sz w:val="20"/>
          <w:szCs w:val="20"/>
        </w:rPr>
        <w:t>Fig</w:t>
      </w:r>
      <w:r w:rsidR="00EE119E" w:rsidRPr="0047272A">
        <w:rPr>
          <w:b/>
          <w:i w:val="0"/>
          <w:color w:val="auto"/>
          <w:sz w:val="20"/>
          <w:szCs w:val="20"/>
        </w:rPr>
        <w:t>ure</w:t>
      </w:r>
      <w:r w:rsidRPr="0047272A">
        <w:rPr>
          <w:b/>
          <w:i w:val="0"/>
          <w:color w:val="auto"/>
          <w:sz w:val="20"/>
          <w:szCs w:val="20"/>
        </w:rPr>
        <w:t xml:space="preserve">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3</w:t>
      </w:r>
      <w:r w:rsidRPr="0047272A">
        <w:rPr>
          <w:b/>
          <w:i w:val="0"/>
          <w:color w:val="auto"/>
          <w:sz w:val="20"/>
          <w:szCs w:val="20"/>
        </w:rPr>
        <w:fldChar w:fldCharType="end"/>
      </w:r>
      <w:bookmarkEnd w:id="6"/>
      <w:r w:rsidRPr="0047272A">
        <w:rPr>
          <w:b/>
          <w:i w:val="0"/>
          <w:color w:val="auto"/>
          <w:sz w:val="20"/>
          <w:szCs w:val="20"/>
        </w:rPr>
        <w:t>. Breakdown of production costs for fossil and green (a) ammonia and (b) methanol in USD kg</w:t>
      </w:r>
      <w:r w:rsidRPr="0047272A">
        <w:rPr>
          <w:b/>
          <w:i w:val="0"/>
          <w:color w:val="auto"/>
          <w:sz w:val="20"/>
          <w:vertAlign w:val="superscript"/>
        </w:rPr>
        <w:t>−1</w:t>
      </w:r>
      <w:r w:rsidRPr="0047272A">
        <w:rPr>
          <w:b/>
          <w:i w:val="0"/>
          <w:color w:val="auto"/>
          <w:sz w:val="20"/>
        </w:rPr>
        <w:t xml:space="preserve">. </w:t>
      </w:r>
      <w:r w:rsidRPr="0047272A">
        <w:rPr>
          <w:i w:val="0"/>
          <w:color w:val="auto"/>
          <w:sz w:val="20"/>
        </w:rPr>
        <w:t xml:space="preserve">Only the green production routes based on hydrogen from water electrolysis using on-shore wind electricity are displayed. The results for other green routes can be found in </w:t>
      </w:r>
      <w:r w:rsidRPr="001E19F8">
        <w:rPr>
          <w:b/>
          <w:i w:val="0"/>
          <w:color w:val="auto"/>
          <w:sz w:val="20"/>
        </w:rPr>
        <w:t>Figure S</w:t>
      </w:r>
      <w:r w:rsidR="00ED126F">
        <w:rPr>
          <w:b/>
          <w:i w:val="0"/>
          <w:color w:val="auto"/>
          <w:sz w:val="20"/>
        </w:rPr>
        <w:t>11</w:t>
      </w:r>
      <w:r w:rsidRPr="0047272A">
        <w:rPr>
          <w:i w:val="0"/>
          <w:color w:val="auto"/>
          <w:sz w:val="20"/>
        </w:rPr>
        <w:t>. Error bars indicate the production cost considering the lower and upper bound for the levelised cost of hydrogen (</w:t>
      </w:r>
      <w:r w:rsidRPr="007035ED">
        <w:rPr>
          <w:b/>
          <w:i w:val="0"/>
          <w:color w:val="auto"/>
          <w:sz w:val="20"/>
        </w:rPr>
        <w:t>Table S7</w:t>
      </w:r>
      <w:r w:rsidRPr="0047272A">
        <w:rPr>
          <w:i w:val="0"/>
          <w:color w:val="auto"/>
          <w:sz w:val="20"/>
        </w:rPr>
        <w:t xml:space="preserve">). </w:t>
      </w:r>
      <w:r w:rsidRPr="0047272A">
        <w:rPr>
          <w:i w:val="0"/>
          <w:color w:val="auto"/>
          <w:sz w:val="20"/>
          <w:szCs w:val="20"/>
        </w:rPr>
        <w:t>Average values for the years 2019 and 2020 are employed as the natural gas and electricity prices before July 2021 showed negligible variations in comparison.</w:t>
      </w:r>
    </w:p>
    <w:p w14:paraId="23106448" w14:textId="77777777" w:rsidR="00AE3C28" w:rsidRPr="0047272A" w:rsidRDefault="00AE3C28" w:rsidP="00AE3C28">
      <w:pPr>
        <w:keepNext/>
        <w:spacing w:after="0"/>
        <w:jc w:val="center"/>
        <w:rPr>
          <w:lang w:val="en-GB"/>
        </w:rPr>
      </w:pPr>
      <w:r w:rsidRPr="0047272A">
        <w:rPr>
          <w:noProof/>
          <w:lang w:val="en-GB"/>
        </w:rPr>
        <w:lastRenderedPageBreak/>
        <w:drawing>
          <wp:inline distT="0" distB="0" distL="0" distR="0" wp14:anchorId="3226A963" wp14:editId="103D163B">
            <wp:extent cx="6547117" cy="3204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17" cy="3204200"/>
                    </a:xfrm>
                    <a:prstGeom prst="rect">
                      <a:avLst/>
                    </a:prstGeom>
                  </pic:spPr>
                </pic:pic>
              </a:graphicData>
            </a:graphic>
          </wp:inline>
        </w:drawing>
      </w:r>
    </w:p>
    <w:p w14:paraId="05610B9E" w14:textId="4542D1CC" w:rsidR="008A3579" w:rsidRPr="0047272A" w:rsidRDefault="00AE3C28" w:rsidP="00AE3C28">
      <w:pPr>
        <w:pStyle w:val="Caption"/>
        <w:jc w:val="both"/>
        <w:rPr>
          <w:rFonts w:cstheme="minorHAnsi"/>
          <w:i w:val="0"/>
          <w:color w:val="auto"/>
          <w:sz w:val="20"/>
        </w:rPr>
      </w:pPr>
      <w:bookmarkStart w:id="7" w:name="_Ref129860788"/>
      <w:r w:rsidRPr="0047272A">
        <w:rPr>
          <w:b/>
          <w:i w:val="0"/>
          <w:color w:val="auto"/>
          <w:sz w:val="20"/>
          <w:szCs w:val="20"/>
        </w:rPr>
        <w:t>Fig</w:t>
      </w:r>
      <w:r w:rsidR="008A1237" w:rsidRPr="0047272A">
        <w:rPr>
          <w:b/>
          <w:i w:val="0"/>
          <w:color w:val="auto"/>
          <w:sz w:val="20"/>
          <w:szCs w:val="20"/>
        </w:rPr>
        <w:t>ure</w:t>
      </w:r>
      <w:r w:rsidRPr="0047272A">
        <w:rPr>
          <w:b/>
          <w:i w:val="0"/>
          <w:color w:val="auto"/>
          <w:sz w:val="20"/>
          <w:szCs w:val="20"/>
        </w:rPr>
        <w:t xml:space="preserve">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4</w:t>
      </w:r>
      <w:r w:rsidRPr="0047272A">
        <w:rPr>
          <w:b/>
          <w:i w:val="0"/>
          <w:color w:val="auto"/>
          <w:sz w:val="20"/>
          <w:szCs w:val="20"/>
        </w:rPr>
        <w:fldChar w:fldCharType="end"/>
      </w:r>
      <w:bookmarkEnd w:id="7"/>
      <w:r w:rsidRPr="0047272A">
        <w:rPr>
          <w:b/>
          <w:i w:val="0"/>
          <w:color w:val="auto"/>
          <w:sz w:val="20"/>
          <w:szCs w:val="20"/>
        </w:rPr>
        <w:t>. Avoidance</w:t>
      </w:r>
      <w:r w:rsidRPr="0047272A">
        <w:rPr>
          <w:b/>
          <w:i w:val="0"/>
          <w:color w:val="auto"/>
          <w:sz w:val="20"/>
        </w:rPr>
        <w:t xml:space="preserve"> costs for green (a) ammonia and (b) methanol production routes in USD kg</w:t>
      </w:r>
      <w:r w:rsidRPr="0047272A">
        <w:rPr>
          <w:rFonts w:cstheme="minorHAnsi"/>
          <w:b/>
          <w:vertAlign w:val="superscript"/>
        </w:rPr>
        <w:t>−</w:t>
      </w:r>
      <w:r w:rsidRPr="0047272A">
        <w:rPr>
          <w:b/>
          <w:i w:val="0"/>
          <w:color w:val="auto"/>
          <w:sz w:val="20"/>
          <w:vertAlign w:val="superscript"/>
        </w:rPr>
        <w:t xml:space="preserve">1 </w:t>
      </w:r>
      <w:r w:rsidRPr="0047272A">
        <w:rPr>
          <w:b/>
          <w:i w:val="0"/>
          <w:color w:val="auto"/>
          <w:sz w:val="20"/>
        </w:rPr>
        <w:t>CO</w:t>
      </w:r>
      <w:r w:rsidRPr="0047272A">
        <w:rPr>
          <w:b/>
          <w:i w:val="0"/>
          <w:color w:val="auto"/>
          <w:sz w:val="20"/>
          <w:vertAlign w:val="subscript"/>
        </w:rPr>
        <w:t>2</w:t>
      </w:r>
      <w:r w:rsidRPr="0047272A">
        <w:rPr>
          <w:b/>
          <w:i w:val="0"/>
          <w:color w:val="auto"/>
          <w:sz w:val="20"/>
        </w:rPr>
        <w:t>-eq.</w:t>
      </w:r>
      <w:r w:rsidRPr="0047272A">
        <w:rPr>
          <w:i w:val="0"/>
          <w:color w:val="auto"/>
          <w:sz w:val="20"/>
        </w:rPr>
        <w:t xml:space="preserve"> A negative avoidance cost (shaded region) implies that it is possible to reduce costs and greenhouse gas (GHG) emissions simultaneously.</w:t>
      </w:r>
      <w:r w:rsidRPr="0047272A" w:rsidDel="007A5FF3">
        <w:t xml:space="preserve"> </w:t>
      </w:r>
      <w:r w:rsidRPr="0047272A">
        <w:rPr>
          <w:i w:val="0"/>
          <w:color w:val="auto"/>
          <w:sz w:val="20"/>
          <w:szCs w:val="20"/>
        </w:rPr>
        <w:t>Monthly analyses</w:t>
      </w:r>
      <w:r w:rsidR="0061661C">
        <w:rPr>
          <w:i w:val="0"/>
          <w:color w:val="auto"/>
          <w:sz w:val="20"/>
          <w:szCs w:val="20"/>
        </w:rPr>
        <w:t xml:space="preserve"> with error bars</w:t>
      </w:r>
      <w:r w:rsidRPr="0047272A">
        <w:rPr>
          <w:i w:val="0"/>
          <w:color w:val="auto"/>
          <w:sz w:val="20"/>
          <w:szCs w:val="20"/>
        </w:rPr>
        <w:t xml:space="preserve"> are available in </w:t>
      </w:r>
      <w:r w:rsidRPr="001E19F8">
        <w:rPr>
          <w:b/>
          <w:i w:val="0"/>
          <w:color w:val="auto"/>
          <w:sz w:val="20"/>
          <w:szCs w:val="20"/>
        </w:rPr>
        <w:t>Figure S1</w:t>
      </w:r>
      <w:r w:rsidR="00C32D3A">
        <w:rPr>
          <w:b/>
          <w:i w:val="0"/>
          <w:color w:val="auto"/>
          <w:sz w:val="20"/>
          <w:szCs w:val="20"/>
        </w:rPr>
        <w:t>2</w:t>
      </w:r>
      <w:r w:rsidRPr="0047272A">
        <w:rPr>
          <w:i w:val="0"/>
          <w:color w:val="auto"/>
          <w:sz w:val="20"/>
          <w:szCs w:val="20"/>
        </w:rPr>
        <w:t xml:space="preserve">. </w:t>
      </w:r>
    </w:p>
    <w:p w14:paraId="7707589A" w14:textId="77777777" w:rsidR="008A3579" w:rsidRPr="0047272A" w:rsidRDefault="008A3579" w:rsidP="008A3579">
      <w:pPr>
        <w:pStyle w:val="Heading2"/>
        <w:jc w:val="both"/>
      </w:pPr>
      <w:bookmarkStart w:id="8" w:name="_Hlk129852061"/>
      <w:r w:rsidRPr="0047272A">
        <w:t>References</w:t>
      </w:r>
    </w:p>
    <w:p w14:paraId="6FDF129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cstheme="minorHAnsi"/>
          <w:lang w:val="en-GB"/>
        </w:rPr>
        <w:fldChar w:fldCharType="begin"/>
      </w:r>
      <w:r w:rsidRPr="0047272A">
        <w:rPr>
          <w:rFonts w:cstheme="minorHAnsi"/>
          <w:lang w:val="en-GB"/>
        </w:rPr>
        <w:instrText xml:space="preserve"> ADDIN ZOTERO_BIBL {"uncited":[],"omitted":[],"custom":[]} CSL_BIBLIOGRAPHY </w:instrText>
      </w:r>
      <w:r w:rsidRPr="0047272A">
        <w:rPr>
          <w:rFonts w:cstheme="minorHAnsi"/>
          <w:lang w:val="en-GB"/>
        </w:rPr>
        <w:fldChar w:fldCharType="separate"/>
      </w:r>
      <w:r w:rsidRPr="0047272A">
        <w:rPr>
          <w:rFonts w:ascii="Calibri" w:hAnsi="Calibri" w:cs="Calibri"/>
          <w:lang w:val="en-GB"/>
        </w:rPr>
        <w:t xml:space="preserve">F. Bauer, J. P. Tilsted, S. Pfister, C. Oberschelp and V. Kulionis, </w:t>
      </w:r>
      <w:r w:rsidRPr="0047272A">
        <w:rPr>
          <w:rFonts w:ascii="Calibri" w:hAnsi="Calibri" w:cs="Calibri"/>
          <w:i/>
          <w:iCs/>
          <w:lang w:val="en-GB"/>
        </w:rPr>
        <w:t>Curr. Opin. Chem. Eng.</w:t>
      </w:r>
      <w:r w:rsidRPr="0047272A">
        <w:rPr>
          <w:rFonts w:ascii="Calibri" w:hAnsi="Calibri" w:cs="Calibri"/>
          <w:lang w:val="en-GB"/>
        </w:rPr>
        <w:t xml:space="preserve">, 2023, </w:t>
      </w:r>
      <w:r w:rsidRPr="0047272A">
        <w:rPr>
          <w:rFonts w:ascii="Calibri" w:hAnsi="Calibri" w:cs="Calibri"/>
          <w:b/>
          <w:bCs/>
          <w:lang w:val="en-GB"/>
        </w:rPr>
        <w:t>39</w:t>
      </w:r>
      <w:r w:rsidRPr="0047272A">
        <w:rPr>
          <w:rFonts w:ascii="Calibri" w:hAnsi="Calibri" w:cs="Calibri"/>
          <w:lang w:val="en-GB"/>
        </w:rPr>
        <w:t>, 100881.</w:t>
      </w:r>
    </w:p>
    <w:p w14:paraId="5BD9146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F. Bauer, V. Kulionis, C. Oberschelp, S. Pfister, J. P. Tilsted, G. D. Finkill and S. Fjäll, </w:t>
      </w:r>
      <w:r w:rsidRPr="0047272A">
        <w:rPr>
          <w:rFonts w:ascii="Calibri" w:hAnsi="Calibri" w:cs="Calibri"/>
          <w:i/>
          <w:iCs/>
          <w:lang w:val="en-GB"/>
        </w:rPr>
        <w:t>Petrochemicals and Climate Change: Tracing Globally Growing Emissions and Key Blind Spots in a Fossil-Based Industry</w:t>
      </w:r>
      <w:r w:rsidRPr="0047272A">
        <w:rPr>
          <w:rFonts w:ascii="Calibri" w:hAnsi="Calibri" w:cs="Calibri"/>
          <w:lang w:val="en-GB"/>
        </w:rPr>
        <w:t>, Lund University, 2022.</w:t>
      </w:r>
    </w:p>
    <w:p w14:paraId="31F1974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W. Erisman, M. A. Sutton, J. Galloway, Z. Klimont and W. Winiwarter, </w:t>
      </w:r>
      <w:r w:rsidRPr="0047272A">
        <w:rPr>
          <w:rFonts w:ascii="Calibri" w:hAnsi="Calibri" w:cs="Calibri"/>
          <w:i/>
          <w:iCs/>
          <w:lang w:val="en-GB"/>
        </w:rPr>
        <w:t>Nat. Geosci.</w:t>
      </w:r>
      <w:r w:rsidRPr="0047272A">
        <w:rPr>
          <w:rFonts w:ascii="Calibri" w:hAnsi="Calibri" w:cs="Calibri"/>
          <w:lang w:val="en-GB"/>
        </w:rPr>
        <w:t xml:space="preserve">, 2008, </w:t>
      </w:r>
      <w:r w:rsidRPr="0047272A">
        <w:rPr>
          <w:rFonts w:ascii="Calibri" w:hAnsi="Calibri" w:cs="Calibri"/>
          <w:b/>
          <w:bCs/>
          <w:lang w:val="en-GB"/>
        </w:rPr>
        <w:t>1</w:t>
      </w:r>
      <w:r w:rsidRPr="0047272A">
        <w:rPr>
          <w:rFonts w:ascii="Calibri" w:hAnsi="Calibri" w:cs="Calibri"/>
          <w:lang w:val="en-GB"/>
        </w:rPr>
        <w:t>, 636–639.</w:t>
      </w:r>
    </w:p>
    <w:p w14:paraId="1C44638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L. Rosa and P. Gabrielli, </w:t>
      </w:r>
      <w:r w:rsidRPr="0047272A">
        <w:rPr>
          <w:rFonts w:ascii="Calibri" w:hAnsi="Calibri" w:cs="Calibri"/>
          <w:i/>
          <w:iCs/>
          <w:lang w:val="en-GB"/>
        </w:rPr>
        <w:t>Environ. Res. Lett.</w:t>
      </w:r>
      <w:r w:rsidRPr="0047272A">
        <w:rPr>
          <w:rFonts w:ascii="Calibri" w:hAnsi="Calibri" w:cs="Calibri"/>
          <w:lang w:val="en-GB"/>
        </w:rPr>
        <w:t xml:space="preserve">, 2022, </w:t>
      </w:r>
      <w:r w:rsidRPr="0047272A">
        <w:rPr>
          <w:rFonts w:ascii="Calibri" w:hAnsi="Calibri" w:cs="Calibri"/>
          <w:b/>
          <w:bCs/>
          <w:lang w:val="en-GB"/>
        </w:rPr>
        <w:t>18</w:t>
      </w:r>
      <w:r w:rsidRPr="0047272A">
        <w:rPr>
          <w:rFonts w:ascii="Calibri" w:hAnsi="Calibri" w:cs="Calibri"/>
          <w:lang w:val="en-GB"/>
        </w:rPr>
        <w:t>, 014008.</w:t>
      </w:r>
    </w:p>
    <w:p w14:paraId="06AB978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The Future of Petrochemicals: Towards more sustainable plastics and fertilisers</w:t>
      </w:r>
      <w:r w:rsidRPr="0047272A">
        <w:rPr>
          <w:rFonts w:ascii="Calibri" w:hAnsi="Calibri" w:cs="Calibri"/>
          <w:lang w:val="en-GB"/>
        </w:rPr>
        <w:t>, International Energy Agency, 2018.</w:t>
      </w:r>
    </w:p>
    <w:p w14:paraId="7FE1BDB5" w14:textId="51673412"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A. Olah, </w:t>
      </w:r>
      <w:r w:rsidRPr="0047272A">
        <w:rPr>
          <w:rFonts w:ascii="Calibri" w:hAnsi="Calibri" w:cs="Calibri"/>
          <w:i/>
          <w:iCs/>
          <w:lang w:val="en-GB"/>
        </w:rPr>
        <w:t>Angew. Chem., Int. Ed.</w:t>
      </w:r>
      <w:r w:rsidRPr="0047272A">
        <w:rPr>
          <w:rFonts w:ascii="Calibri" w:hAnsi="Calibri" w:cs="Calibri"/>
          <w:lang w:val="en-GB"/>
        </w:rPr>
        <w:t xml:space="preserve">, 2005, </w:t>
      </w:r>
      <w:r w:rsidRPr="0047272A">
        <w:rPr>
          <w:rFonts w:ascii="Calibri" w:hAnsi="Calibri" w:cs="Calibri"/>
          <w:b/>
          <w:bCs/>
          <w:lang w:val="en-GB"/>
        </w:rPr>
        <w:t>44</w:t>
      </w:r>
      <w:r w:rsidRPr="0047272A">
        <w:rPr>
          <w:rFonts w:ascii="Calibri" w:hAnsi="Calibri" w:cs="Calibri"/>
          <w:lang w:val="en-GB"/>
        </w:rPr>
        <w:t>, 2636–2639.</w:t>
      </w:r>
    </w:p>
    <w:p w14:paraId="1237BF85"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IRENA, </w:t>
      </w:r>
      <w:r w:rsidRPr="0047272A">
        <w:rPr>
          <w:rFonts w:ascii="Calibri" w:hAnsi="Calibri" w:cs="Calibri"/>
          <w:i/>
          <w:iCs/>
          <w:lang w:val="en-GB"/>
        </w:rPr>
        <w:t>Innovation Outlook: Renewable Methanol</w:t>
      </w:r>
      <w:r w:rsidRPr="0047272A">
        <w:rPr>
          <w:rFonts w:ascii="Calibri" w:hAnsi="Calibri" w:cs="Calibri"/>
          <w:lang w:val="en-GB"/>
        </w:rPr>
        <w:t>, International Renewable Energy Agency, Abu Dhabi, 2021.</w:t>
      </w:r>
    </w:p>
    <w:p w14:paraId="7FBB010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Ammonia Technology Roadmap: Towards more sustainable nitrogen fertiliser production</w:t>
      </w:r>
      <w:r w:rsidRPr="0047272A">
        <w:rPr>
          <w:rFonts w:ascii="Calibri" w:hAnsi="Calibri" w:cs="Calibri"/>
          <w:lang w:val="en-GB"/>
        </w:rPr>
        <w:t>, International Energy Agency, 2021.</w:t>
      </w:r>
    </w:p>
    <w:p w14:paraId="4423F7E2" w14:textId="477FA4ED"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Humphreys, R. Lan and S. Tao, </w:t>
      </w:r>
      <w:r w:rsidRPr="0047272A">
        <w:rPr>
          <w:rFonts w:ascii="Calibri" w:hAnsi="Calibri" w:cs="Calibri"/>
          <w:i/>
          <w:iCs/>
          <w:lang w:val="en-GB"/>
        </w:rPr>
        <w:t>Adv</w:t>
      </w:r>
      <w:r w:rsidR="001F1F26">
        <w:rPr>
          <w:rFonts w:ascii="Calibri" w:hAnsi="Calibri" w:cs="Calibri"/>
          <w:i/>
          <w:iCs/>
          <w:lang w:val="en-GB"/>
        </w:rPr>
        <w:t>.</w:t>
      </w:r>
      <w:r w:rsidRPr="0047272A">
        <w:rPr>
          <w:rFonts w:ascii="Calibri" w:hAnsi="Calibri" w:cs="Calibri"/>
          <w:i/>
          <w:iCs/>
          <w:lang w:val="en-GB"/>
        </w:rPr>
        <w:t xml:space="preserve"> Energy Sustainability Res</w:t>
      </w:r>
      <w:r w:rsidR="009B0151">
        <w:rPr>
          <w:rFonts w:ascii="Calibri" w:hAnsi="Calibri" w:cs="Calibri"/>
          <w:i/>
          <w:iCs/>
          <w:lang w:val="en-GB"/>
        </w:rPr>
        <w:t>.</w:t>
      </w:r>
      <w:r w:rsidRPr="0047272A">
        <w:rPr>
          <w:rFonts w:ascii="Calibri" w:hAnsi="Calibri" w:cs="Calibri"/>
          <w:lang w:val="en-GB"/>
        </w:rPr>
        <w:t xml:space="preserve">, 2021, </w:t>
      </w:r>
      <w:r w:rsidRPr="0047272A">
        <w:rPr>
          <w:rFonts w:ascii="Calibri" w:hAnsi="Calibri" w:cs="Calibri"/>
          <w:b/>
          <w:bCs/>
          <w:lang w:val="en-GB"/>
        </w:rPr>
        <w:t>2</w:t>
      </w:r>
      <w:r w:rsidRPr="0047272A">
        <w:rPr>
          <w:rFonts w:ascii="Calibri" w:hAnsi="Calibri" w:cs="Calibri"/>
          <w:lang w:val="en-GB"/>
        </w:rPr>
        <w:t>, 2000043.</w:t>
      </w:r>
    </w:p>
    <w:p w14:paraId="32E980B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O. Martin and J. Pérez-Ramírez, </w:t>
      </w:r>
      <w:r w:rsidRPr="0047272A">
        <w:rPr>
          <w:rFonts w:ascii="Calibri" w:hAnsi="Calibri" w:cs="Calibri"/>
          <w:i/>
          <w:iCs/>
          <w:lang w:val="en-GB"/>
        </w:rPr>
        <w:t>Catal. Sci. Technol.</w:t>
      </w:r>
      <w:r w:rsidRPr="0047272A">
        <w:rPr>
          <w:rFonts w:ascii="Calibri" w:hAnsi="Calibri" w:cs="Calibri"/>
          <w:lang w:val="en-GB"/>
        </w:rPr>
        <w:t xml:space="preserve">, 2013, </w:t>
      </w:r>
      <w:r w:rsidRPr="0047272A">
        <w:rPr>
          <w:rFonts w:ascii="Calibri" w:hAnsi="Calibri" w:cs="Calibri"/>
          <w:b/>
          <w:bCs/>
          <w:lang w:val="en-GB"/>
        </w:rPr>
        <w:t>3</w:t>
      </w:r>
      <w:r w:rsidRPr="0047272A">
        <w:rPr>
          <w:rFonts w:ascii="Calibri" w:hAnsi="Calibri" w:cs="Calibri"/>
          <w:lang w:val="en-GB"/>
        </w:rPr>
        <w:t>, 3343–3352.</w:t>
      </w:r>
    </w:p>
    <w:p w14:paraId="42FC416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F. Ausfelder, E. O. Herrman and L. F. López González, </w:t>
      </w:r>
      <w:r w:rsidRPr="0047272A">
        <w:rPr>
          <w:rFonts w:ascii="Calibri" w:hAnsi="Calibri" w:cs="Calibri"/>
          <w:i/>
          <w:iCs/>
          <w:lang w:val="en-GB"/>
        </w:rPr>
        <w:t>Technology options for CO</w:t>
      </w:r>
      <w:r w:rsidRPr="00777C05">
        <w:rPr>
          <w:rFonts w:ascii="Calibri" w:hAnsi="Calibri" w:cs="Calibri"/>
          <w:i/>
          <w:iCs/>
          <w:vertAlign w:val="subscript"/>
          <w:lang w:val="en-GB"/>
        </w:rPr>
        <w:t>2</w:t>
      </w:r>
      <w:r w:rsidRPr="0047272A">
        <w:rPr>
          <w:rFonts w:ascii="Calibri" w:hAnsi="Calibri" w:cs="Calibri"/>
          <w:i/>
          <w:iCs/>
          <w:lang w:val="en-GB"/>
        </w:rPr>
        <w:t>-emission reduction of hydrogen feedstock in ammonia production</w:t>
      </w:r>
      <w:r w:rsidRPr="0047272A">
        <w:rPr>
          <w:rFonts w:ascii="Calibri" w:hAnsi="Calibri" w:cs="Calibri"/>
          <w:lang w:val="en-GB"/>
        </w:rPr>
        <w:t>, DECHEMA Gesellschaft für Chemische Technik und Biotechnologie e.V, 2022.</w:t>
      </w:r>
    </w:p>
    <w:p w14:paraId="6266D4F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K. Smart, </w:t>
      </w:r>
      <w:r w:rsidRPr="0047272A">
        <w:rPr>
          <w:rFonts w:ascii="Calibri" w:hAnsi="Calibri" w:cs="Calibri"/>
          <w:i/>
          <w:iCs/>
          <w:lang w:val="en-GB"/>
        </w:rPr>
        <w:t>Johnson Matthey Technol. Rev.</w:t>
      </w:r>
      <w:r w:rsidRPr="0047272A">
        <w:rPr>
          <w:rFonts w:ascii="Calibri" w:hAnsi="Calibri" w:cs="Calibri"/>
          <w:lang w:val="en-GB"/>
        </w:rPr>
        <w:t xml:space="preserve">, 2022, </w:t>
      </w:r>
      <w:r w:rsidRPr="0047272A">
        <w:rPr>
          <w:rFonts w:ascii="Calibri" w:hAnsi="Calibri" w:cs="Calibri"/>
          <w:b/>
          <w:bCs/>
          <w:lang w:val="en-GB"/>
        </w:rPr>
        <w:t>66</w:t>
      </w:r>
      <w:r w:rsidRPr="0047272A">
        <w:rPr>
          <w:rFonts w:ascii="Calibri" w:hAnsi="Calibri" w:cs="Calibri"/>
          <w:lang w:val="en-GB"/>
        </w:rPr>
        <w:t>, 230–244.</w:t>
      </w:r>
    </w:p>
    <w:p w14:paraId="1E05679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Technology Roadmap Energy and GHG Reductions in the Chemical Industry via Catalytic Processes</w:t>
      </w:r>
      <w:r w:rsidRPr="0047272A">
        <w:rPr>
          <w:rFonts w:ascii="Calibri" w:hAnsi="Calibri" w:cs="Calibri"/>
          <w:lang w:val="en-GB"/>
        </w:rPr>
        <w:t>, International Energy Agency, 2013.</w:t>
      </w:r>
    </w:p>
    <w:p w14:paraId="5064E859"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Huo, Z. Wang, C. Oberschelp, G. Guillén-Gosálbez and S. Hellweg, </w:t>
      </w:r>
      <w:r w:rsidRPr="0047272A">
        <w:rPr>
          <w:rFonts w:ascii="Calibri" w:hAnsi="Calibri" w:cs="Calibri"/>
          <w:i/>
          <w:iCs/>
          <w:lang w:val="en-GB"/>
        </w:rPr>
        <w:t>Green Chem.</w:t>
      </w:r>
      <w:r w:rsidRPr="0047272A">
        <w:rPr>
          <w:rFonts w:ascii="Calibri" w:hAnsi="Calibri" w:cs="Calibri"/>
          <w:lang w:val="en-GB"/>
        </w:rPr>
        <w:t xml:space="preserve">, 2023, </w:t>
      </w:r>
      <w:r w:rsidRPr="0047272A">
        <w:rPr>
          <w:rFonts w:ascii="Calibri" w:hAnsi="Calibri" w:cs="Calibri"/>
          <w:b/>
          <w:bCs/>
          <w:lang w:val="en-GB"/>
        </w:rPr>
        <w:t>25</w:t>
      </w:r>
      <w:r w:rsidRPr="0047272A">
        <w:rPr>
          <w:rFonts w:ascii="Calibri" w:hAnsi="Calibri" w:cs="Calibri"/>
          <w:lang w:val="en-GB"/>
        </w:rPr>
        <w:t>, 415–430.</w:t>
      </w:r>
    </w:p>
    <w:p w14:paraId="4A3270E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C. D’Angelo, S. Cobo, V. Tulus, A. Nabera, A. J. Martín, J. Pérez-Ramírez and G. Guillén-Gosálbez, </w:t>
      </w:r>
      <w:r w:rsidRPr="0047272A">
        <w:rPr>
          <w:rFonts w:ascii="Calibri" w:hAnsi="Calibri" w:cs="Calibri"/>
          <w:i/>
          <w:iCs/>
          <w:lang w:val="en-GB"/>
        </w:rPr>
        <w:t>ACS Sustain. Chem. Eng.</w:t>
      </w:r>
      <w:r w:rsidRPr="0047272A">
        <w:rPr>
          <w:rFonts w:ascii="Calibri" w:hAnsi="Calibri" w:cs="Calibri"/>
          <w:lang w:val="en-GB"/>
        </w:rPr>
        <w:t xml:space="preserve">, 2021, </w:t>
      </w:r>
      <w:r w:rsidRPr="0047272A">
        <w:rPr>
          <w:rFonts w:ascii="Calibri" w:hAnsi="Calibri" w:cs="Calibri"/>
          <w:b/>
          <w:bCs/>
          <w:lang w:val="en-GB"/>
        </w:rPr>
        <w:t>9</w:t>
      </w:r>
      <w:r w:rsidRPr="0047272A">
        <w:rPr>
          <w:rFonts w:ascii="Calibri" w:hAnsi="Calibri" w:cs="Calibri"/>
          <w:lang w:val="en-GB"/>
        </w:rPr>
        <w:t>, 9740–9749.</w:t>
      </w:r>
    </w:p>
    <w:p w14:paraId="0C222E3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Á. Galán-Martín, V. Tulus, I. Díaz, C. Pozo, J. Pérez-Ramírez and G. Guillén-Gosálbez, </w:t>
      </w:r>
      <w:r w:rsidRPr="0047272A">
        <w:rPr>
          <w:rFonts w:ascii="Calibri" w:hAnsi="Calibri" w:cs="Calibri"/>
          <w:i/>
          <w:iCs/>
          <w:lang w:val="en-GB"/>
        </w:rPr>
        <w:t>One Earth</w:t>
      </w:r>
      <w:r w:rsidRPr="0047272A">
        <w:rPr>
          <w:rFonts w:ascii="Calibri" w:hAnsi="Calibri" w:cs="Calibri"/>
          <w:lang w:val="en-GB"/>
        </w:rPr>
        <w:t xml:space="preserve">, 2021, </w:t>
      </w:r>
      <w:r w:rsidRPr="0047272A">
        <w:rPr>
          <w:rFonts w:ascii="Calibri" w:hAnsi="Calibri" w:cs="Calibri"/>
          <w:b/>
          <w:bCs/>
          <w:lang w:val="en-GB"/>
        </w:rPr>
        <w:t>4</w:t>
      </w:r>
      <w:r w:rsidRPr="0047272A">
        <w:rPr>
          <w:rFonts w:ascii="Calibri" w:hAnsi="Calibri" w:cs="Calibri"/>
          <w:lang w:val="en-GB"/>
        </w:rPr>
        <w:t>, 565–583.</w:t>
      </w:r>
    </w:p>
    <w:p w14:paraId="1653440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 Ioannou, Á. Galán-Martín, J. Pérez-Ramírez and G. Guillén-Gosálbez, </w:t>
      </w:r>
      <w:r w:rsidRPr="0047272A">
        <w:rPr>
          <w:rFonts w:ascii="Calibri" w:hAnsi="Calibri" w:cs="Calibri"/>
          <w:i/>
          <w:iCs/>
          <w:lang w:val="en-GB"/>
        </w:rPr>
        <w:t>Energy Environ. Sci.</w:t>
      </w:r>
      <w:r w:rsidRPr="0047272A">
        <w:rPr>
          <w:rFonts w:ascii="Calibri" w:hAnsi="Calibri" w:cs="Calibri"/>
          <w:lang w:val="en-GB"/>
        </w:rPr>
        <w:t xml:space="preserve">, 2023, </w:t>
      </w:r>
      <w:r w:rsidRPr="0047272A">
        <w:rPr>
          <w:rFonts w:ascii="Calibri" w:hAnsi="Calibri" w:cs="Calibri"/>
          <w:b/>
          <w:bCs/>
          <w:lang w:val="en-GB"/>
        </w:rPr>
        <w:t>16</w:t>
      </w:r>
      <w:r w:rsidRPr="0047272A">
        <w:rPr>
          <w:rFonts w:ascii="Calibri" w:hAnsi="Calibri" w:cs="Calibri"/>
          <w:lang w:val="en-GB"/>
        </w:rPr>
        <w:t>, 113–124.</w:t>
      </w:r>
    </w:p>
    <w:p w14:paraId="136590C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Kätelhön, R. Meys, S. Deutz, S. Suh and A. Bardow, </w:t>
      </w:r>
      <w:r w:rsidRPr="0047272A">
        <w:rPr>
          <w:rFonts w:ascii="Calibri" w:hAnsi="Calibri" w:cs="Calibri"/>
          <w:i/>
          <w:iCs/>
          <w:lang w:val="en-GB"/>
        </w:rPr>
        <w:t>Proc. Natl. Acad. Sci. U.S.A.</w:t>
      </w:r>
      <w:r w:rsidRPr="0047272A">
        <w:rPr>
          <w:rFonts w:ascii="Calibri" w:hAnsi="Calibri" w:cs="Calibri"/>
          <w:lang w:val="en-GB"/>
        </w:rPr>
        <w:t xml:space="preserve">, 2019, </w:t>
      </w:r>
      <w:r w:rsidRPr="0047272A">
        <w:rPr>
          <w:rFonts w:ascii="Calibri" w:hAnsi="Calibri" w:cs="Calibri"/>
          <w:b/>
          <w:bCs/>
          <w:lang w:val="en-GB"/>
        </w:rPr>
        <w:t>116</w:t>
      </w:r>
      <w:r w:rsidRPr="0047272A">
        <w:rPr>
          <w:rFonts w:ascii="Calibri" w:hAnsi="Calibri" w:cs="Calibri"/>
          <w:lang w:val="en-GB"/>
        </w:rPr>
        <w:t>, 11187–11194.</w:t>
      </w:r>
    </w:p>
    <w:p w14:paraId="3A7083D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lastRenderedPageBreak/>
        <w:t xml:space="preserve">C. Hepburn, E. Adlen, J. Beddington, E. A. Carter, S. Fuss, N. Mac Dowell, J. C. Minx, P. Smith and C. K. Williams, </w:t>
      </w:r>
      <w:r w:rsidRPr="0047272A">
        <w:rPr>
          <w:rFonts w:ascii="Calibri" w:hAnsi="Calibri" w:cs="Calibri"/>
          <w:i/>
          <w:iCs/>
          <w:lang w:val="en-GB"/>
        </w:rPr>
        <w:t>Nature</w:t>
      </w:r>
      <w:r w:rsidRPr="0047272A">
        <w:rPr>
          <w:rFonts w:ascii="Calibri" w:hAnsi="Calibri" w:cs="Calibri"/>
          <w:lang w:val="en-GB"/>
        </w:rPr>
        <w:t xml:space="preserve">, 2019, </w:t>
      </w:r>
      <w:r w:rsidRPr="0047272A">
        <w:rPr>
          <w:rFonts w:ascii="Calibri" w:hAnsi="Calibri" w:cs="Calibri"/>
          <w:b/>
          <w:bCs/>
          <w:lang w:val="en-GB"/>
        </w:rPr>
        <w:t>575</w:t>
      </w:r>
      <w:r w:rsidRPr="0047272A">
        <w:rPr>
          <w:rFonts w:ascii="Calibri" w:hAnsi="Calibri" w:cs="Calibri"/>
          <w:lang w:val="en-GB"/>
        </w:rPr>
        <w:t>, 87–97.</w:t>
      </w:r>
    </w:p>
    <w:p w14:paraId="097E2BD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González-Garay, M. S. Frei, A. Al-Qahtani, C. Mondelli, G. Guillén-Gosálbez and J. Pérez-Ramírez, </w:t>
      </w:r>
      <w:r w:rsidRPr="0047272A">
        <w:rPr>
          <w:rFonts w:ascii="Calibri" w:hAnsi="Calibri" w:cs="Calibri"/>
          <w:i/>
          <w:iCs/>
          <w:lang w:val="en-GB"/>
        </w:rPr>
        <w:t>Energy Environ. Sci.</w:t>
      </w:r>
      <w:r w:rsidRPr="0047272A">
        <w:rPr>
          <w:rFonts w:ascii="Calibri" w:hAnsi="Calibri" w:cs="Calibri"/>
          <w:lang w:val="en-GB"/>
        </w:rPr>
        <w:t xml:space="preserve">, 2019, </w:t>
      </w:r>
      <w:r w:rsidRPr="0047272A">
        <w:rPr>
          <w:rFonts w:ascii="Calibri" w:hAnsi="Calibri" w:cs="Calibri"/>
          <w:b/>
          <w:bCs/>
          <w:lang w:val="en-GB"/>
        </w:rPr>
        <w:t>12</w:t>
      </w:r>
      <w:r w:rsidRPr="0047272A">
        <w:rPr>
          <w:rFonts w:ascii="Calibri" w:hAnsi="Calibri" w:cs="Calibri"/>
          <w:lang w:val="en-GB"/>
        </w:rPr>
        <w:t>, 3425–3436.</w:t>
      </w:r>
    </w:p>
    <w:p w14:paraId="4863B58F"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Boulamanti and J. A. Moya, </w:t>
      </w:r>
      <w:r w:rsidRPr="0047272A">
        <w:rPr>
          <w:rFonts w:ascii="Calibri" w:hAnsi="Calibri" w:cs="Calibri"/>
          <w:i/>
          <w:iCs/>
          <w:lang w:val="en-GB"/>
        </w:rPr>
        <w:t>Renew. Sust. Energ. Rev.</w:t>
      </w:r>
      <w:r w:rsidRPr="0047272A">
        <w:rPr>
          <w:rFonts w:ascii="Calibri" w:hAnsi="Calibri" w:cs="Calibri"/>
          <w:lang w:val="en-GB"/>
        </w:rPr>
        <w:t xml:space="preserve">, 2017, </w:t>
      </w:r>
      <w:r w:rsidRPr="0047272A">
        <w:rPr>
          <w:rFonts w:ascii="Calibri" w:hAnsi="Calibri" w:cs="Calibri"/>
          <w:b/>
          <w:bCs/>
          <w:lang w:val="en-GB"/>
        </w:rPr>
        <w:t>68</w:t>
      </w:r>
      <w:r w:rsidRPr="0047272A">
        <w:rPr>
          <w:rFonts w:ascii="Calibri" w:hAnsi="Calibri" w:cs="Calibri"/>
          <w:lang w:val="en-GB"/>
        </w:rPr>
        <w:t>, 1205–1212.</w:t>
      </w:r>
    </w:p>
    <w:p w14:paraId="3439177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The World Bank, </w:t>
      </w:r>
      <w:r w:rsidRPr="0047272A">
        <w:rPr>
          <w:rFonts w:ascii="Calibri" w:hAnsi="Calibri" w:cs="Calibri"/>
          <w:i/>
          <w:iCs/>
          <w:lang w:val="en-GB"/>
        </w:rPr>
        <w:t>Commodity Markets Outlook: The Impact of the War in Ukraine on Commodity Markets</w:t>
      </w:r>
      <w:r w:rsidRPr="0047272A">
        <w:rPr>
          <w:rFonts w:ascii="Calibri" w:hAnsi="Calibri" w:cs="Calibri"/>
          <w:lang w:val="en-GB"/>
        </w:rPr>
        <w:t>, The World Bank Group, Washington DC, 2022.</w:t>
      </w:r>
    </w:p>
    <w:p w14:paraId="0D4665B6"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A. de Sousa, S. Gebre and S. Treloar, Europe’s Widening Fertilizer Crisis Threatens Food Supplies, https://www.bloomberg.com/news/articles/2022-08-25/yara-to-further-cut-european-ammonia-production-due-to-gas-spike, (accessed December 9, 2022).</w:t>
      </w:r>
    </w:p>
    <w:p w14:paraId="60B8A80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J. Lopez, EPCA ’22, https://www.icis.com/explore/resources/news/2022/10/04/10811649/epca-22-european-shut-ammonia-production-unlikely-to-return-analyst, (accessed December 9, 2022).</w:t>
      </w:r>
    </w:p>
    <w:p w14:paraId="27139F4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cefic, </w:t>
      </w:r>
      <w:r w:rsidRPr="0047272A">
        <w:rPr>
          <w:rFonts w:ascii="Calibri" w:hAnsi="Calibri" w:cs="Calibri"/>
          <w:i/>
          <w:iCs/>
          <w:lang w:val="en-GB"/>
        </w:rPr>
        <w:t>The European Chemical Industry - Facts &amp; Figures 2022</w:t>
      </w:r>
      <w:r w:rsidRPr="0047272A">
        <w:rPr>
          <w:rFonts w:ascii="Calibri" w:hAnsi="Calibri" w:cs="Calibri"/>
          <w:lang w:val="en-GB"/>
        </w:rPr>
        <w:t>, European Chemical Industry Council, 2022.</w:t>
      </w:r>
    </w:p>
    <w:p w14:paraId="36D2A5F0" w14:textId="77777777" w:rsidR="008A3579" w:rsidRPr="0047272A" w:rsidRDefault="008A3579" w:rsidP="008A3579">
      <w:pPr>
        <w:pStyle w:val="Bibliography"/>
        <w:numPr>
          <w:ilvl w:val="0"/>
          <w:numId w:val="1"/>
        </w:numPr>
        <w:spacing w:after="0"/>
        <w:ind w:left="360"/>
        <w:jc w:val="both"/>
        <w:rPr>
          <w:rFonts w:ascii="Calibri" w:hAnsi="Calibri" w:cs="Calibri"/>
          <w:lang w:val="en-GB"/>
        </w:rPr>
      </w:pPr>
      <w:r w:rsidRPr="0047272A">
        <w:rPr>
          <w:rFonts w:ascii="Calibri" w:hAnsi="Calibri" w:cs="Calibri"/>
          <w:lang w:val="en-GB"/>
        </w:rPr>
        <w:t xml:space="preserve">IRENA, </w:t>
      </w:r>
      <w:r w:rsidRPr="0047272A">
        <w:rPr>
          <w:rFonts w:ascii="Calibri" w:hAnsi="Calibri" w:cs="Calibri"/>
          <w:i/>
          <w:iCs/>
          <w:lang w:val="en-GB"/>
        </w:rPr>
        <w:t>Making the breakthrough: Green hydrogen policies and technology costs</w:t>
      </w:r>
      <w:r w:rsidRPr="0047272A">
        <w:rPr>
          <w:rFonts w:ascii="Calibri" w:hAnsi="Calibri" w:cs="Calibri"/>
          <w:lang w:val="en-GB"/>
        </w:rPr>
        <w:t>, International Renewable Energy Agency, Abu Dhabi, 2021.</w:t>
      </w:r>
    </w:p>
    <w:p w14:paraId="4A34A9A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B. Parkinson, P. Balcombe, J. F. Speirs, A. D. Hawkes and K. Hellgardt, </w:t>
      </w:r>
      <w:r w:rsidRPr="0047272A">
        <w:rPr>
          <w:rFonts w:ascii="Calibri" w:hAnsi="Calibri" w:cs="Calibri"/>
          <w:i/>
          <w:iCs/>
          <w:lang w:val="en-GB"/>
        </w:rPr>
        <w:t>Energy Environ. Sci.</w:t>
      </w:r>
      <w:r w:rsidRPr="0047272A">
        <w:rPr>
          <w:rFonts w:ascii="Calibri" w:hAnsi="Calibri" w:cs="Calibri"/>
          <w:lang w:val="en-GB"/>
        </w:rPr>
        <w:t xml:space="preserve">, 2019, </w:t>
      </w:r>
      <w:r w:rsidRPr="0047272A">
        <w:rPr>
          <w:rFonts w:ascii="Calibri" w:hAnsi="Calibri" w:cs="Calibri"/>
          <w:b/>
          <w:bCs/>
          <w:lang w:val="en-GB"/>
        </w:rPr>
        <w:t>12</w:t>
      </w:r>
      <w:r w:rsidRPr="0047272A">
        <w:rPr>
          <w:rFonts w:ascii="Calibri" w:hAnsi="Calibri" w:cs="Calibri"/>
          <w:lang w:val="en-GB"/>
        </w:rPr>
        <w:t>, 19–40.</w:t>
      </w:r>
    </w:p>
    <w:p w14:paraId="615E223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D. W. Keith, G. Holmes, D. St. Angelo and K. Heidel, </w:t>
      </w:r>
      <w:r w:rsidRPr="0047272A">
        <w:rPr>
          <w:rFonts w:ascii="Calibri" w:hAnsi="Calibri" w:cs="Calibri"/>
          <w:i/>
          <w:iCs/>
          <w:lang w:val="en-GB"/>
        </w:rPr>
        <w:t>Joule</w:t>
      </w:r>
      <w:r w:rsidRPr="0047272A">
        <w:rPr>
          <w:rFonts w:ascii="Calibri" w:hAnsi="Calibri" w:cs="Calibri"/>
          <w:lang w:val="en-GB"/>
        </w:rPr>
        <w:t xml:space="preserve">, 2018, </w:t>
      </w:r>
      <w:r w:rsidRPr="0047272A">
        <w:rPr>
          <w:rFonts w:ascii="Calibri" w:hAnsi="Calibri" w:cs="Calibri"/>
          <w:b/>
          <w:bCs/>
          <w:lang w:val="en-GB"/>
        </w:rPr>
        <w:t>2</w:t>
      </w:r>
      <w:r w:rsidRPr="0047272A">
        <w:rPr>
          <w:rFonts w:ascii="Calibri" w:hAnsi="Calibri" w:cs="Calibri"/>
          <w:lang w:val="en-GB"/>
        </w:rPr>
        <w:t>, 1573–1594.</w:t>
      </w:r>
    </w:p>
    <w:p w14:paraId="7354A0E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How to Avoid Gas Shortages in the European Union in 2023</w:t>
      </w:r>
      <w:r w:rsidRPr="0047272A">
        <w:rPr>
          <w:rFonts w:ascii="Calibri" w:hAnsi="Calibri" w:cs="Calibri"/>
          <w:lang w:val="en-GB"/>
        </w:rPr>
        <w:t>, International Energy Agency, 2022.</w:t>
      </w:r>
    </w:p>
    <w:p w14:paraId="10ADABD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R. Way, M. C. Ives, P. Mealy and J. D. Farmer, </w:t>
      </w:r>
      <w:r w:rsidRPr="0047272A">
        <w:rPr>
          <w:rFonts w:ascii="Calibri" w:hAnsi="Calibri" w:cs="Calibri"/>
          <w:i/>
          <w:iCs/>
          <w:lang w:val="en-GB"/>
        </w:rPr>
        <w:t>Joule</w:t>
      </w:r>
      <w:r w:rsidRPr="0047272A">
        <w:rPr>
          <w:rFonts w:ascii="Calibri" w:hAnsi="Calibri" w:cs="Calibri"/>
          <w:lang w:val="en-GB"/>
        </w:rPr>
        <w:t xml:space="preserve">, 2022, </w:t>
      </w:r>
      <w:r w:rsidRPr="0047272A">
        <w:rPr>
          <w:rFonts w:ascii="Calibri" w:hAnsi="Calibri" w:cs="Calibri"/>
          <w:b/>
          <w:bCs/>
          <w:lang w:val="en-GB"/>
        </w:rPr>
        <w:t>6</w:t>
      </w:r>
      <w:r w:rsidRPr="0047272A">
        <w:rPr>
          <w:rFonts w:ascii="Calibri" w:hAnsi="Calibri" w:cs="Calibri"/>
          <w:lang w:val="en-GB"/>
        </w:rPr>
        <w:t>, 2057–2082.</w:t>
      </w:r>
    </w:p>
    <w:p w14:paraId="71A61C90"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N. Do, C. You and J. Kim, </w:t>
      </w:r>
      <w:r w:rsidRPr="0047272A">
        <w:rPr>
          <w:rFonts w:ascii="Calibri" w:hAnsi="Calibri" w:cs="Calibri"/>
          <w:i/>
          <w:iCs/>
          <w:lang w:val="en-GB"/>
        </w:rPr>
        <w:t>Energy Environ. Sci.</w:t>
      </w:r>
      <w:r w:rsidRPr="0047272A">
        <w:rPr>
          <w:rFonts w:ascii="Calibri" w:hAnsi="Calibri" w:cs="Calibri"/>
          <w:lang w:val="en-GB"/>
        </w:rPr>
        <w:t xml:space="preserve">, 2022, </w:t>
      </w:r>
      <w:r w:rsidRPr="0047272A">
        <w:rPr>
          <w:rFonts w:ascii="Calibri" w:hAnsi="Calibri" w:cs="Calibri"/>
          <w:b/>
          <w:bCs/>
          <w:lang w:val="en-GB"/>
        </w:rPr>
        <w:t>15</w:t>
      </w:r>
      <w:r w:rsidRPr="0047272A">
        <w:rPr>
          <w:rFonts w:ascii="Calibri" w:hAnsi="Calibri" w:cs="Calibri"/>
          <w:lang w:val="en-GB"/>
        </w:rPr>
        <w:t>, 169–184.</w:t>
      </w:r>
    </w:p>
    <w:p w14:paraId="0CA2A8C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European Commission, </w:t>
      </w:r>
      <w:r w:rsidRPr="0047272A">
        <w:rPr>
          <w:rFonts w:ascii="Calibri" w:hAnsi="Calibri" w:cs="Calibri"/>
          <w:i/>
          <w:iCs/>
          <w:lang w:val="en-GB"/>
        </w:rPr>
        <w:t>“Fit for 55”: delivering the EU’s 2030 Climate Target on the way to climate neutrality</w:t>
      </w:r>
      <w:r w:rsidRPr="0047272A">
        <w:rPr>
          <w:rFonts w:ascii="Calibri" w:hAnsi="Calibri" w:cs="Calibri"/>
          <w:lang w:val="en-GB"/>
        </w:rPr>
        <w:t>, COM (2021) 550 final, Brussels, 2021.</w:t>
      </w:r>
    </w:p>
    <w:p w14:paraId="573122C5"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L. Klaaßen and B. Steffen, </w:t>
      </w:r>
      <w:r w:rsidRPr="0047272A">
        <w:rPr>
          <w:rFonts w:ascii="Calibri" w:hAnsi="Calibri" w:cs="Calibri"/>
          <w:i/>
          <w:iCs/>
          <w:lang w:val="en-GB"/>
        </w:rPr>
        <w:t>Nat. Clim. Chang.</w:t>
      </w:r>
      <w:r w:rsidRPr="0047272A">
        <w:rPr>
          <w:rFonts w:ascii="Calibri" w:hAnsi="Calibri" w:cs="Calibri"/>
          <w:lang w:val="en-GB"/>
        </w:rPr>
        <w:t xml:space="preserve">, 2023, </w:t>
      </w:r>
      <w:r w:rsidRPr="0047272A">
        <w:rPr>
          <w:rFonts w:ascii="Calibri" w:hAnsi="Calibri" w:cs="Calibri"/>
          <w:b/>
          <w:bCs/>
          <w:lang w:val="en-GB"/>
        </w:rPr>
        <w:t>13</w:t>
      </w:r>
      <w:r w:rsidRPr="0047272A">
        <w:rPr>
          <w:rFonts w:ascii="Calibri" w:hAnsi="Calibri" w:cs="Calibri"/>
          <w:lang w:val="en-GB"/>
        </w:rPr>
        <w:t>, 58–66.</w:t>
      </w:r>
    </w:p>
    <w:p w14:paraId="130FC8EB" w14:textId="058AAE83"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J. Shih, M. C. O. Monteiro, F. Dattila, D. Pavesi, M. Philips, A. H. M. da Silva, R. E. Vos, K. Ojha, S. Park, O. van der Heijden, G. Marcandalli, A. Goyal, M. Villalba, X. Chen, G. T. K. K. Gunasooriya, I. McCrum, R. Mom, N. López and M. T. M. Koper, </w:t>
      </w:r>
      <w:r w:rsidRPr="0047272A">
        <w:rPr>
          <w:rFonts w:ascii="Calibri" w:hAnsi="Calibri" w:cs="Calibri"/>
          <w:i/>
          <w:iCs/>
          <w:lang w:val="en-GB"/>
        </w:rPr>
        <w:t>Nat. Rev. Methods Prim</w:t>
      </w:r>
      <w:r w:rsidR="00105BA1">
        <w:rPr>
          <w:rFonts w:ascii="Calibri" w:hAnsi="Calibri" w:cs="Calibri"/>
          <w:i/>
          <w:iCs/>
          <w:lang w:val="en-GB"/>
        </w:rPr>
        <w:t>.</w:t>
      </w:r>
      <w:r w:rsidRPr="0047272A">
        <w:rPr>
          <w:rFonts w:ascii="Calibri" w:hAnsi="Calibri" w:cs="Calibri"/>
          <w:lang w:val="en-GB"/>
        </w:rPr>
        <w:t xml:space="preserve">, 2022, </w:t>
      </w:r>
      <w:r w:rsidRPr="0047272A">
        <w:rPr>
          <w:rFonts w:ascii="Calibri" w:hAnsi="Calibri" w:cs="Calibri"/>
          <w:b/>
          <w:bCs/>
          <w:lang w:val="en-GB"/>
        </w:rPr>
        <w:t>2</w:t>
      </w:r>
      <w:r w:rsidRPr="0047272A">
        <w:rPr>
          <w:rFonts w:ascii="Calibri" w:hAnsi="Calibri" w:cs="Calibri"/>
          <w:lang w:val="en-GB"/>
        </w:rPr>
        <w:t>, 1–19.</w:t>
      </w:r>
    </w:p>
    <w:p w14:paraId="5F9BA1A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M. Chatenet, B. G. Pollet, D. R. Dekel, F. Dionigi, J. Deseure, P. Millet, R. D. Braatz, M. Z. Bazant, M. Eikerling, I. Staffell, P. Balcombe, Y. Shao-Horn and H. Schäfer, </w:t>
      </w:r>
      <w:r w:rsidRPr="0047272A">
        <w:rPr>
          <w:rFonts w:ascii="Calibri" w:hAnsi="Calibri" w:cs="Calibri"/>
          <w:i/>
          <w:iCs/>
          <w:lang w:val="en-GB"/>
        </w:rPr>
        <w:t>Chem. Soc. Rev.</w:t>
      </w:r>
      <w:r w:rsidRPr="0047272A">
        <w:rPr>
          <w:rFonts w:ascii="Calibri" w:hAnsi="Calibri" w:cs="Calibri"/>
          <w:lang w:val="en-GB"/>
        </w:rPr>
        <w:t xml:space="preserve">, 2022, </w:t>
      </w:r>
      <w:r w:rsidRPr="0047272A">
        <w:rPr>
          <w:rFonts w:ascii="Calibri" w:hAnsi="Calibri" w:cs="Calibri"/>
          <w:b/>
          <w:bCs/>
          <w:lang w:val="en-GB"/>
        </w:rPr>
        <w:t>51</w:t>
      </w:r>
      <w:r w:rsidRPr="0047272A">
        <w:rPr>
          <w:rFonts w:ascii="Calibri" w:hAnsi="Calibri" w:cs="Calibri"/>
          <w:lang w:val="en-GB"/>
        </w:rPr>
        <w:t>, 4583–4762.</w:t>
      </w:r>
    </w:p>
    <w:p w14:paraId="709686E5"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J. Martín and J. Pérez-Ramírez, </w:t>
      </w:r>
      <w:r w:rsidRPr="0047272A">
        <w:rPr>
          <w:rFonts w:ascii="Calibri" w:hAnsi="Calibri" w:cs="Calibri"/>
          <w:i/>
          <w:iCs/>
          <w:lang w:val="en-GB"/>
        </w:rPr>
        <w:t>Joule</w:t>
      </w:r>
      <w:r w:rsidRPr="0047272A">
        <w:rPr>
          <w:rFonts w:ascii="Calibri" w:hAnsi="Calibri" w:cs="Calibri"/>
          <w:lang w:val="en-GB"/>
        </w:rPr>
        <w:t xml:space="preserve">, 2019, </w:t>
      </w:r>
      <w:r w:rsidRPr="0047272A">
        <w:rPr>
          <w:rFonts w:ascii="Calibri" w:hAnsi="Calibri" w:cs="Calibri"/>
          <w:b/>
          <w:bCs/>
          <w:lang w:val="en-GB"/>
        </w:rPr>
        <w:t>3</w:t>
      </w:r>
      <w:r w:rsidRPr="0047272A">
        <w:rPr>
          <w:rFonts w:ascii="Calibri" w:hAnsi="Calibri" w:cs="Calibri"/>
          <w:lang w:val="en-GB"/>
        </w:rPr>
        <w:t>, 2602–2621.</w:t>
      </w:r>
    </w:p>
    <w:p w14:paraId="59C1F49A" w14:textId="4B3E341E"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O. Martin, A. J. Martín, C. Mondelli, S. Mitchell, T. F. Segawa, R. Hauert, C. Drouilly, D. Curulla-Ferré and J. Pérez-Ramírez, </w:t>
      </w:r>
      <w:r w:rsidRPr="0047272A">
        <w:rPr>
          <w:rFonts w:ascii="Calibri" w:hAnsi="Calibri" w:cs="Calibri"/>
          <w:i/>
          <w:iCs/>
          <w:lang w:val="en-GB"/>
        </w:rPr>
        <w:t>Angew. Chem., Int. Ed.</w:t>
      </w:r>
      <w:r w:rsidRPr="0047272A">
        <w:rPr>
          <w:rFonts w:ascii="Calibri" w:hAnsi="Calibri" w:cs="Calibri"/>
          <w:lang w:val="en-GB"/>
        </w:rPr>
        <w:t xml:space="preserve">, 2016, </w:t>
      </w:r>
      <w:r w:rsidRPr="0047272A">
        <w:rPr>
          <w:rFonts w:ascii="Calibri" w:hAnsi="Calibri" w:cs="Calibri"/>
          <w:b/>
          <w:bCs/>
          <w:lang w:val="en-GB"/>
        </w:rPr>
        <w:t>55</w:t>
      </w:r>
      <w:r w:rsidRPr="0047272A">
        <w:rPr>
          <w:rFonts w:ascii="Calibri" w:hAnsi="Calibri" w:cs="Calibri"/>
          <w:lang w:val="en-GB"/>
        </w:rPr>
        <w:t>, 6261–6265.</w:t>
      </w:r>
    </w:p>
    <w:p w14:paraId="00D1AA1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Pinheiro Araújo, C. Mondelli, M. Agrachev, T. Zou, P. O. Willi, K. M. Engel, R. N. Grass, W. J. Stark, O. V. Safonova, G. Jeschke, S. Mitchell and J. Pérez-Ramírez, </w:t>
      </w:r>
      <w:r w:rsidRPr="0047272A">
        <w:rPr>
          <w:rFonts w:ascii="Calibri" w:hAnsi="Calibri" w:cs="Calibri"/>
          <w:i/>
          <w:iCs/>
          <w:lang w:val="en-GB"/>
        </w:rPr>
        <w:t>Nat. Commun.</w:t>
      </w:r>
      <w:r w:rsidRPr="0047272A">
        <w:rPr>
          <w:rFonts w:ascii="Calibri" w:hAnsi="Calibri" w:cs="Calibri"/>
          <w:lang w:val="en-GB"/>
        </w:rPr>
        <w:t xml:space="preserve">, 2022, </w:t>
      </w:r>
      <w:r w:rsidRPr="0047272A">
        <w:rPr>
          <w:rFonts w:ascii="Calibri" w:hAnsi="Calibri" w:cs="Calibri"/>
          <w:b/>
          <w:bCs/>
          <w:lang w:val="en-GB"/>
        </w:rPr>
        <w:t>13</w:t>
      </w:r>
      <w:r w:rsidRPr="0047272A">
        <w:rPr>
          <w:rFonts w:ascii="Calibri" w:hAnsi="Calibri" w:cs="Calibri"/>
          <w:lang w:val="en-GB"/>
        </w:rPr>
        <w:t>, 5610.</w:t>
      </w:r>
    </w:p>
    <w:p w14:paraId="0675F3C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Wang, G. Li, Z. Li, C. Tang, Z. Feng, H. An, H. Liu, T. Liu and C. Li, </w:t>
      </w:r>
      <w:r w:rsidRPr="0047272A">
        <w:rPr>
          <w:rFonts w:ascii="Calibri" w:hAnsi="Calibri" w:cs="Calibri"/>
          <w:i/>
          <w:iCs/>
          <w:lang w:val="en-GB"/>
        </w:rPr>
        <w:t>Sci. Adv.</w:t>
      </w:r>
      <w:r w:rsidRPr="0047272A">
        <w:rPr>
          <w:rFonts w:ascii="Calibri" w:hAnsi="Calibri" w:cs="Calibri"/>
          <w:lang w:val="en-GB"/>
        </w:rPr>
        <w:t xml:space="preserve">, 2017, </w:t>
      </w:r>
      <w:r w:rsidRPr="0047272A">
        <w:rPr>
          <w:rFonts w:ascii="Calibri" w:hAnsi="Calibri" w:cs="Calibri"/>
          <w:b/>
          <w:bCs/>
          <w:lang w:val="en-GB"/>
        </w:rPr>
        <w:t>3</w:t>
      </w:r>
      <w:r w:rsidRPr="0047272A">
        <w:rPr>
          <w:rFonts w:ascii="Calibri" w:hAnsi="Calibri" w:cs="Calibri"/>
          <w:lang w:val="en-GB"/>
        </w:rPr>
        <w:t>, e1701290.</w:t>
      </w:r>
    </w:p>
    <w:p w14:paraId="76166D43"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Pinheiro Araújo, J. Morales-Vidal, T. Zou, R. García-Muelas, P. O. Willi, K. M. Engel, O. V. Safonova, D. Faust Akl, F. Krumeich, R. N. Grass, C. Mondelli, N. López and J. Pérez-Ramírez, </w:t>
      </w:r>
      <w:r w:rsidRPr="0047272A">
        <w:rPr>
          <w:rFonts w:ascii="Calibri" w:hAnsi="Calibri" w:cs="Calibri"/>
          <w:i/>
          <w:iCs/>
          <w:lang w:val="en-GB"/>
        </w:rPr>
        <w:t>Adv. Energy Mater.</w:t>
      </w:r>
      <w:r w:rsidRPr="0047272A">
        <w:rPr>
          <w:rFonts w:ascii="Calibri" w:hAnsi="Calibri" w:cs="Calibri"/>
          <w:lang w:val="en-GB"/>
        </w:rPr>
        <w:t xml:space="preserve">, 2022, </w:t>
      </w:r>
      <w:r w:rsidRPr="0047272A">
        <w:rPr>
          <w:rFonts w:ascii="Calibri" w:hAnsi="Calibri" w:cs="Calibri"/>
          <w:b/>
          <w:bCs/>
          <w:lang w:val="en-GB"/>
        </w:rPr>
        <w:t>12</w:t>
      </w:r>
      <w:r w:rsidRPr="0047272A">
        <w:rPr>
          <w:rFonts w:ascii="Calibri" w:hAnsi="Calibri" w:cs="Calibri"/>
          <w:lang w:val="en-GB"/>
        </w:rPr>
        <w:t>, 2270056.</w:t>
      </w:r>
    </w:p>
    <w:p w14:paraId="556AA9B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Nitopi, E. Bertheussen, S. B. Scott, X. Liu, A. K. Engstfeld, S. Horch, B. Seger, I. E. L. Stephens, K. Chan, C. Hahn, J. K. Nørskov, T. F. Jaramillo and I. Chorkendorff, </w:t>
      </w:r>
      <w:r w:rsidRPr="0047272A">
        <w:rPr>
          <w:rFonts w:ascii="Calibri" w:hAnsi="Calibri" w:cs="Calibri"/>
          <w:i/>
          <w:iCs/>
          <w:lang w:val="en-GB"/>
        </w:rPr>
        <w:t>Chem. Rev.</w:t>
      </w:r>
      <w:r w:rsidRPr="0047272A">
        <w:rPr>
          <w:rFonts w:ascii="Calibri" w:hAnsi="Calibri" w:cs="Calibri"/>
          <w:lang w:val="en-GB"/>
        </w:rPr>
        <w:t xml:space="preserve">, 2019, </w:t>
      </w:r>
      <w:r w:rsidRPr="0047272A">
        <w:rPr>
          <w:rFonts w:ascii="Calibri" w:hAnsi="Calibri" w:cs="Calibri"/>
          <w:b/>
          <w:bCs/>
          <w:lang w:val="en-GB"/>
        </w:rPr>
        <w:t>119</w:t>
      </w:r>
      <w:r w:rsidRPr="0047272A">
        <w:rPr>
          <w:rFonts w:ascii="Calibri" w:hAnsi="Calibri" w:cs="Calibri"/>
          <w:lang w:val="en-GB"/>
        </w:rPr>
        <w:t>, 7610–7672.</w:t>
      </w:r>
    </w:p>
    <w:p w14:paraId="77FDD48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Zhang, T. Wang, M. Zhang, L. Li, D. Cheng, S. Zhen, Y. Wang, J. Qin, Z.-J. Zhao and J. Gong, </w:t>
      </w:r>
      <w:r w:rsidRPr="0047272A">
        <w:rPr>
          <w:rFonts w:ascii="Calibri" w:hAnsi="Calibri" w:cs="Calibri"/>
          <w:i/>
          <w:iCs/>
          <w:lang w:val="en-GB"/>
        </w:rPr>
        <w:t>Nat. Commun.</w:t>
      </w:r>
      <w:r w:rsidRPr="0047272A">
        <w:rPr>
          <w:rFonts w:ascii="Calibri" w:hAnsi="Calibri" w:cs="Calibri"/>
          <w:lang w:val="en-GB"/>
        </w:rPr>
        <w:t xml:space="preserve">, 2022, </w:t>
      </w:r>
      <w:r w:rsidRPr="0047272A">
        <w:rPr>
          <w:rFonts w:ascii="Calibri" w:hAnsi="Calibri" w:cs="Calibri"/>
          <w:b/>
          <w:bCs/>
          <w:lang w:val="en-GB"/>
        </w:rPr>
        <w:t>13</w:t>
      </w:r>
      <w:r w:rsidRPr="0047272A">
        <w:rPr>
          <w:rFonts w:ascii="Calibri" w:hAnsi="Calibri" w:cs="Calibri"/>
          <w:lang w:val="en-GB"/>
        </w:rPr>
        <w:t>, 7768.</w:t>
      </w:r>
    </w:p>
    <w:p w14:paraId="5FCF335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ISO 14040:2006, </w:t>
      </w:r>
      <w:r w:rsidRPr="0047272A">
        <w:rPr>
          <w:rFonts w:ascii="Calibri" w:hAnsi="Calibri" w:cs="Calibri"/>
          <w:i/>
          <w:iCs/>
          <w:lang w:val="en-GB"/>
        </w:rPr>
        <w:t>Environmental management — Life cycle assessment — Principles and framework</w:t>
      </w:r>
      <w:r w:rsidRPr="0047272A">
        <w:rPr>
          <w:rFonts w:ascii="Calibri" w:hAnsi="Calibri" w:cs="Calibri"/>
          <w:lang w:val="en-GB"/>
        </w:rPr>
        <w:t>, 2006.</w:t>
      </w:r>
    </w:p>
    <w:p w14:paraId="2AF11A1F"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ISO 14044:2006, </w:t>
      </w:r>
      <w:r w:rsidRPr="0047272A">
        <w:rPr>
          <w:rFonts w:ascii="Calibri" w:hAnsi="Calibri" w:cs="Calibri"/>
          <w:i/>
          <w:iCs/>
          <w:lang w:val="en-GB"/>
        </w:rPr>
        <w:t>Environmental management — Life cycle assessment — Requirements and guidelines</w:t>
      </w:r>
      <w:r w:rsidRPr="0047272A">
        <w:rPr>
          <w:rFonts w:ascii="Calibri" w:hAnsi="Calibri" w:cs="Calibri"/>
          <w:lang w:val="en-GB"/>
        </w:rPr>
        <w:t>, 2006.</w:t>
      </w:r>
    </w:p>
    <w:p w14:paraId="7E83F3B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Hellweg and L. Milà i Canals, </w:t>
      </w:r>
      <w:r w:rsidRPr="0047272A">
        <w:rPr>
          <w:rFonts w:ascii="Calibri" w:hAnsi="Calibri" w:cs="Calibri"/>
          <w:i/>
          <w:iCs/>
          <w:lang w:val="en-GB"/>
        </w:rPr>
        <w:t>Science</w:t>
      </w:r>
      <w:r w:rsidRPr="0047272A">
        <w:rPr>
          <w:rFonts w:ascii="Calibri" w:hAnsi="Calibri" w:cs="Calibri"/>
          <w:lang w:val="en-GB"/>
        </w:rPr>
        <w:t xml:space="preserve">, 2014, </w:t>
      </w:r>
      <w:r w:rsidRPr="0047272A">
        <w:rPr>
          <w:rFonts w:ascii="Calibri" w:hAnsi="Calibri" w:cs="Calibri"/>
          <w:b/>
          <w:bCs/>
          <w:lang w:val="en-GB"/>
        </w:rPr>
        <w:t>344</w:t>
      </w:r>
      <w:r w:rsidRPr="0047272A">
        <w:rPr>
          <w:rFonts w:ascii="Calibri" w:hAnsi="Calibri" w:cs="Calibri"/>
          <w:lang w:val="en-GB"/>
        </w:rPr>
        <w:t>, 1109–1113.</w:t>
      </w:r>
    </w:p>
    <w:p w14:paraId="2729DF9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Wernet, C. Bauer, B. Steubing, J. Reinhard, E. Moreno-Ruiz and B. Weidema, </w:t>
      </w:r>
      <w:r w:rsidRPr="0047272A">
        <w:rPr>
          <w:rFonts w:ascii="Calibri" w:hAnsi="Calibri" w:cs="Calibri"/>
          <w:i/>
          <w:iCs/>
          <w:lang w:val="en-GB"/>
        </w:rPr>
        <w:t>Int. J. Life Cycle Assess.</w:t>
      </w:r>
      <w:r w:rsidRPr="0047272A">
        <w:rPr>
          <w:rFonts w:ascii="Calibri" w:hAnsi="Calibri" w:cs="Calibri"/>
          <w:lang w:val="en-GB"/>
        </w:rPr>
        <w:t xml:space="preserve">, 2016, </w:t>
      </w:r>
      <w:r w:rsidRPr="0047272A">
        <w:rPr>
          <w:rFonts w:ascii="Calibri" w:hAnsi="Calibri" w:cs="Calibri"/>
          <w:b/>
          <w:bCs/>
          <w:lang w:val="en-GB"/>
        </w:rPr>
        <w:t>21</w:t>
      </w:r>
      <w:r w:rsidRPr="0047272A">
        <w:rPr>
          <w:rFonts w:ascii="Calibri" w:hAnsi="Calibri" w:cs="Calibri"/>
          <w:lang w:val="en-GB"/>
        </w:rPr>
        <w:t>, 1218–1230.</w:t>
      </w:r>
    </w:p>
    <w:p w14:paraId="0C73868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M. A. J. Huijbregts, Z. J. N. Steinmann, P. M. F. Elshout, G. Stam, F. Verones, M. Vieira, M. Zijp, A. Hollander and R. van Zelm, </w:t>
      </w:r>
      <w:r w:rsidRPr="0047272A">
        <w:rPr>
          <w:rFonts w:ascii="Calibri" w:hAnsi="Calibri" w:cs="Calibri"/>
          <w:i/>
          <w:iCs/>
          <w:lang w:val="en-GB"/>
        </w:rPr>
        <w:t>Int. J. Life Cycle Assess.</w:t>
      </w:r>
      <w:r w:rsidRPr="0047272A">
        <w:rPr>
          <w:rFonts w:ascii="Calibri" w:hAnsi="Calibri" w:cs="Calibri"/>
          <w:lang w:val="en-GB"/>
        </w:rPr>
        <w:t xml:space="preserve">, 2017, </w:t>
      </w:r>
      <w:r w:rsidRPr="0047272A">
        <w:rPr>
          <w:rFonts w:ascii="Calibri" w:hAnsi="Calibri" w:cs="Calibri"/>
          <w:b/>
          <w:bCs/>
          <w:lang w:val="en-GB"/>
        </w:rPr>
        <w:t>22</w:t>
      </w:r>
      <w:r w:rsidRPr="0047272A">
        <w:rPr>
          <w:rFonts w:ascii="Calibri" w:hAnsi="Calibri" w:cs="Calibri"/>
          <w:lang w:val="en-GB"/>
        </w:rPr>
        <w:t>, 138–147.</w:t>
      </w:r>
    </w:p>
    <w:p w14:paraId="46FD1813" w14:textId="77777777" w:rsidR="008A3579" w:rsidRPr="0047272A" w:rsidRDefault="008A3579" w:rsidP="008A3579">
      <w:pPr>
        <w:spacing w:after="0"/>
        <w:jc w:val="both"/>
        <w:rPr>
          <w:lang w:val="en-GB"/>
        </w:rPr>
      </w:pPr>
      <w:r w:rsidRPr="0047272A">
        <w:rPr>
          <w:rFonts w:cstheme="minorHAnsi"/>
          <w:lang w:val="en-GB"/>
        </w:rPr>
        <w:lastRenderedPageBreak/>
        <w:fldChar w:fldCharType="end"/>
      </w:r>
      <w:bookmarkEnd w:id="0"/>
      <w:bookmarkEnd w:id="1"/>
      <w:bookmarkEnd w:id="8"/>
    </w:p>
    <w:p w14:paraId="769176BA" w14:textId="77777777" w:rsidR="008A3579" w:rsidRPr="0047272A" w:rsidRDefault="008A3579" w:rsidP="008A3579">
      <w:pPr>
        <w:spacing w:after="0"/>
        <w:rPr>
          <w:lang w:val="en-GB"/>
        </w:rPr>
      </w:pPr>
    </w:p>
    <w:p w14:paraId="4584B801" w14:textId="77777777" w:rsidR="008A3579" w:rsidRPr="0047272A" w:rsidRDefault="008A3579" w:rsidP="008A3579">
      <w:pPr>
        <w:spacing w:after="0"/>
        <w:rPr>
          <w:lang w:val="en-GB"/>
        </w:rPr>
      </w:pPr>
    </w:p>
    <w:bookmarkEnd w:id="2"/>
    <w:p w14:paraId="0F93D0B6" w14:textId="77777777" w:rsidR="001247FE" w:rsidRPr="0047272A" w:rsidRDefault="001247FE" w:rsidP="008A3579">
      <w:pPr>
        <w:spacing w:after="0"/>
        <w:rPr>
          <w:lang w:val="en-GB"/>
        </w:rPr>
      </w:pPr>
    </w:p>
    <w:sectPr w:rsidR="001247FE" w:rsidRPr="0047272A" w:rsidSect="001247FE">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868BD" w14:textId="77777777" w:rsidR="00CD0A58" w:rsidRDefault="00CD0A58">
      <w:pPr>
        <w:spacing w:after="0" w:line="240" w:lineRule="auto"/>
      </w:pPr>
      <w:r>
        <w:separator/>
      </w:r>
    </w:p>
  </w:endnote>
  <w:endnote w:type="continuationSeparator" w:id="0">
    <w:p w14:paraId="12C9398E" w14:textId="77777777" w:rsidR="00CD0A58" w:rsidRDefault="00CD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0EFFF434" w14:textId="77777777" w:rsidR="001247FE" w:rsidRDefault="001247F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C481A0E" w14:textId="77777777" w:rsidR="001247FE" w:rsidRDefault="00124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1A2099" w14:textId="77777777" w:rsidR="00CD0A58" w:rsidRDefault="00CD0A58">
      <w:pPr>
        <w:spacing w:after="0" w:line="240" w:lineRule="auto"/>
      </w:pPr>
      <w:r>
        <w:separator/>
      </w:r>
    </w:p>
  </w:footnote>
  <w:footnote w:type="continuationSeparator" w:id="0">
    <w:p w14:paraId="0012223B" w14:textId="77777777" w:rsidR="00CD0A58" w:rsidRDefault="00CD0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3C60B0"/>
    <w:multiLevelType w:val="hybridMultilevel"/>
    <w:tmpl w:val="1616D1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ocumentProtection w:edit="trackedChange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79"/>
    <w:rsid w:val="000246AC"/>
    <w:rsid w:val="00032C70"/>
    <w:rsid w:val="00035625"/>
    <w:rsid w:val="00040273"/>
    <w:rsid w:val="000653AE"/>
    <w:rsid w:val="0006761E"/>
    <w:rsid w:val="000831C0"/>
    <w:rsid w:val="000C1D09"/>
    <w:rsid w:val="000E6FA5"/>
    <w:rsid w:val="000F182C"/>
    <w:rsid w:val="000F6B56"/>
    <w:rsid w:val="00102A51"/>
    <w:rsid w:val="00105BA1"/>
    <w:rsid w:val="001247FE"/>
    <w:rsid w:val="0012667D"/>
    <w:rsid w:val="0014665C"/>
    <w:rsid w:val="001641AE"/>
    <w:rsid w:val="00166588"/>
    <w:rsid w:val="00182D93"/>
    <w:rsid w:val="001A4E8B"/>
    <w:rsid w:val="001B23B5"/>
    <w:rsid w:val="001B516D"/>
    <w:rsid w:val="001C782A"/>
    <w:rsid w:val="001E19F8"/>
    <w:rsid w:val="001F1F26"/>
    <w:rsid w:val="00201F32"/>
    <w:rsid w:val="0020328A"/>
    <w:rsid w:val="002105A0"/>
    <w:rsid w:val="0023004D"/>
    <w:rsid w:val="00265A6F"/>
    <w:rsid w:val="0026672C"/>
    <w:rsid w:val="00273CBF"/>
    <w:rsid w:val="00287D92"/>
    <w:rsid w:val="00297C9C"/>
    <w:rsid w:val="002A5761"/>
    <w:rsid w:val="002C03AB"/>
    <w:rsid w:val="002C79A5"/>
    <w:rsid w:val="002E5DC0"/>
    <w:rsid w:val="00303E52"/>
    <w:rsid w:val="00317054"/>
    <w:rsid w:val="00342FD2"/>
    <w:rsid w:val="00354DFE"/>
    <w:rsid w:val="00367384"/>
    <w:rsid w:val="0037093E"/>
    <w:rsid w:val="003A6936"/>
    <w:rsid w:val="003B5D5A"/>
    <w:rsid w:val="003C2A78"/>
    <w:rsid w:val="003C4DE3"/>
    <w:rsid w:val="004115C5"/>
    <w:rsid w:val="00414424"/>
    <w:rsid w:val="00421538"/>
    <w:rsid w:val="00434C13"/>
    <w:rsid w:val="00452F17"/>
    <w:rsid w:val="004538C8"/>
    <w:rsid w:val="004621F9"/>
    <w:rsid w:val="0047272A"/>
    <w:rsid w:val="00473FA4"/>
    <w:rsid w:val="00483C0B"/>
    <w:rsid w:val="0049215D"/>
    <w:rsid w:val="004959C5"/>
    <w:rsid w:val="004A6DD1"/>
    <w:rsid w:val="004B7E57"/>
    <w:rsid w:val="004C0E7C"/>
    <w:rsid w:val="004C2C29"/>
    <w:rsid w:val="004F3039"/>
    <w:rsid w:val="004F3369"/>
    <w:rsid w:val="005028D5"/>
    <w:rsid w:val="00511164"/>
    <w:rsid w:val="005437BA"/>
    <w:rsid w:val="00550978"/>
    <w:rsid w:val="005534CB"/>
    <w:rsid w:val="00561AC6"/>
    <w:rsid w:val="005645CE"/>
    <w:rsid w:val="005760F1"/>
    <w:rsid w:val="00591B82"/>
    <w:rsid w:val="005B3FBE"/>
    <w:rsid w:val="005B7710"/>
    <w:rsid w:val="005C4C8F"/>
    <w:rsid w:val="005E3244"/>
    <w:rsid w:val="005E4BD8"/>
    <w:rsid w:val="005F0C06"/>
    <w:rsid w:val="005F6D2A"/>
    <w:rsid w:val="00604B41"/>
    <w:rsid w:val="00605B66"/>
    <w:rsid w:val="00612E4C"/>
    <w:rsid w:val="0061661C"/>
    <w:rsid w:val="00622E3B"/>
    <w:rsid w:val="00662445"/>
    <w:rsid w:val="0067483D"/>
    <w:rsid w:val="00675934"/>
    <w:rsid w:val="00695DFB"/>
    <w:rsid w:val="006B1508"/>
    <w:rsid w:val="006D0B6D"/>
    <w:rsid w:val="006D182F"/>
    <w:rsid w:val="006D647D"/>
    <w:rsid w:val="006E3721"/>
    <w:rsid w:val="006F4C47"/>
    <w:rsid w:val="006F59DF"/>
    <w:rsid w:val="007035ED"/>
    <w:rsid w:val="00713948"/>
    <w:rsid w:val="00742B73"/>
    <w:rsid w:val="00745718"/>
    <w:rsid w:val="007602C4"/>
    <w:rsid w:val="00764E4C"/>
    <w:rsid w:val="00774B39"/>
    <w:rsid w:val="00777C05"/>
    <w:rsid w:val="007916F5"/>
    <w:rsid w:val="008063A4"/>
    <w:rsid w:val="00810C45"/>
    <w:rsid w:val="008147FA"/>
    <w:rsid w:val="00830F8D"/>
    <w:rsid w:val="008532F0"/>
    <w:rsid w:val="00856EB6"/>
    <w:rsid w:val="008A1237"/>
    <w:rsid w:val="008A3579"/>
    <w:rsid w:val="008A7377"/>
    <w:rsid w:val="008D5899"/>
    <w:rsid w:val="008D5DA9"/>
    <w:rsid w:val="008E701D"/>
    <w:rsid w:val="009130E9"/>
    <w:rsid w:val="00945BA1"/>
    <w:rsid w:val="00945F89"/>
    <w:rsid w:val="009649BA"/>
    <w:rsid w:val="0096504C"/>
    <w:rsid w:val="009866E5"/>
    <w:rsid w:val="009902C4"/>
    <w:rsid w:val="009A7D2D"/>
    <w:rsid w:val="009B0151"/>
    <w:rsid w:val="009D5C3E"/>
    <w:rsid w:val="009E14ED"/>
    <w:rsid w:val="009E4282"/>
    <w:rsid w:val="00A07CC4"/>
    <w:rsid w:val="00A166C5"/>
    <w:rsid w:val="00A354C2"/>
    <w:rsid w:val="00A8234D"/>
    <w:rsid w:val="00A83309"/>
    <w:rsid w:val="00AA0B97"/>
    <w:rsid w:val="00AA4E0B"/>
    <w:rsid w:val="00AA7E81"/>
    <w:rsid w:val="00AB3714"/>
    <w:rsid w:val="00AB5D88"/>
    <w:rsid w:val="00AC0606"/>
    <w:rsid w:val="00AD3107"/>
    <w:rsid w:val="00AD5FE2"/>
    <w:rsid w:val="00AE3C28"/>
    <w:rsid w:val="00AF5B55"/>
    <w:rsid w:val="00B06881"/>
    <w:rsid w:val="00B21C46"/>
    <w:rsid w:val="00B70BC7"/>
    <w:rsid w:val="00B727EA"/>
    <w:rsid w:val="00B91A55"/>
    <w:rsid w:val="00BA7FD4"/>
    <w:rsid w:val="00BB63DE"/>
    <w:rsid w:val="00BF0CDD"/>
    <w:rsid w:val="00BF2A49"/>
    <w:rsid w:val="00C32D3A"/>
    <w:rsid w:val="00C340CC"/>
    <w:rsid w:val="00C42E71"/>
    <w:rsid w:val="00C51528"/>
    <w:rsid w:val="00C53B57"/>
    <w:rsid w:val="00C8061B"/>
    <w:rsid w:val="00CA48AB"/>
    <w:rsid w:val="00CA563B"/>
    <w:rsid w:val="00CA7D24"/>
    <w:rsid w:val="00CB30A7"/>
    <w:rsid w:val="00CD0A58"/>
    <w:rsid w:val="00CF1D38"/>
    <w:rsid w:val="00D02932"/>
    <w:rsid w:val="00D1207D"/>
    <w:rsid w:val="00D20065"/>
    <w:rsid w:val="00D37431"/>
    <w:rsid w:val="00D57D0F"/>
    <w:rsid w:val="00D62296"/>
    <w:rsid w:val="00D766F6"/>
    <w:rsid w:val="00D82E66"/>
    <w:rsid w:val="00D95FFC"/>
    <w:rsid w:val="00D977A5"/>
    <w:rsid w:val="00DC0FF6"/>
    <w:rsid w:val="00DC3BC4"/>
    <w:rsid w:val="00DE3301"/>
    <w:rsid w:val="00DE747F"/>
    <w:rsid w:val="00E453B6"/>
    <w:rsid w:val="00E6138B"/>
    <w:rsid w:val="00E825C8"/>
    <w:rsid w:val="00E83316"/>
    <w:rsid w:val="00ED126F"/>
    <w:rsid w:val="00EE119E"/>
    <w:rsid w:val="00EE324B"/>
    <w:rsid w:val="00F12E54"/>
    <w:rsid w:val="00F1501D"/>
    <w:rsid w:val="00F269E7"/>
    <w:rsid w:val="00F341F0"/>
    <w:rsid w:val="00F45114"/>
    <w:rsid w:val="00F6704B"/>
    <w:rsid w:val="00F90036"/>
    <w:rsid w:val="00FA18C9"/>
    <w:rsid w:val="00FB7765"/>
    <w:rsid w:val="00FC3614"/>
    <w:rsid w:val="00FC5075"/>
    <w:rsid w:val="00FF0FC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DA86"/>
  <w15:chartTrackingRefBased/>
  <w15:docId w15:val="{A246349B-0B88-484E-AA6F-175F48F3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79"/>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8A3579"/>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8A3579"/>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8A3579"/>
  </w:style>
  <w:style w:type="character" w:customStyle="1" w:styleId="Heading1Char">
    <w:name w:val="Heading 1 Char"/>
    <w:basedOn w:val="DefaultParagraphFont"/>
    <w:link w:val="Heading1"/>
    <w:uiPriority w:val="9"/>
    <w:rsid w:val="008A3579"/>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8A3579"/>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8A3579"/>
    <w:rPr>
      <w:rFonts w:ascii="Calibri" w:eastAsiaTheme="majorEastAsia" w:hAnsi="Calibri" w:cstheme="majorBidi"/>
      <w:b/>
      <w:szCs w:val="24"/>
      <w:lang w:val="en-GB"/>
    </w:rPr>
  </w:style>
  <w:style w:type="character" w:styleId="Hyperlink">
    <w:name w:val="Hyperlink"/>
    <w:basedOn w:val="DefaultParagraphFont"/>
    <w:uiPriority w:val="99"/>
    <w:unhideWhenUsed/>
    <w:rsid w:val="008A3579"/>
    <w:rPr>
      <w:color w:val="0563C1" w:themeColor="hyperlink"/>
      <w:u w:val="single"/>
    </w:rPr>
  </w:style>
  <w:style w:type="character" w:styleId="CommentReference">
    <w:name w:val="annotation reference"/>
    <w:basedOn w:val="DefaultParagraphFont"/>
    <w:uiPriority w:val="99"/>
    <w:semiHidden/>
    <w:unhideWhenUsed/>
    <w:rsid w:val="008A3579"/>
    <w:rPr>
      <w:sz w:val="16"/>
      <w:szCs w:val="16"/>
    </w:rPr>
  </w:style>
  <w:style w:type="paragraph" w:styleId="CommentText">
    <w:name w:val="annotation text"/>
    <w:basedOn w:val="Normal"/>
    <w:link w:val="CommentTextChar"/>
    <w:uiPriority w:val="99"/>
    <w:unhideWhenUsed/>
    <w:rsid w:val="008A3579"/>
    <w:pPr>
      <w:spacing w:line="240" w:lineRule="auto"/>
    </w:pPr>
    <w:rPr>
      <w:sz w:val="20"/>
      <w:szCs w:val="20"/>
      <w:lang w:val="en-GB"/>
    </w:rPr>
  </w:style>
  <w:style w:type="character" w:customStyle="1" w:styleId="CommentTextChar">
    <w:name w:val="Comment Text Char"/>
    <w:basedOn w:val="DefaultParagraphFont"/>
    <w:link w:val="CommentText"/>
    <w:uiPriority w:val="99"/>
    <w:rsid w:val="008A3579"/>
    <w:rPr>
      <w:sz w:val="20"/>
      <w:szCs w:val="20"/>
      <w:lang w:val="en-GB"/>
    </w:rPr>
  </w:style>
  <w:style w:type="paragraph" w:styleId="Footer">
    <w:name w:val="footer"/>
    <w:basedOn w:val="Normal"/>
    <w:link w:val="FooterChar"/>
    <w:uiPriority w:val="99"/>
    <w:unhideWhenUsed/>
    <w:rsid w:val="008A3579"/>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8A3579"/>
    <w:rPr>
      <w:lang w:val="en-GB"/>
    </w:rPr>
  </w:style>
  <w:style w:type="paragraph" w:styleId="Caption">
    <w:name w:val="caption"/>
    <w:basedOn w:val="Normal"/>
    <w:next w:val="Normal"/>
    <w:uiPriority w:val="35"/>
    <w:unhideWhenUsed/>
    <w:qFormat/>
    <w:rsid w:val="008A3579"/>
    <w:pPr>
      <w:spacing w:after="200" w:line="240" w:lineRule="auto"/>
    </w:pPr>
    <w:rPr>
      <w:i/>
      <w:iCs/>
      <w:color w:val="44546A" w:themeColor="text2"/>
      <w:sz w:val="18"/>
      <w:szCs w:val="18"/>
      <w:lang w:val="en-GB"/>
    </w:rPr>
  </w:style>
  <w:style w:type="table" w:styleId="TableGrid">
    <w:name w:val="Table Grid"/>
    <w:basedOn w:val="TableNormal"/>
    <w:uiPriority w:val="39"/>
    <w:rsid w:val="008A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8A3579"/>
    <w:rPr>
      <w:rFonts w:asciiTheme="minorHAnsi" w:hAnsiTheme="minorHAnsi" w:cstheme="minorHAnsi"/>
      <w:vanish/>
      <w:color w:val="FF0000"/>
      <w:lang w:val="en-GB"/>
    </w:rPr>
  </w:style>
  <w:style w:type="paragraph" w:styleId="BalloonText">
    <w:name w:val="Balloon Text"/>
    <w:basedOn w:val="Normal"/>
    <w:link w:val="BalloonTextChar"/>
    <w:uiPriority w:val="99"/>
    <w:semiHidden/>
    <w:unhideWhenUsed/>
    <w:rsid w:val="00273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3C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07031-E316-47DB-88FE-027F2121B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17737</Words>
  <Characters>111748</Characters>
  <Application>Microsoft Office Word</Application>
  <DocSecurity>0</DocSecurity>
  <Lines>931</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354</cp:revision>
  <cp:lastPrinted>2023-03-17T09:24:00Z</cp:lastPrinted>
  <dcterms:created xsi:type="dcterms:W3CDTF">2023-03-16T08:38:00Z</dcterms:created>
  <dcterms:modified xsi:type="dcterms:W3CDTF">2023-03-17T10:11:00Z</dcterms:modified>
</cp:coreProperties>
</file>