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128129518"/>
    <w:bookmarkStart w:id="1" w:name="_Hlk129195373"/>
    <w:bookmarkStart w:id="2" w:name="_Hlk129851980"/>
    <w:p w14:paraId="25BFF9DF" w14:textId="58258C4B" w:rsidR="008A3579" w:rsidRPr="0047272A" w:rsidRDefault="008A3579" w:rsidP="008A3579">
      <w:pPr>
        <w:pStyle w:val="Heading1"/>
        <w:spacing w:before="0" w:after="160"/>
        <w:rPr>
          <w:rFonts w:asciiTheme="minorHAnsi" w:hAnsiTheme="minorHAnsi" w:cstheme="minorHAnsi"/>
          <w:lang w:val="en-GB"/>
        </w:rPr>
      </w:pPr>
      <w:r w:rsidRPr="0047272A">
        <w:rPr>
          <w:rFonts w:asciiTheme="minorHAnsi" w:hAnsiTheme="minorHAnsi" w:cstheme="minorHAnsi"/>
          <w:lang w:val="en-GB"/>
        </w:rPr>
        <w:fldChar w:fldCharType="begin"/>
      </w:r>
      <w:r w:rsidRPr="0047272A">
        <w:rPr>
          <w:rFonts w:asciiTheme="minorHAnsi" w:hAnsiTheme="minorHAnsi" w:cstheme="minorHAnsi"/>
          <w:lang w:val="en-GB"/>
        </w:rPr>
        <w:instrText xml:space="preserve"> MACROBUTTON MTEditEquationSection2 </w:instrText>
      </w:r>
      <w:r w:rsidRPr="0047272A">
        <w:rPr>
          <w:rStyle w:val="MTEquationSection"/>
        </w:rPr>
        <w:instrText>Equation Chapter 1 Section 1</w:instrText>
      </w:r>
      <w:r w:rsidRPr="0047272A">
        <w:rPr>
          <w:rFonts w:asciiTheme="minorHAnsi" w:hAnsiTheme="minorHAnsi" w:cstheme="minorHAnsi"/>
          <w:lang w:val="en-GB"/>
        </w:rPr>
        <w:fldChar w:fldCharType="begin"/>
      </w:r>
      <w:r w:rsidRPr="0047272A">
        <w:rPr>
          <w:rFonts w:asciiTheme="minorHAnsi" w:hAnsiTheme="minorHAnsi" w:cstheme="minorHAnsi"/>
          <w:lang w:val="en-GB"/>
        </w:rPr>
        <w:instrText xml:space="preserve"> SEQ MTEqn \r \h \* MERGEFORMAT </w:instrText>
      </w:r>
      <w:r w:rsidRPr="0047272A">
        <w:rPr>
          <w:rFonts w:asciiTheme="minorHAnsi" w:hAnsiTheme="minorHAnsi" w:cstheme="minorHAnsi"/>
          <w:lang w:val="en-GB"/>
        </w:rPr>
        <w:fldChar w:fldCharType="end"/>
      </w:r>
      <w:r w:rsidRPr="0047272A">
        <w:rPr>
          <w:rFonts w:asciiTheme="minorHAnsi" w:hAnsiTheme="minorHAnsi" w:cstheme="minorHAnsi"/>
          <w:lang w:val="en-GB"/>
        </w:rPr>
        <w:fldChar w:fldCharType="begin"/>
      </w:r>
      <w:r w:rsidRPr="0047272A">
        <w:rPr>
          <w:rFonts w:asciiTheme="minorHAnsi" w:hAnsiTheme="minorHAnsi" w:cstheme="minorHAnsi"/>
          <w:lang w:val="en-GB"/>
        </w:rPr>
        <w:instrText xml:space="preserve"> SEQ MTSec \r 1 \h \* MERGEFORMAT </w:instrText>
      </w:r>
      <w:r w:rsidRPr="0047272A">
        <w:rPr>
          <w:rFonts w:asciiTheme="minorHAnsi" w:hAnsiTheme="minorHAnsi" w:cstheme="minorHAnsi"/>
          <w:lang w:val="en-GB"/>
        </w:rPr>
        <w:fldChar w:fldCharType="end"/>
      </w:r>
      <w:r w:rsidRPr="0047272A">
        <w:rPr>
          <w:rFonts w:asciiTheme="minorHAnsi" w:hAnsiTheme="minorHAnsi" w:cstheme="minorHAnsi"/>
          <w:lang w:val="en-GB"/>
        </w:rPr>
        <w:fldChar w:fldCharType="begin"/>
      </w:r>
      <w:r w:rsidRPr="0047272A">
        <w:rPr>
          <w:rFonts w:asciiTheme="minorHAnsi" w:hAnsiTheme="minorHAnsi" w:cstheme="minorHAnsi"/>
          <w:lang w:val="en-GB"/>
        </w:rPr>
        <w:instrText xml:space="preserve"> SEQ MTChap \r 1 \h \* MERGEFORMAT </w:instrText>
      </w:r>
      <w:r w:rsidRPr="0047272A">
        <w:rPr>
          <w:rFonts w:asciiTheme="minorHAnsi" w:hAnsiTheme="minorHAnsi" w:cstheme="minorHAnsi"/>
          <w:lang w:val="en-GB"/>
        </w:rPr>
        <w:fldChar w:fldCharType="end"/>
      </w:r>
      <w:r w:rsidRPr="0047272A">
        <w:rPr>
          <w:rFonts w:asciiTheme="minorHAnsi" w:hAnsiTheme="minorHAnsi" w:cstheme="minorHAnsi"/>
          <w:lang w:val="en-GB"/>
        </w:rPr>
        <w:fldChar w:fldCharType="end"/>
      </w:r>
      <w:r w:rsidRPr="0047272A">
        <w:rPr>
          <w:rFonts w:asciiTheme="minorHAnsi" w:hAnsiTheme="minorHAnsi" w:cstheme="minorHAnsi"/>
          <w:lang w:val="en-GB"/>
        </w:rPr>
        <w:t>Energy crisis in Europe revamps the economic competitiveness of green chemicals</w:t>
      </w:r>
    </w:p>
    <w:p w14:paraId="50E19762" w14:textId="77777777" w:rsidR="008A3579" w:rsidRPr="0047272A" w:rsidRDefault="008A3579" w:rsidP="008A3579">
      <w:pPr>
        <w:jc w:val="both"/>
        <w:rPr>
          <w:rFonts w:cstheme="minorHAnsi"/>
          <w:vertAlign w:val="superscript"/>
          <w:lang w:val="en-GB"/>
        </w:rPr>
      </w:pPr>
      <w:r w:rsidRPr="0047272A">
        <w:rPr>
          <w:rFonts w:cstheme="minorHAnsi"/>
          <w:lang w:val="en-GB"/>
        </w:rPr>
        <w:t>Abhinandan Nabera, Ioan</w:t>
      </w:r>
      <w:r w:rsidRPr="0047272A">
        <w:rPr>
          <w:rFonts w:cstheme="minorHAnsi"/>
          <w:lang w:val="en-GB"/>
        </w:rPr>
        <w:noBreakHyphen/>
        <w:t xml:space="preserve">Robert Istrate, </w:t>
      </w:r>
      <w:r w:rsidRPr="0047272A">
        <w:rPr>
          <w:lang w:val="en-GB"/>
        </w:rPr>
        <w:t xml:space="preserve">Antonio José Martín, </w:t>
      </w:r>
      <w:r w:rsidRPr="0047272A">
        <w:rPr>
          <w:rFonts w:cstheme="minorHAnsi"/>
          <w:lang w:val="en-GB"/>
        </w:rPr>
        <w:t>Javier Pérez</w:t>
      </w:r>
      <w:r w:rsidRPr="0047272A">
        <w:rPr>
          <w:rFonts w:cstheme="minorHAnsi"/>
          <w:lang w:val="en-GB"/>
        </w:rPr>
        <w:noBreakHyphen/>
        <w:t>Ramírez</w:t>
      </w:r>
      <w:r w:rsidRPr="0047272A">
        <w:rPr>
          <w:rFonts w:cstheme="minorHAnsi"/>
          <w:vertAlign w:val="superscript"/>
          <w:lang w:val="en-GB"/>
        </w:rPr>
        <w:t>*</w:t>
      </w:r>
      <w:r w:rsidRPr="0047272A">
        <w:rPr>
          <w:rFonts w:cstheme="minorHAnsi"/>
          <w:lang w:val="en-GB"/>
        </w:rPr>
        <w:t xml:space="preserve"> and Gonzalo Guillén</w:t>
      </w:r>
      <w:r w:rsidRPr="0047272A">
        <w:rPr>
          <w:rFonts w:cstheme="minorHAnsi"/>
          <w:lang w:val="en-GB"/>
        </w:rPr>
        <w:noBreakHyphen/>
        <w:t>Gosálbez</w:t>
      </w:r>
      <w:r w:rsidRPr="0047272A">
        <w:rPr>
          <w:rFonts w:cstheme="minorHAnsi"/>
          <w:vertAlign w:val="superscript"/>
          <w:lang w:val="en-GB"/>
        </w:rPr>
        <w:t>*</w:t>
      </w:r>
    </w:p>
    <w:p w14:paraId="79796D5B" w14:textId="77777777" w:rsidR="008A3579" w:rsidRPr="0047272A" w:rsidRDefault="008A3579" w:rsidP="008A3579">
      <w:pPr>
        <w:jc w:val="both"/>
        <w:rPr>
          <w:rFonts w:cstheme="minorHAnsi"/>
          <w:sz w:val="20"/>
          <w:szCs w:val="20"/>
          <w:lang w:val="en-GB"/>
        </w:rPr>
      </w:pPr>
      <w:r w:rsidRPr="0047272A">
        <w:rPr>
          <w:rFonts w:cstheme="minorHAnsi"/>
          <w:sz w:val="20"/>
          <w:szCs w:val="20"/>
          <w:lang w:val="en-GB"/>
        </w:rPr>
        <w:t>Institute for Chemical and Bioengineering, Department of Chemistry and Applied Biosciences, ETH Zürich, Vladimir</w:t>
      </w:r>
      <w:r w:rsidRPr="0047272A">
        <w:rPr>
          <w:rFonts w:cstheme="minorHAnsi"/>
          <w:sz w:val="20"/>
          <w:szCs w:val="20"/>
          <w:lang w:val="en-GB"/>
        </w:rPr>
        <w:noBreakHyphen/>
        <w:t>Prelog</w:t>
      </w:r>
      <w:r w:rsidRPr="0047272A">
        <w:rPr>
          <w:rFonts w:cstheme="minorHAnsi"/>
          <w:sz w:val="20"/>
          <w:szCs w:val="20"/>
          <w:lang w:val="en-GB"/>
        </w:rPr>
        <w:noBreakHyphen/>
        <w:t>Weg 1, Zürich 8093, Switzerland</w:t>
      </w:r>
    </w:p>
    <w:p w14:paraId="42652555" w14:textId="77777777" w:rsidR="008A3579" w:rsidRPr="0047272A" w:rsidRDefault="008A3579" w:rsidP="008A3579">
      <w:pPr>
        <w:jc w:val="both"/>
        <w:rPr>
          <w:rFonts w:cstheme="minorHAnsi"/>
          <w:sz w:val="20"/>
          <w:szCs w:val="20"/>
          <w:lang w:val="en-GB"/>
        </w:rPr>
      </w:pPr>
      <w:r w:rsidRPr="0047272A">
        <w:rPr>
          <w:rFonts w:cstheme="minorHAnsi"/>
          <w:sz w:val="20"/>
          <w:szCs w:val="20"/>
          <w:lang w:val="en-GB"/>
        </w:rPr>
        <w:t>*Corresponding authors:</w:t>
      </w:r>
      <w:r w:rsidRPr="0047272A">
        <w:rPr>
          <w:rStyle w:val="Hyperlink"/>
          <w:rFonts w:cstheme="minorHAnsi"/>
          <w:sz w:val="20"/>
          <w:szCs w:val="20"/>
          <w:lang w:val="en-GB"/>
        </w:rPr>
        <w:t xml:space="preserve"> jpr@chem.ethz.ch</w:t>
      </w:r>
      <w:r w:rsidRPr="0047272A">
        <w:rPr>
          <w:rFonts w:cstheme="minorHAnsi"/>
          <w:sz w:val="20"/>
          <w:szCs w:val="20"/>
          <w:lang w:val="en-GB"/>
        </w:rPr>
        <w:t xml:space="preserve">; </w:t>
      </w:r>
      <w:hyperlink r:id="rId8" w:history="1">
        <w:r w:rsidRPr="0047272A">
          <w:rPr>
            <w:rStyle w:val="Hyperlink"/>
            <w:rFonts w:cstheme="minorHAnsi"/>
            <w:sz w:val="20"/>
            <w:szCs w:val="20"/>
            <w:lang w:val="en-GB"/>
          </w:rPr>
          <w:t>gonzalo.guillen.gosalbez@chem.ethz.ch</w:t>
        </w:r>
      </w:hyperlink>
    </w:p>
    <w:p w14:paraId="3D560FA9" w14:textId="77777777" w:rsidR="008A3579" w:rsidRPr="0047272A" w:rsidRDefault="008A3579" w:rsidP="008A3579">
      <w:pPr>
        <w:pStyle w:val="Heading2"/>
        <w:jc w:val="both"/>
        <w:rPr>
          <w:rFonts w:cstheme="minorHAnsi"/>
        </w:rPr>
      </w:pPr>
      <w:r w:rsidRPr="0047272A">
        <w:rPr>
          <w:rFonts w:cstheme="minorHAnsi"/>
        </w:rPr>
        <w:t>Abstract</w:t>
      </w:r>
    </w:p>
    <w:p w14:paraId="29A3A1CF" w14:textId="78C69A87" w:rsidR="008A3579" w:rsidRPr="0047272A" w:rsidRDefault="008A3579" w:rsidP="008A3579">
      <w:pPr>
        <w:jc w:val="both"/>
        <w:rPr>
          <w:lang w:val="en-GB"/>
        </w:rPr>
      </w:pPr>
      <w:r w:rsidRPr="0047272A">
        <w:rPr>
          <w:lang w:val="en-GB"/>
        </w:rPr>
        <w:t>Ammonia and methanol are essential to modern societies, but their production has been heavily reliant on natural gas, which contributes to supply disruptions and significant CO</w:t>
      </w:r>
      <w:r w:rsidRPr="0047272A">
        <w:rPr>
          <w:vertAlign w:val="subscript"/>
          <w:lang w:val="en-GB"/>
        </w:rPr>
        <w:t>2</w:t>
      </w:r>
      <w:r w:rsidRPr="0047272A">
        <w:rPr>
          <w:lang w:val="en-GB"/>
        </w:rPr>
        <w:t xml:space="preserve"> emissions. While low-carbon production routes have been extensively researched, their adoption has been hindered by higher costs. However, a recent energy crisis in Europe has created a unique opportunity to shift towards greener production methods. Green ammonia, produced through wind</w:t>
      </w:r>
      <w:r w:rsidR="00421538" w:rsidRPr="0047272A">
        <w:rPr>
          <w:lang w:val="en-GB"/>
        </w:rPr>
        <w:noBreakHyphen/>
      </w:r>
      <w:r w:rsidRPr="0047272A">
        <w:rPr>
          <w:lang w:val="en-GB"/>
        </w:rPr>
        <w:t>powered water electrolysis, has outperformed its fossil counterpart for six months as of December 2021, and methanol produced through CO</w:t>
      </w:r>
      <w:r w:rsidRPr="0047272A">
        <w:rPr>
          <w:vertAlign w:val="subscript"/>
          <w:lang w:val="en-GB"/>
        </w:rPr>
        <w:t>2</w:t>
      </w:r>
      <w:r w:rsidRPr="0047272A">
        <w:rPr>
          <w:lang w:val="en-GB"/>
        </w:rPr>
        <w:t xml:space="preserve"> capture and wind</w:t>
      </w:r>
      <w:r w:rsidR="0037093E" w:rsidRPr="0047272A">
        <w:rPr>
          <w:lang w:val="en-GB"/>
        </w:rPr>
        <w:noBreakHyphen/>
      </w:r>
      <w:r w:rsidRPr="0047272A">
        <w:rPr>
          <w:lang w:val="en-GB"/>
        </w:rPr>
        <w:t>water electrolysis became an</w:t>
      </w:r>
      <w:r w:rsidR="00F1501D">
        <w:rPr>
          <w:lang w:val="en-GB"/>
        </w:rPr>
        <w:t xml:space="preserve"> </w:t>
      </w:r>
      <w:r w:rsidRPr="0047272A">
        <w:rPr>
          <w:lang w:val="en-GB"/>
        </w:rPr>
        <w:t>economically appealing alternative. With a coordinated effort from academia, industry, and policymakers, Europe can lead the way in transitioning towards more sustainable practices in the chemical industry.</w:t>
      </w:r>
    </w:p>
    <w:p w14:paraId="05834CC2" w14:textId="77777777" w:rsidR="008A3579" w:rsidRPr="0047272A" w:rsidRDefault="008A3579" w:rsidP="008A3579">
      <w:pPr>
        <w:pStyle w:val="Heading2"/>
      </w:pPr>
      <w:r w:rsidRPr="0047272A">
        <w:t>Introduction</w:t>
      </w:r>
    </w:p>
    <w:p w14:paraId="192457B1" w14:textId="77777777" w:rsidR="008A3579" w:rsidRPr="0047272A" w:rsidRDefault="008A3579" w:rsidP="008A3579">
      <w:pPr>
        <w:jc w:val="both"/>
        <w:rPr>
          <w:rFonts w:cstheme="minorHAnsi"/>
          <w:lang w:val="en-GB"/>
        </w:rPr>
      </w:pPr>
      <w:r w:rsidRPr="0047272A">
        <w:rPr>
          <w:rFonts w:cstheme="minorHAnsi"/>
          <w:lang w:val="en-GB"/>
        </w:rPr>
        <w:t>The chemical industry heavily relies on fossil fuels, making it the origin of 5.6 Gt CO</w:t>
      </w:r>
      <w:r w:rsidRPr="0047272A">
        <w:rPr>
          <w:rFonts w:cstheme="minorHAnsi"/>
          <w:vertAlign w:val="subscript"/>
          <w:lang w:val="en-GB"/>
        </w:rPr>
        <w:t>2</w:t>
      </w:r>
      <w:r w:rsidRPr="0047272A">
        <w:rPr>
          <w:rFonts w:cstheme="minorHAnsi"/>
          <w:lang w:val="en-GB"/>
        </w:rPr>
        <w:t>-eq yr</w:t>
      </w:r>
      <w:r w:rsidRPr="0047272A">
        <w:rPr>
          <w:rFonts w:cstheme="minorHAnsi"/>
          <w:vertAlign w:val="superscript"/>
          <w:lang w:val="en-GB"/>
        </w:rPr>
        <w:t>−1</w:t>
      </w:r>
      <w:r w:rsidRPr="0047272A">
        <w:rPr>
          <w:rFonts w:cstheme="minorHAnsi"/>
          <w:lang w:val="en-GB"/>
        </w:rPr>
        <w:t>, comparable to approximately 10% of global anthropogenic greenhouse gas (GHG) emissions</w:t>
      </w:r>
      <w:r w:rsidRPr="0047272A">
        <w:rPr>
          <w:rFonts w:cstheme="minorHAnsi"/>
          <w:lang w:val="en-GB"/>
        </w:rPr>
        <w:fldChar w:fldCharType="begin"/>
      </w:r>
      <w:r w:rsidRPr="0047272A">
        <w:rPr>
          <w:rFonts w:cstheme="minorHAnsi"/>
          <w:lang w:val="en-GB"/>
        </w:rPr>
        <w:instrText xml:space="preserve"> ADDIN ZOTERO_ITEM CSL_CITATION {"citationID":"y29xtEap","properties":{"formattedCitation":"\\super 1,2\\nosupersub{}","plainCitation":"1,2","noteIndex":0},"citationItems":[{"id":952,"uris":["http://zotero.org/users/9157291/items/PW4PTV2I"],"itemData":{"id":952,"type":"article-journal","abstract":"Chemicals is the industrial sector with the highest energy demand, using a substantial share of global fossil energy and emitting increasing amounts of greenhouse gasses following rapid growth over the past 25 years. Emissions associated with energy used have increased with growth in coal dependent regions but are also commonly underestimated in regions with higher shares of renewable energy. Renewable energy is key to reducing greenhouse gas emissions yet remains niche when considering corporate targets and initiatives aiming at emission reductions, which instead favour incremental energy efficiency improvements. These findings point to a risk for continued lock-in to fossil energy in the industry.","container-title":"Current Opinion in Chemical Engineering","DOI":"10.1016/j.coche.2022.100881","ISSN":"2211-3398","journalAbbreviation":"Curr. Opin. Chem. Eng.","language":"en","page":"100881","source":"ScienceDirect","title":"Mapping GHG emissions and prospects for renewable energy in the chemical industry","volume":"39","author":[{"family":"Bauer","given":"Fredric"},{"family":"Tilsted","given":"Joachim P"},{"family":"Pfister","given":"Stephan"},{"family":"Oberschelp","given":"Christopher"},{"family":"Kulionis","given":"Viktoras"}],"issued":{"date-parts":[["2023",3,1]]}}},{"id":765,"uris":["http://zotero.org/users/9157291/items/8IVAJAL9"],"itemData":{"id":765,"type":"report","abstract":"With the risk of climate breakdown becoming ever more pressing as the world is on track for 2.7 degrees warming, pressure is increasing on all sectors of the economy to break with fossil fuel dependence and reduce greenhouse gas (GHG) emissions. In this context, the chemical industry and the production of important basic chemicals is a key sector to consider. Although historically a driver of economic development, the sector is highly dependent on fossil resources for use as both feedstock and fuel in the production of as well organic as inorganic chemicals. The chemical industry demands both petroleum fractions and natural gas. Petroleum fractions such as naphtha and petroleum gases are used as feedstocks for building block chemicals and polymers (e.g., benzene and polyethylene), while natural gas is used for methanol and ammonia. Indeed, the sector is associated with both large process emissions as well as energy related emissions. Our results demonstrate that in 2020 direct GHG emissions from the petrochemical sector amounted to 1.8 Gt CO2eq which is equivalent to 4% of global GHG emissions. Indirect GHG emissions resulting from the activities in other industries supplying inputs for the petrochemical industry accounted for another 3.8 Gt CO2eq. The petrochemical industry is thus associated with a total of 5.6Gt CO2eq of GHG emissions, equivalent to ~10% of global emissions. Over the past 25 years, emissions associated with petrochemicals have doubled and the sector is the third most GHG emitting industry. This increase is fueled by large growth of petrochemicals production as well as growth in regions with high indirect emissions, i.e., in energy systems with high dependence on coal and other fossil fuels. Over the past decades, the industry has grown rapidly in the Asia-Pacific region especially in China which in 2020 was the source for about 47% of global GHG emissions associated with petrochemicals. USA accounts for 6% of the emissions from the industry and Europe for 5%. The BRIC group of countries, which except for China also includes Brazil, India, and Russia, currently accounts for 57% of GHG emissions from petrochemicals, showing that the emissions from this sector are more geographically clustered in these countries than emissions from other sectors.Proper disaggregated and comparative analyses of key products is currently not possible. Data confidentiality and a high reliance on proxy data limit the reliability of LCA and stands in the way of mapping climate impacts. A strong demand of chemicals life cycle inventory (LCI) data for environmental footprinting has resulted in a general increase of chemicals data in many LCI databases, but the energy demands both for heat and electricity are typically not well-documented for production processes outside the main bulk chemicals. If incinerated at end-of-life plastics and other chemical products will emit embodied carbon as CO2 and if landfilled there is a risk of slow degradation with associated methane emissions. Global estimates based on most LCA datasets will thus significantly underestimate emissions from the chemical industry.The multitude of value chains dependent on the petrochemical industry makes it an important contribution to life cycle emissions in many sectors of the economy. Petrochemicals are used as an intermediate input in many industries and the emissions associated with them thus propagate through the economy, with final demand in manufacturing industries and services being associated with the largest shares of emissions from chemicals. The impacts and emissions downstream in value chains is however poorly understood and disclosure by petrochemical producers is lacking and insufficient. While disclosure of emissions in the industry has increased over the past decades, it remains partial and shows inconsistencies over time. This is due to issues such as different reporting standards, large discrepancies in the extent of disclosure as well as various other gaps and inconsistencies in reporting. This holds for all scopes, although Scope 1 emissions are better covered. Only some firms disclose information about downstream Scope 3 emissions including end-of-life for final products. Emission targets set by firms in the industry do not correspond to the challenge of large and rapid emission reductions. Many targets include only parts of operations and transparent, standardized target-setting is lacking. Reported emission reduction initiatives to achieve targets are far from sufficient focusing mainly on efficiency improvements or insubstantial parts of the operation. Shifting to renewable energy is a key for rapid emission reductions in the industry, yet few firms report strategic targets for this shift. As the industry has historically been closely linked to and integrated with the energy sector it holds a great potential for engaging with the deployment and adoption of renewable energy, although this implies a transformation of the knowledge base and resource allocation in the industry which is still focused on fossil fuels. Roadmaps and scenario analyses show that apart from a shift to renewable energy, a transformation of the industry relies on the deployment of key technologies which are not yet fully developed. This includes new technologies for hydrogen production, e.g., electrolytic (green) hydrogen or hydrogen produced with carbon capture and storage (CCS). New chemical synthesis pathways based on captured carbon, so called carbon capture and utilization (CCU) is also highlighted, but the massive demand for renewable energy associated with this pathway is a significant barrier to its adoption in the near term. The report shows how efficiency improvements continues to be the main focus for reducing the climate impact of petrochemicals, but that this is a completely inadequate approach for achieving the emissions reductions necessary in the coming decades. Breakthrough technologies are unlikely to be deployed at a rate consistent with international climate targets, and there is a great risk in relying on the promises of technologies which are yet to be proven at scale. The large knowledge gaps that remain are key barriers for effective governance of the transition.","number":"IMES/EESS report; Vol. 126","publisher":"Lund University","source":"Lund University","title":"Petrochemicals and Climate Change: Tracing Globally Growing Emissions and Key Blind Spots in a Fossil-Based Industry","title-short":"Petrochemicals and Climate Change","URL":"https://lucris.lub.lu.se/ws/portalfiles/portal/117494791/Petrochemicals_climate_change_review_web.pdf","author":[{"family":"Bauer","given":"Fredric"},{"family":"Kulionis","given":"Viktoras"},{"family":"Oberschelp","given":"Christopher"},{"family":"Pfister","given":"Stephan"},{"family":"Tilsted","given":"Joachim Peter"},{"family":"Finkill","given":"Guy David"},{"family":"Fjäll","given":"Stephanie"}],"issued":{"date-parts":[["2022"]]}}}],"schema":"https://github.com/citation-style-language/schema/raw/master/csl-citation.json"}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1,2</w:t>
      </w:r>
      <w:r w:rsidRPr="0047272A">
        <w:rPr>
          <w:rFonts w:cstheme="minorHAnsi"/>
          <w:lang w:val="en-GB"/>
        </w:rPr>
        <w:fldChar w:fldCharType="end"/>
      </w:r>
      <w:r w:rsidRPr="0047272A">
        <w:rPr>
          <w:rFonts w:cstheme="minorHAnsi"/>
          <w:lang w:val="en-GB"/>
        </w:rPr>
        <w:t>. Ammonia and methanol are key components of the chemical industry, serving as building blocks for various valuable products. Ammonia plays a critical role in the production of nitrogen fertilizers, which are essential for ensuring global food security</w:t>
      </w:r>
      <w:r w:rsidRPr="0047272A">
        <w:rPr>
          <w:rFonts w:cstheme="minorHAnsi"/>
          <w:lang w:val="en-GB"/>
        </w:rPr>
        <w:fldChar w:fldCharType="begin"/>
      </w:r>
      <w:r w:rsidRPr="0047272A">
        <w:rPr>
          <w:rFonts w:cstheme="minorHAnsi"/>
          <w:lang w:val="en-GB"/>
        </w:rPr>
        <w:instrText xml:space="preserve"> ADDIN ZOTERO_ITEM CSL_CITATION {"citationID":"yNeX2kju","properties":{"formattedCitation":"\\super 3,4\\nosupersub{}","plainCitation":"3,4","noteIndex":0},"citationItems":[{"id":934,"uris":["http://zotero.org/users/9157291/items/IIB456LG"],"itemData":{"id":934,"type":"article-journal","abstract":"On 13 October 1908, Fritz Haber filed his patent on the “synthesis of ammonia from its elements” for which he was later awarded the 1918 Nobel Prize in Chemistry. A hundred years on we live in a world transformed by and highly dependent upon Haber–Bosch nitrogen.","container-title":"Nature Geoscience","DOI":"10.1038/ngeo325","ISSN":"1752-0908","issue":"10","journalAbbreviation":"Nat. Geosci.","language":"en","license":"2008 Nature Publishing Group","note":"number: 10\npublisher: Nature Publishing Group","page":"636-639","source":"www.nature.com","title":"How a century of ammonia synthesis changed the world","volume":"1","author":[{"family":"Erisman","given":"Jan Willem"},{"family":"Sutton","given":"Mark A."},{"family":"Galloway","given":"James"},{"family":"Klimont","given":"Zbigniew"},{"family":"Winiwarter","given":"Wilfried"}],"issued":{"date-parts":[["2008",10]]}}},{"id":891,"uris":["http://zotero.org/users/9157291/items/UV7GWX94"],"itemData":{"id":891,"type":"article-journal","abstract":"By synthetically producing nitrogen fertilizers from ammonia (NH3), the Haber–Bosch process has been feeding humanity for more than one hundred years. However, current NH3 production relies on fossil fuels, and is energy and carbon intensive. This commits humanity to emissions levels not compatible with climate goals and commits agricultural production to fossil fuels dependency. Here, we quantify food and energy implications of transitioning nitrogen fertilizers to net-zero CO2 emissions. We find that 1.07 billion people are fed from food produced from imported nitrogen fertilizers. An additional 710 million people are fed from imported natural gas feedstocks used for fertilizers production, meaning that 1.78 billion people per year are fed from imports of either fertilizers or natural gas. These findings highlight the reliance of global food production on trading and fossil fuels, hence its vulnerability to supply and energy shocks. However, alternative routes to achieve net-zero emissions in NH3 production exist, which are based on carbon capture and storage, electrification, and biomass. These routes comply with climate targets while mitigating the risks associated with food security. Yet, they require more land, energy, and water than business-as-usual production, exacerbating land and water scarcity and the use of limited natural resources. Transitioning fertilizers to net-zero emissions can contribute to climate and food security goals, although water, land, and energy trade-offs should be considered.","container-title":"Environmental Research Letters","DOI":"10.1088/1748-9326/aca815","ISSN":"1748-9326","issue":"1","journalAbbreviation":"Environ. Res. Lett.","language":"en","note":"publisher: IOP Publishing","page":"014008","source":"Institute of Physics","title":"Energy and food security implications of transitioning synthetic nitrogen fertilizers to net-zero emissions","volume":"18","author":[{"family":"Rosa","given":"Lorenzo"},{"family":"Gabrielli","given":"Paolo"}],"issued":{"date-parts":[["2022",12]]}}}],"schema":"https://github.com/citation-style-language/schema/raw/master/csl-citation.json"}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3,4</w:t>
      </w:r>
      <w:r w:rsidRPr="0047272A">
        <w:rPr>
          <w:rFonts w:cstheme="minorHAnsi"/>
          <w:lang w:val="en-GB"/>
        </w:rPr>
        <w:fldChar w:fldCharType="end"/>
      </w:r>
      <w:r w:rsidRPr="0047272A">
        <w:rPr>
          <w:rFonts w:cstheme="minorHAnsi"/>
          <w:lang w:val="en-GB"/>
        </w:rPr>
        <w:t>. Methanol serves as an intermediate to olefins and aromatics production and is used for manufacturing formic acid, dimethyl ether, or methylamine, among others</w:t>
      </w:r>
      <w:r w:rsidRPr="0047272A">
        <w:rPr>
          <w:rFonts w:cstheme="minorHAnsi"/>
          <w:lang w:val="en-GB"/>
        </w:rPr>
        <w:fldChar w:fldCharType="begin"/>
      </w:r>
      <w:r w:rsidRPr="0047272A">
        <w:rPr>
          <w:rFonts w:cstheme="minorHAnsi"/>
          <w:lang w:val="en-GB"/>
        </w:rPr>
        <w:instrText xml:space="preserve"> ADDIN ZOTERO_ITEM CSL_CITATION {"citationID":"HRf3s6LA","properties":{"formattedCitation":"\\super 5,6\\nosupersub{}","plainCitation":"5,6","noteIndex":0},"citationItems":[{"id":939,"uris":["http://zotero.org/users/9157291/items/T22NA9KH"],"itemData":{"id":939,"type":"report","language":"en","page":"132","publisher":"International Energy Agency","source":"Zotero","title":"The Future of Petrochemicals: Towards more sustainable plastics and fertilisers","URL":"www.iea.org","author":[{"family":"IEA","given":""}],"issued":{"date-parts":[["2018"]]}}},{"id":935,"uris":["http://zotero.org/users/9157291/items/RURRENJ6"],"itemData":{"id":935,"type":"article-journal","abstract":"Methanol, a convenient liquid fuel and raw material for synthetic hydrocarbons, offers an alternative to depleting sources of fossil fuels and can be produced, for example, by reacting H2 with CO2 from industrial effluents or the atmosphere—good news with regards to global-warming concerns. This Essay discusses various aspects of current and alternative energy sources, with a particular focus on the “methanol economy” (see scheme).","container-title":"Angewandte Chemie International Edition","DOI":"10.1002/anie.200462121","ISSN":"1521-3773","issue":"18","journalAbbreviation":"Angew. Chem., Int. Ed. Engl.","note":"_eprint: https://onlinelibrary.wiley.com/doi/pdf/10.1002/anie.200462121","page":"2636-2639","source":"Wiley Online Library","title":"Beyond Oil and Gas: The Methanol Economy","title-short":"Beyond Oil and Gas","volume":"44","author":[{"family":"Olah","given":"George A."}],"issued":{"date-parts":[["2005"]]}}}],"schema":"https://github.com/citation-style-language/schema/raw/master/csl-citation.json"}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5,6</w:t>
      </w:r>
      <w:r w:rsidRPr="0047272A">
        <w:rPr>
          <w:rFonts w:cstheme="minorHAnsi"/>
          <w:lang w:val="en-GB"/>
        </w:rPr>
        <w:fldChar w:fldCharType="end"/>
      </w:r>
      <w:r w:rsidRPr="0047272A">
        <w:rPr>
          <w:rFonts w:cstheme="minorHAnsi"/>
          <w:lang w:val="en-GB"/>
        </w:rPr>
        <w:t xml:space="preserve">. </w:t>
      </w:r>
    </w:p>
    <w:p w14:paraId="2244D108" w14:textId="542BAB80" w:rsidR="008A3579" w:rsidRPr="0047272A" w:rsidRDefault="008A3579" w:rsidP="008A3579">
      <w:pPr>
        <w:jc w:val="both"/>
        <w:rPr>
          <w:rFonts w:cstheme="minorHAnsi"/>
          <w:lang w:val="en-GB"/>
        </w:rPr>
      </w:pPr>
      <w:r w:rsidRPr="0047272A">
        <w:rPr>
          <w:rFonts w:cstheme="minorHAnsi"/>
          <w:lang w:val="en-GB"/>
        </w:rPr>
        <w:t>Between 60 and 70% of ammonia and methanol are produced from syngas obtained by steam reforming of natural gas</w:t>
      </w:r>
      <w:r w:rsidRPr="0047272A">
        <w:rPr>
          <w:rFonts w:cstheme="minorHAnsi"/>
          <w:lang w:val="en-GB"/>
        </w:rPr>
        <w:fldChar w:fldCharType="begin"/>
      </w:r>
      <w:r w:rsidRPr="0047272A">
        <w:rPr>
          <w:rFonts w:cstheme="minorHAnsi"/>
          <w:lang w:val="en-GB"/>
        </w:rPr>
        <w:instrText xml:space="preserve"> ADDIN ZOTERO_ITEM CSL_CITATION {"citationID":"i1Yu5aBj","properties":{"formattedCitation":"\\super 7,8\\nosupersub{}","plainCitation":"7,8","noteIndex":0},"citationItems":[{"id":206,"uris":["http://zotero.org/users/9157291/items/897KTRXK"],"itemData":{"id":206,"type":"report","event-place":"Abu Dhabi","language":"en","page":"124","publisher":"International Renewable Energy Agency","publisher-place":"Abu Dhabi","source":"Zotero","title":"Innovation Outlook: Renewable Methanol","author":[{"family":"IRENA","given":""}],"issued":{"date-parts":[["2021"]]}}},{"id":901,"uris":["http://zotero.org/users/9157291/items/U2JU5DYJ"],"itemData":{"id":901,"type":"report","language":"en","note":"DOI: 10.1787/f6daa4a0-en","publisher":"International Energy Agency","source":"DOI.org (Crossref)","title":"Ammonia Technology Roadmap: Towards more sustainable nitrogen fertiliser production","title-short":"Ammonia Technology Roadmap","URL":"https://www.oecd-ilibrary.org/energy/ammonia-technology-roadmap_f6daa4a0-en","author":[{"literal":"IEA"}],"accessed":{"date-parts":[["2022",12,19]]},"issued":{"date-parts":[["2021",10,18]]}}}],"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7,8</w:t>
      </w:r>
      <w:r w:rsidRPr="0047272A">
        <w:rPr>
          <w:rFonts w:cstheme="minorHAnsi"/>
          <w:lang w:val="en-GB"/>
        </w:rPr>
        <w:fldChar w:fldCharType="end"/>
      </w:r>
      <w:r w:rsidRPr="0047272A">
        <w:rPr>
          <w:rFonts w:cstheme="minorHAnsi"/>
          <w:lang w:val="en-GB"/>
        </w:rPr>
        <w:t>. The Haber-Bosch process</w:t>
      </w:r>
      <w:r w:rsidR="00605B66">
        <w:rPr>
          <w:rFonts w:cstheme="minorHAnsi"/>
          <w:lang w:val="en-GB"/>
        </w:rPr>
        <w:t xml:space="preserve"> (</w:t>
      </w:r>
      <w:r w:rsidR="00C20533">
        <w:rPr>
          <w:rFonts w:cstheme="minorHAnsi"/>
          <w:b/>
          <w:lang w:val="en-GB"/>
        </w:rPr>
        <w:t>Figure</w:t>
      </w:r>
      <w:r w:rsidR="003B2D52">
        <w:rPr>
          <w:rFonts w:cstheme="minorHAnsi"/>
          <w:b/>
          <w:lang w:val="en-GB"/>
        </w:rPr>
        <w:t> </w:t>
      </w:r>
      <w:r w:rsidR="00C20533">
        <w:rPr>
          <w:rFonts w:cstheme="minorHAnsi"/>
          <w:b/>
          <w:lang w:val="en-GB"/>
        </w:rPr>
        <w:t>S1</w:t>
      </w:r>
      <w:r w:rsidR="009130E9" w:rsidRPr="0047272A">
        <w:rPr>
          <w:rFonts w:cstheme="minorHAnsi"/>
          <w:lang w:val="en-GB"/>
        </w:rPr>
        <w:t xml:space="preserve"> of the E</w:t>
      </w:r>
      <w:r w:rsidR="009130E9">
        <w:rPr>
          <w:rFonts w:cstheme="minorHAnsi"/>
          <w:lang w:val="en-GB"/>
        </w:rPr>
        <w:t>lectronic supplementary information - ESI</w:t>
      </w:r>
      <w:r w:rsidR="00605B66">
        <w:rPr>
          <w:rFonts w:cstheme="minorHAnsi"/>
          <w:lang w:val="en-GB"/>
        </w:rPr>
        <w:t>)</w:t>
      </w:r>
      <w:r w:rsidRPr="0047272A">
        <w:rPr>
          <w:rFonts w:cstheme="minorHAnsi"/>
          <w:lang w:val="en-GB"/>
        </w:rPr>
        <w:t>, which is energy-intensive and operates at demanding conditions (&gt;200 bar and &gt;400 °C), is used to produce ammonia from a combination of hydrogen and nitrogen over an Fe-based catalyst</w:t>
      </w:r>
      <w:r w:rsidRPr="0047272A">
        <w:rPr>
          <w:rFonts w:cstheme="minorHAnsi"/>
          <w:lang w:val="en-GB"/>
        </w:rPr>
        <w:fldChar w:fldCharType="begin"/>
      </w:r>
      <w:r w:rsidRPr="0047272A">
        <w:rPr>
          <w:rFonts w:cstheme="minorHAnsi"/>
          <w:lang w:val="en-GB"/>
        </w:rPr>
        <w:instrText xml:space="preserve"> ADDIN ZOTERO_ITEM CSL_CITATION {"citationID":"S0Zv0Qse","properties":{"formattedCitation":"\\super 9\\nosupersub{}","plainCitation":"9","noteIndex":0},"citationItems":[{"id":1006,"uris":["http://zotero.org/users/9157291/items/A2US8TDS"],"itemData":{"id":1006,"type":"article-journal","abstract":"Due to its essential use as a fertilizer, ammonia synthesis from nitrogen and hydrogen is considered to be one of the most important chemical processes of the last 100 years. Since then, an enormous amount of work has been undertaken to investigate and develop effective catalysts for this process. Although the catalytic synthesis of ammonia has been extensively studied in the last century, many new catalysts are still currently being developed to reduce the operating temperature and pressure of the process and to improve the conversion of reactants to ammonia. New catalysts for the Haber–Bosch process are the key to achieving green ammonia production in the foreseeable future. Herein, the history of ammonia synthesis catalyst development is briefly described as well as recent progress in catalyst development with the aim of building an overview of the current state of ammonia synthesis catalysts for the Haber–Bosch process. The new emerging ammonia synthesis catalysts, including electride, hydride, amide, perovskite oxide hydride/oxynitride hydride, nitride, and oxide promoted metals such as Fe, Co, and Ni, are promising alternatives to the conventional fused-Fe and promoted-Ru catalysts for existing ammonia synthesis plants and future distributed green ammonia synthesis based on the Haber–Bosch process.","container-title":"Advanced Energy and Sustainability Research","DOI":"10.1002/aesr.202000043","ISSN":"2699-9412","issue":"1","language":"en","note":"_eprint: https://onlinelibrary.wiley.com/doi/pdf/10.1002/aesr.202000043","page":"2000043","source":"Wiley Online Library","title":"Development and Recent Progress on Ammonia Synthesis Catalysts for Haber–Bosch Process","volume":"2","author":[{"family":"Humphreys","given":"John"},{"family":"Lan","given":"Rong"},{"family":"Tao","given":"Shanwen"}],"issued":{"date-parts":[["2021"]]}}}],"schema":"https://github.com/citation-style-language/schema/raw/master/csl-citation.json"}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9</w:t>
      </w:r>
      <w:r w:rsidRPr="0047272A">
        <w:rPr>
          <w:rFonts w:cstheme="minorHAnsi"/>
          <w:lang w:val="en-GB"/>
        </w:rPr>
        <w:fldChar w:fldCharType="end"/>
      </w:r>
      <w:r w:rsidRPr="0047272A">
        <w:rPr>
          <w:rFonts w:cstheme="minorHAnsi"/>
          <w:lang w:val="en-GB"/>
        </w:rPr>
        <w:t xml:space="preserve">. Methanol production </w:t>
      </w:r>
      <w:r w:rsidR="002E5DC0">
        <w:rPr>
          <w:rFonts w:cstheme="minorHAnsi"/>
          <w:lang w:val="en-GB"/>
        </w:rPr>
        <w:t>(</w:t>
      </w:r>
      <w:r w:rsidR="003B2D52">
        <w:rPr>
          <w:rFonts w:cstheme="minorHAnsi"/>
          <w:b/>
          <w:lang w:val="en-GB"/>
        </w:rPr>
        <w:t>Figure S2</w:t>
      </w:r>
      <w:r w:rsidR="002E5DC0">
        <w:rPr>
          <w:rFonts w:cstheme="minorHAnsi"/>
          <w:lang w:val="en-GB"/>
        </w:rPr>
        <w:t xml:space="preserve">) </w:t>
      </w:r>
      <w:r w:rsidRPr="0047272A">
        <w:rPr>
          <w:rFonts w:cstheme="minorHAnsi"/>
          <w:lang w:val="en-GB"/>
        </w:rPr>
        <w:t>requires hydrogenation of CO over a Cu-Zn-Al catalyst at high pressure and mild temperature (&gt;35 bar and &gt;200 °C)</w:t>
      </w:r>
      <w:r w:rsidRPr="0047272A">
        <w:rPr>
          <w:rFonts w:cstheme="minorHAnsi"/>
          <w:lang w:val="en-GB"/>
        </w:rPr>
        <w:fldChar w:fldCharType="begin"/>
      </w:r>
      <w:r w:rsidRPr="0047272A">
        <w:rPr>
          <w:rFonts w:cstheme="minorHAnsi"/>
          <w:lang w:val="en-GB"/>
        </w:rPr>
        <w:instrText xml:space="preserve"> ADDIN ZOTERO_ITEM CSL_CITATION {"citationID":"yD0gL3Xb","properties":{"formattedCitation":"\\super 10\\nosupersub{}","plainCitation":"10","noteIndex":0},"citationItems":[{"id":1005,"uris":["http://zotero.org/users/9157291/items/DPZPTWUU"],"itemData":{"id":1005,"type":"article-journal","abstract":"CO hydrogenation, CO2 hydrogenation, and water–gas shift (WGS) reactions have been simultaneously investigated over industry-like catalysts based on Cu–ZnO–Al2O3, under methanol synthesis conditions (513 K, 5.0 MPa). For this, a novel methodology has been applied: the concentration of carbon dioxide in the syngas feed was consecutively increased (R = CO2:(CO + CO2) = 0–100) resulting in a volcano-type plot of the rate of methanol formation and forming a hysteresis loop when decreasing the CO2 concentration again. H2O co-feeding experiments revealed that the enhancement of activity can be correlated with the WGS activity linking both hydrogenation paths of CO and CO2. On the other hand, excessive amounts of surface hydroxyls seem to inhibit methanol production, explaining the drop in activity at high CO2 concentrations. An investigation of the catalytic performance was accompanied by an extensive characterisation of the fresh and used catalytic materials by X-ray diffraction, temperature-programmed reduction by H2, N2O pulse chemisorption, X-ray photoelectron spectroscopy, and Auger electron spectroscopy. It was shown that the copper surface area affects the CO2 hydrogenation; however, this parameter is unambiguously not the key descriptor for CO2-promoted methanol synthesis, which is a consequence of the synergistic interaction of zinc oxide and copper. This structural feature is further promoted by Al2O3 through stabilisation of the surface. The position of the activity maximum is determined by the surface ratio Cu : Zn. The hysteresis behaviour is a result of the continuous decrease of Cu dispersion and the fixation of copper species in its monovalent oxidation state, both detrimental for CO2 hydrogenation. CO hydrogenation is strongly affected by the Cu : Zn bulk ratio and thus the reducibility of the catalyst. These facts could be substantiated by the use of impregnated model catalysts.","container-title":"Catalysis Science &amp; Technology","DOI":"10.1039/C3CY00573A","ISSN":"2044-4761","issue":"12","journalAbbreviation":"Catal. Sci. Technol.","language":"en","note":"publisher: The Royal Society of Chemistry","page":"3343-3352","source":"pubs.rsc.org","title":"New and revisited insights into the promotion of methanol synthesis catalysts by CO2","volume":"3","author":[{"family":"Martin","given":"Oliver"},{"family":"Pérez-Ramírez","given":"Javier"}],"issued":{"date-parts":[["2013",11,12]]}}}],"schema":"https://github.com/citation-style-language/schema/raw/master/csl-citation.json"}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10</w:t>
      </w:r>
      <w:r w:rsidRPr="0047272A">
        <w:rPr>
          <w:rFonts w:cstheme="minorHAnsi"/>
          <w:lang w:val="en-GB"/>
        </w:rPr>
        <w:fldChar w:fldCharType="end"/>
      </w:r>
      <w:r w:rsidRPr="0047272A">
        <w:rPr>
          <w:rFonts w:cstheme="minorHAnsi"/>
          <w:lang w:val="en-GB"/>
        </w:rPr>
        <w:t>. Sustainable ammonia production is achievable through the green Haber-Bosch process, which involves using hydrogen generated from water electrolysis powered by renewable sources such as wind or solar</w:t>
      </w:r>
      <w:r w:rsidRPr="0047272A">
        <w:rPr>
          <w:rFonts w:cstheme="minorHAnsi"/>
          <w:lang w:val="en-GB"/>
        </w:rPr>
        <w:fldChar w:fldCharType="begin"/>
      </w:r>
      <w:r w:rsidRPr="0047272A">
        <w:rPr>
          <w:rFonts w:cstheme="minorHAnsi"/>
          <w:lang w:val="en-GB"/>
        </w:rPr>
        <w:instrText xml:space="preserve"> ADDIN ZOTERO_ITEM CSL_CITATION {"citationID":"zsRcaa2G","properties":{"formattedCitation":"\\super 8,15\\nosupersub{}","plainCitation":"8,15","dontUpdate":true,"noteIndex":0},"citationItems":[{"id":901,"uris":["http://zotero.org/users/9157291/items/U2JU5DYJ"],"itemData":{"id":901,"type":"report","language":"en","note":"DOI: 10.1787/f6daa4a0-en","publisher":"International Energy Agency","source":"DOI.org (Crossref)","title":"Ammonia Technology Roadmap: Towards more sustainable nitrogen fertiliser production","title-short":"Ammonia Technology Roadmap","URL":"https://www.oecd-ilibrary.org/energy/ammonia-technology-roadmap_f6daa4a0-en","author":[{"literal":"IEA"}],"accessed":{"date-parts":[["2022",12,19]]},"issued":{"date-parts":[["2021",10,18]]}}},{"id":810,"uris":["http://zotero.org/users/9157291/items/86IUUBD4"],"itemData":{"id":810,"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8,11</w:t>
      </w:r>
      <w:r w:rsidRPr="0047272A">
        <w:rPr>
          <w:rFonts w:cstheme="minorHAnsi"/>
          <w:lang w:val="en-GB"/>
        </w:rPr>
        <w:fldChar w:fldCharType="end"/>
      </w:r>
      <w:r w:rsidRPr="0047272A">
        <w:rPr>
          <w:rFonts w:cstheme="minorHAnsi"/>
          <w:lang w:val="en-GB"/>
        </w:rPr>
        <w:t>. This hybrid electro- and thermo-catalytic scheme is currently in intense development and has been proposed as the first feasible low-emission alternative</w:t>
      </w:r>
      <w:r w:rsidRPr="0047272A">
        <w:rPr>
          <w:rFonts w:cstheme="minorHAnsi"/>
          <w:lang w:val="en-GB"/>
        </w:rPr>
        <w:fldChar w:fldCharType="begin"/>
      </w:r>
      <w:r w:rsidRPr="0047272A">
        <w:rPr>
          <w:rFonts w:cstheme="minorHAnsi"/>
          <w:lang w:val="en-GB"/>
        </w:rPr>
        <w:instrText xml:space="preserve"> ADDIN ZOTERO_ITEM CSL_CITATION {"citationID":"ex5E9pap","properties":{"formattedCitation":"\\super 12\\nosupersub{}","plainCitation":"12","noteIndex":0},"citationItems":[{"id":1004,"uris":["http://zotero.org/users/9157291/items/DLIJZIUV"],"itemData":{"id":1004,"type":"article-journal","abstract":"Most of the global production of ammonia requires fossil fuels and is associated with considerable greenhouse gas emissions. Replacing fossil fuel ammonia with green or zero-carbon ammonia is a major focus for academia, industry and governments. Ammonia is a key component in fertiliser\nbut is also attracting increasing interest as a carbon-free fuel for the maritime sector and as a hydrogen vector. This review describes the use of green (electrolysed) hydrogen in conventional Haber-Bosch plants and predicts adoption of the technology by 2030. Further into the future, direct\ngreen ammonia synthesis by electrocatalytic and photocatalytic means may present a cost-effective alternative to the Haber-Bosch process. Electrocatalytic and photocatalytic routes to ammonia are reviewed, the catalytic systems are compared and their potential for meeting the likely demand\nand cost for ammonia considered.","container-title":"Johnson Matthey Technology Review","DOI":"10.1595/205651322X16334238659301","issue":"3","journalAbbreviation":"Johnson Matthey Technol. Rev.","page":"230-244","source":"IngentaConnect","title":"Review of Recent Progress in Green Ammonia Synthesis: Decarbonisation of fertiliser and fuels via green synthesis","title-short":"Review of Recent Progress in Green Ammonia Synthesis","volume":"66","author":[{"family":"Smart","given":"Katie"}],"issued":{"date-parts":[["2022",7,12]]}}}],"schema":"https://github.com/citation-style-language/schema/raw/master/csl-citation.json"}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12</w:t>
      </w:r>
      <w:r w:rsidRPr="0047272A">
        <w:rPr>
          <w:rFonts w:cstheme="minorHAnsi"/>
          <w:lang w:val="en-GB"/>
        </w:rPr>
        <w:fldChar w:fldCharType="end"/>
      </w:r>
      <w:r w:rsidRPr="0047272A">
        <w:rPr>
          <w:rFonts w:cstheme="minorHAnsi"/>
          <w:lang w:val="en-GB"/>
        </w:rPr>
        <w:t>. To enhance the sustainability of methanol production, the current CO hydrogenation process can incorporate CO</w:t>
      </w:r>
      <w:r w:rsidRPr="0047272A">
        <w:rPr>
          <w:rFonts w:cstheme="minorHAnsi"/>
          <w:vertAlign w:val="subscript"/>
          <w:lang w:val="en-GB"/>
        </w:rPr>
        <w:t>2</w:t>
      </w:r>
      <w:r w:rsidRPr="0047272A">
        <w:rPr>
          <w:rFonts w:cstheme="minorHAnsi"/>
          <w:lang w:val="en-GB"/>
        </w:rPr>
        <w:t xml:space="preserve"> as a source via the optimized reverse water gas shift reaction, along with low-carbon hydrogen sources</w:t>
      </w:r>
      <w:r w:rsidRPr="0047272A">
        <w:rPr>
          <w:rFonts w:cstheme="minorHAnsi"/>
          <w:lang w:val="en-GB"/>
        </w:rPr>
        <w:fldChar w:fldCharType="begin"/>
      </w:r>
      <w:r w:rsidRPr="0047272A">
        <w:rPr>
          <w:rFonts w:cstheme="minorHAnsi"/>
          <w:lang w:val="en-GB"/>
        </w:rPr>
        <w:instrText xml:space="preserve"> ADDIN ZOTERO_ITEM CSL_CITATION {"citationID":"xE4lTznH","properties":{"formattedCitation":"\\super 7\\nosupersub{}","plainCitation":"7","noteIndex":0},"citationItems":[{"id":206,"uris":["http://zotero.org/users/9157291/items/897KTRXK"],"itemData":{"id":206,"type":"report","event-place":"Abu Dhabi","language":"en","page":"124","publisher":"International Renewable Energy Agency","publisher-place":"Abu Dhabi","source":"Zotero","title":"Innovation Outlook: Renewable Methanol","author":[{"family":"IRENA","given":""}],"issued":{"date-parts":[["2021"]]}}}],"schema":"https://github.com/citation-style-language/schema/raw/master/csl-citation.json"}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7</w:t>
      </w:r>
      <w:r w:rsidRPr="0047272A">
        <w:rPr>
          <w:rFonts w:cstheme="minorHAnsi"/>
          <w:lang w:val="en-GB"/>
        </w:rPr>
        <w:fldChar w:fldCharType="end"/>
      </w:r>
      <w:r w:rsidRPr="0047272A">
        <w:rPr>
          <w:rFonts w:cstheme="minorHAnsi"/>
          <w:lang w:val="en-GB"/>
        </w:rPr>
        <w:t xml:space="preserve">. </w:t>
      </w:r>
    </w:p>
    <w:p w14:paraId="4513EE6E" w14:textId="77777777" w:rsidR="008A3579" w:rsidRPr="0047272A" w:rsidRDefault="008A3579" w:rsidP="008A3579">
      <w:pPr>
        <w:jc w:val="both"/>
        <w:rPr>
          <w:rFonts w:cstheme="minorHAnsi"/>
          <w:lang w:val="en-GB"/>
        </w:rPr>
      </w:pPr>
      <w:r w:rsidRPr="0047272A">
        <w:rPr>
          <w:rFonts w:cstheme="minorHAnsi"/>
          <w:lang w:val="en-GB"/>
        </w:rPr>
        <w:t>Previous studies have demonstrated the technical feasibility</w:t>
      </w:r>
      <w:r w:rsidRPr="0047272A">
        <w:rPr>
          <w:rFonts w:cstheme="minorHAnsi"/>
          <w:lang w:val="en-GB"/>
        </w:rPr>
        <w:fldChar w:fldCharType="begin"/>
      </w:r>
      <w:r w:rsidRPr="0047272A">
        <w:rPr>
          <w:rFonts w:cstheme="minorHAnsi"/>
          <w:lang w:val="en-GB"/>
        </w:rPr>
        <w:instrText xml:space="preserve"> ADDIN ZOTERO_ITEM CSL_CITATION {"citationID":"WRVksAsW","properties":{"formattedCitation":"\\super 8,11,13,14\\nosupersub{}","plainCitation":"8,11,13,14","noteIndex":0},"citationItems":[{"id":901,"uris":["http://zotero.org/users/9157291/items/U2JU5DYJ"],"itemData":{"id":901,"type":"report","language":"en","note":"DOI: 10.1787/f6daa4a0-en","publisher":"International Energy Agency","source":"DOI.org (Crossref)","title":"Ammonia Technology Roadmap: Towards more sustainable nitrogen fertiliser production","title-short":"Ammonia Technology Roadmap","URL":"https://www.oecd-ilibrary.org/energy/ammonia-technology-roadmap_f6daa4a0-en","author":[{"literal":"IEA"}],"accessed":{"date-parts":[["2022",12,19]]},"issued":{"date-parts":[["2021",10,18]]}}},{"id":810,"uris":["http://zotero.org/users/9157291/items/86IUUBD4"],"itemData":{"id":810,"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Fernanda"}],"accessed":{"date-parts":[["2022",12,9]]},"issued":{"date-parts":[["2022"]]}}},{"id":938,"uris":["http://zotero.org/users/9157291/items/VCI52L9Z"],"itemData":{"id":938,"type":"report","language":"en","page":"60","publisher":"International Energy Agency","source":"Zotero","title":"Technology Roadmap Energy and GHG Reductions in the Chemical Industry via Catalytic Processes","author":[{"family":"IEA","given":""}],"issued":{"date-parts":[["2013"]]}}},{"id":807,"uris":["http://zotero.org/users/9157291/items/27ZU9RRM"],"itemData":{"id":807,"type":"article-journal","abstract":"Carbon capture, utilization and storage (CCUS) have been projected by the power and industrial sectors to play a vital role towards net-zero greenhouse gas emissions. In this study, we aim to explore the feasibility of a global chemical industry that fully relies on CO2 as its carbon source in 2050. We project the global annual CO2 demand as chemical feedstock to be 2.2–3.1 gigatonnes (Gt), well within the possible range of supply (5.2–13.9 Gt) from the power, cement, steel, and kraft pulp sectors. Hence, feedstock availability is not a constraint factor for the transition towards a fully CO2-based chemical industry on the global basis, with the exception of few regions that could face local supply shortages, such as the Middle East. We further conduct life cycle assessment to examine the environmental benefits on climate change and the trade-offs of particulate matter-related health impacts induced by carbon capture. We conclude that CO2 captured from solid biomass-fired power plants and kraft pulp mills in Europe would have the least environmental and health impacts, and that India and China should prioritize low-impact regional electricity supply before a large-scale deployment of CCUS. Finally, two bottom-up case studies of China and the Middle East illustrate how the total regional environmental and health impacts from carbon capture can be minimized by optimizing its supply sources and transport, requiring cross-sectoral cooperation and early planning of infrastructure. Overall, capture and utilization of unabatable industrial waste CO2 as chemical feedstock can be a feasible way for the net-zero transition of the industry, while concerted efforts are yet needed to build up the carbon-capture-and-utilization value chain around the world.","container-title":"Green Chemistry","DOI":"10.1039/D2GC03047K","ISSN":"1463-9270","journalAbbreviation":"Green Chem.","language":"en","note":"publisher: The Royal Society of Chemistry","page":"415-430","source":"pubs.rsc.org","title":"Net-zero transition of the global chemical industry with CO2-feedstock by 2050: feasible yet challenging","title-short":"Net-zero transition of the global chemical industry with CO2-feedstock by 2050","volume":"25","author":[{"family":"Huo","given":"Jing"},{"family":"Wang","given":"Zhanyun"},{"family":"Oberschelp","given":"Christopher"},{"family":"Guillén-Gosálbez","given":"Gonzalo"},{"family":"Hellweg","given":"Stefanie"}],"issued":{"date-parts":[["2023"]]}}}],"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8,11,13,14</w:t>
      </w:r>
      <w:r w:rsidRPr="0047272A">
        <w:rPr>
          <w:rFonts w:cstheme="minorHAnsi"/>
          <w:lang w:val="en-GB"/>
        </w:rPr>
        <w:fldChar w:fldCharType="end"/>
      </w:r>
      <w:r w:rsidRPr="0047272A">
        <w:rPr>
          <w:rFonts w:cstheme="minorHAnsi"/>
          <w:lang w:val="en-GB"/>
        </w:rPr>
        <w:t xml:space="preserve"> and potential climate benefits</w:t>
      </w:r>
      <w:r w:rsidRPr="0047272A">
        <w:rPr>
          <w:rFonts w:cstheme="minorHAnsi"/>
          <w:lang w:val="en-GB"/>
        </w:rPr>
        <w:fldChar w:fldCharType="begin"/>
      </w:r>
      <w:r w:rsidRPr="0047272A">
        <w:rPr>
          <w:rFonts w:cstheme="minorHAnsi"/>
          <w:lang w:val="en-GB"/>
        </w:rPr>
        <w:instrText xml:space="preserve"> ADDIN ZOTERO_ITEM CSL_CITATION {"citationID":"4uxQQGaL","properties":{"formattedCitation":"\\super 15\\uc0\\u8211{}18\\nosupersub{}","plainCitation":"15–18","noteIndex":0},"citationItems":[{"id":684,"uris":["http://zotero.org/users/9157291/items/AFKW7KRC"],"itemData":{"id":684,"type":"article-journal","abstract":"At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José"},{"family":"Pérez-Ramírez","given":"Javier"},{"family":"Guillén-Gosálbez","given":"Gonzalo"}],"issued":{"date-parts":[["2021",7,26]]}}},{"id":704,"uris":["http://zotero.org/users/9157291/items/VK4IQBHF"],"itemData":{"id":704,"type":"article-journal","abstract":"The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Earth","DOI":"10.1016/j.oneear.2021.04.001","ISSN":"2590-3322","issue":"4","journalAbbreviation":"One Earth","language":"en","page":"565-583","source":"ScienceDirect","title":"Sustainability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4,23]]}}},{"id":708,"uris":["http://zotero.org/users/9157291/items/9MFRQVYI"],"itemData":{"id":708,"type":"article-journal","abstract":"Carbon capture and utilisation (CCU) provides an appealing framework to turn carbon emissions into valuable fuels and chemicals. However, given the vast energy required to activate the CO2 molecule, CCU may have implications on sustainable development that are still poorly understood due to the narrow scope of current carbon footprint-oriented assessments lacking absolute sustainability thresholds. To bridge this gap, we developed a power-chemicals nexus model to look into the future and understand how we could produce 22 net-zero bulk chemicals of crucial importance in a sustainable manner by integrating fossil, CCU routes and power technologies, often assessed separately. We evaluated the environmental performance of these technologies in terms of their contribution to 5 Sustainable Development Goals (SDGs), using 16 life cycle assessment metrics and 9 planetary boundaries (PB) to quantify and interpret the impact values. We found that fossil chemicals could hamper the attainment of SDG 3 on good health and well-being and SDG 13 on climate change. CCU could help meet SDG 13 but would damage other SDGs due to burden-shifting to human health, water scarcity, and minerals and metals depletion impacts. The collateral damage could be mitigated by judiciously combining fossil and CCU routes with carbon-negative power sources guided by optimisation models incorporating SDGs-based performance criteria explicitly. Our work highlights the importance of embracing the SDGs in technology development to sensibly support the low-carbon energy and chemicals transition.","container-title":"Energy &amp; Environmental Science","DOI":"10.1039/D2EE01153K","ISSN":"1754-5706","journalAbbreviation":"Energy Environ. Sci.","language":"en","note":"publisher: The Royal Society of Chemistry","page":"113-124","source":"pubs.rsc.org","title":"Trade-offs between Sustainable Development Goals in carbon capture and utilisation","volume":"16","author":[{"family":"Ioannou","given":"Iasonas"},{"family":"Galán-Martín","given":"Ángel"},{"family":"Pérez-Ramírez","given":"Javier"},{"family":"Guillén-Gosálbez","given":"Gonzalo"}],"issued":{"date-parts":[["2023"]]}}},{"id":699,"uris":["http://zotero.org/users/9157291/items/F2TCR293"],"itemData":{"id":699,"type":"article-journal","container-title":"Proceedings of the National Academy of Sciences","DOI":"10.1073/pnas.1821029116","issue":"23","journalAbbreviation":"Proc. Natl. Acad. Sci. U.S.A.","note":"publisher: Proceedings of the National Academy of Sciences","page":"11187-11194","source":"pnas.org (Atypon)","title":"Climate change mitigation potential of carbon capture and utilization in the chemical industry","volume":"116","author":[{"family":"Kätelhön","given":"Arne"},{"family":"Meys","given":"Raoul"},{"family":"Deutz","given":"Sarah"},{"family":"Suh","given":"Sangwon"},{"family":"Bardow","given":"André"}],"issued":{"date-parts":[["2019",6,4]]}}}],"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15–18</w:t>
      </w:r>
      <w:r w:rsidRPr="0047272A">
        <w:rPr>
          <w:rFonts w:cstheme="minorHAnsi"/>
          <w:lang w:val="en-GB"/>
        </w:rPr>
        <w:fldChar w:fldCharType="end"/>
      </w:r>
      <w:r w:rsidRPr="0047272A">
        <w:rPr>
          <w:rFonts w:cstheme="minorHAnsi"/>
          <w:lang w:val="en-GB"/>
        </w:rPr>
        <w:t xml:space="preserve"> of green production of chemicals, but the common challenge is the high production costs compared to fossil-based methods</w:t>
      </w:r>
      <w:r w:rsidRPr="0047272A">
        <w:rPr>
          <w:rFonts w:cstheme="minorHAnsi"/>
          <w:lang w:val="en-GB"/>
        </w:rPr>
        <w:fldChar w:fldCharType="begin"/>
      </w:r>
      <w:r w:rsidRPr="0047272A">
        <w:rPr>
          <w:rFonts w:cstheme="minorHAnsi"/>
          <w:lang w:val="en-GB"/>
        </w:rPr>
        <w:instrText xml:space="preserve"> ADDIN ZOTERO_ITEM CSL_CITATION {"citationID":"sPb4ycfd","properties":{"formattedCitation":"\\super 15,19,20\\nosupersub{}","plainCitation":"15,19,20","noteIndex":0},"citationItems":[{"id":361,"uris":["http://zotero.org/users/9157291/items/69SKN82T"],"itemData":{"id":361,"type":"article-journal","abstract":"The capture and use of carbon dioxide to create valuable products might lower the net costs of reducing emissions or removing carbon dioxide from the atmosphere. Here we review ten pathways for the utilization of carbon dioxide. Pathways that involve chemicals, fuels and microalgae might reduce emissions of carbon dioxide but have limited potential for its removal, whereas pathways that involve construction materials can both utilize and remove carbon dioxide. Land-based pathways can increase agricultural output and remove carbon dioxide. Our assessment suggests that each pathway could scale to over 0.5 gigatonnes of carbon dioxide utilization annually. However, barriers to implementation remain substantial and resource constraints prevent the simultaneous deployment of all pathways.","container-title":"Nature","DOI":"10.1038/s41586-019-1681-6","ISSN":"1476-4687","issue":"7781","language":"en","license":"2019 Springer Nature Limited","note":"number: 7781\npublisher: Nature Publishing Group","page":"87-97","source":"www.nature.com","title":"The technological and economic prospects for CO2 utilization and removal","volume":"575","author":[{"family":"Hepburn","given":"Cameron"},{"family":"Adlen","given":"Ella"},{"family":"Beddington","given":"John"},{"family":"Carter","given":"Emily A."},{"family":"Fuss","given":"Sabine"},{"family":"Mac Dowell","given":"Niall"},{"family":"Minx","given":"Jan C."},{"family":"Smith","given":"Pete"},{"family":"Williams","given":"Charlotte K."}],"issued":{"date-parts":[["2019",11]]}}},{"id":684,"uris":["http://zotero.org/users/9157291/items/AFKW7KRC"],"itemData":{"id":684,"type":"article-journal","abstract":"At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José"},{"family":"Pérez-Ramírez","given":"Javier"},{"family":"Guillén-Gosálbez","given":"Gonzalo"}],"issued":{"date-parts":[["2021",7,26]]}}},{"id":681,"uris":["http://zotero.org/users/9157291/items/GTFADUPK"],"itemData":{"id":681,"type":"article-journal","abstract":"The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15,19,20</w:t>
      </w:r>
      <w:r w:rsidRPr="0047272A">
        <w:rPr>
          <w:rFonts w:cstheme="minorHAnsi"/>
          <w:lang w:val="en-GB"/>
        </w:rPr>
        <w:fldChar w:fldCharType="end"/>
      </w:r>
      <w:r w:rsidRPr="0047272A">
        <w:rPr>
          <w:rFonts w:cstheme="minorHAnsi"/>
          <w:lang w:val="en-GB"/>
        </w:rPr>
        <w:t>. Historically, Europe has experienced higher production costs for chemicals due to elevated labour and feedstock expenses</w:t>
      </w:r>
      <w:r w:rsidRPr="0047272A">
        <w:rPr>
          <w:rFonts w:cstheme="minorHAnsi"/>
          <w:lang w:val="en-GB"/>
        </w:rPr>
        <w:fldChar w:fldCharType="begin"/>
      </w:r>
      <w:r w:rsidRPr="0047272A">
        <w:rPr>
          <w:rFonts w:cstheme="minorHAnsi"/>
          <w:lang w:val="en-GB"/>
        </w:rPr>
        <w:instrText xml:space="preserve"> ADDIN ZOTERO_ITEM CSL_CITATION {"citationID":"qowpZTcy","properties":{"formattedCitation":"\\super 21\\nosupersub{}","plainCitation":"21","noteIndex":0},"citationItems":[{"id":638,"uris":["http://zotero.org/users/9157291/items/97IRYBPV"],"itemData":{"id":638,"type":"article-journal","abstract":"Our study compares chemical production costs in the European Union (EU) and other countries in order to understand whether these costs are higher in the case of Europe than in other countries. Our analysis focuses on ammonia, methanol and light olefins (ethylene and propylene), as all of them are considered chemical compounds produced in large scale. The countries selected for comparison are USA, Russia, Ukraine and Saudi Arabia, since they have high shares of extra-EU28 trade and/or the global installed capacity of the selected products. A bottom-up approach (based on information at facility level) has been followed, including 116, 29, 122 and 224 facilities producing ammonia, methanol, ethylene and propylene respectively. Taking into consideration the complex differences in technologies and co-products between operators, costs are broken down to six components: (1) feedstock, (2) credits (due to co-products), (3) electricity, (4) thermal energy 5) other materials (chemicals, catalysts etc.) and (6) labour and other costs (salaries, overheads etc.). Our findings suggest that it is not easy to reach a common conclusion about the whole chemical industry. Overall costs compare more favourably among countries than initially thought in the case of processes producing co-products, but maybe less favourably when processes are without co-products. The European industry has lower production costs than the industries in the other countries in the case of ethylene and propylene, but higher in the case of ammonia and methanol. Feedstock costs play the most important role in the total production costs of all four products, but the presence of credits due to by-products could change the behaviour of the total costs.","container-title":"Renewable and Sustainable Energy Reviews","DOI":"10.1016/j.rser.2016.02.021","ISSN":"1364-0321","issue":"Part 2","journalAbbreviation":"Renew. Sust. Energ. Rev.","language":"en","page":"1205-1212","source":"ScienceDirect","title":"Production costs of the chemical industry in the EU and other countries: Ammonia, methanol and light olefins","title-short":"Production costs of the chemical industry in the EU and other countries","volume":"68","author":[{"family":"Boulamanti","given":"Aikaterini"},{"family":"Moya","given":"Jose A."}],"issued":{"date-parts":[["2017",2,1]]}}}],"schema":"https://github.com/citation-style-language/schema/raw/master/csl-citation.json"}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21</w:t>
      </w:r>
      <w:r w:rsidRPr="0047272A">
        <w:rPr>
          <w:rFonts w:cstheme="minorHAnsi"/>
          <w:lang w:val="en-GB"/>
        </w:rPr>
        <w:fldChar w:fldCharType="end"/>
      </w:r>
      <w:r w:rsidRPr="0047272A">
        <w:rPr>
          <w:rFonts w:cstheme="minorHAnsi"/>
          <w:lang w:val="en-GB"/>
        </w:rPr>
        <w:t>. The global energy market disruption has further amplified this gap. For example, between 2020 and 2022, natural gas prices increased by a factor of 1.6 in the U.S. compared to 9.6 in Europe</w:t>
      </w:r>
      <w:r w:rsidRPr="0047272A">
        <w:rPr>
          <w:rFonts w:cstheme="minorHAnsi"/>
          <w:lang w:val="en-GB"/>
        </w:rPr>
        <w:fldChar w:fldCharType="begin"/>
      </w:r>
      <w:r w:rsidRPr="0047272A">
        <w:rPr>
          <w:rFonts w:cstheme="minorHAnsi"/>
          <w:lang w:val="en-GB"/>
        </w:rPr>
        <w:instrText xml:space="preserve"> ADDIN ZOTERO_ITEM CSL_CITATION {"citationID":"I7dOfOej","properties":{"formattedCitation":"\\super 22\\nosupersub{}","plainCitation":"22","noteIndex":0},"citationItems":[{"id":932,"uris":["http://zotero.org/users/9157291/items/ASL4MQPD"],"itemData":{"id":932,"type":"report","event-place":"Washington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22</w:t>
      </w:r>
      <w:r w:rsidRPr="0047272A">
        <w:rPr>
          <w:rFonts w:cstheme="minorHAnsi"/>
          <w:lang w:val="en-GB"/>
        </w:rPr>
        <w:fldChar w:fldCharType="end"/>
      </w:r>
      <w:r w:rsidRPr="0047272A">
        <w:rPr>
          <w:rFonts w:cstheme="minorHAnsi"/>
          <w:lang w:val="en-GB"/>
        </w:rPr>
        <w:t>, halting more than half of Europe's ammonia production capacity (around 8% of global production</w:t>
      </w:r>
      <w:r w:rsidRPr="0047272A">
        <w:rPr>
          <w:rFonts w:cstheme="minorHAnsi"/>
          <w:lang w:val="en-GB"/>
        </w:rPr>
        <w:fldChar w:fldCharType="begin"/>
      </w:r>
      <w:r w:rsidRPr="0047272A">
        <w:rPr>
          <w:rFonts w:cstheme="minorHAnsi"/>
          <w:lang w:val="en-GB"/>
        </w:rPr>
        <w:instrText xml:space="preserve"> ADDIN ZOTERO_ITEM CSL_CITATION {"citationID":"oeRqOW4i","properties":{"formattedCitation":"\\super 11\\nosupersub{}","plainCitation":"11","noteIndex":0},"citationItems":[{"id":810,"uris":["http://zotero.org/users/9157291/items/86IUUBD4"],"itemData":{"id":810,"type":"report","publisher":"DECHEMA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11</w:t>
      </w:r>
      <w:r w:rsidRPr="0047272A">
        <w:rPr>
          <w:rFonts w:cstheme="minorHAnsi"/>
          <w:lang w:val="en-GB"/>
        </w:rPr>
        <w:fldChar w:fldCharType="end"/>
      </w:r>
      <w:r w:rsidRPr="0047272A">
        <w:rPr>
          <w:rFonts w:cstheme="minorHAnsi"/>
          <w:lang w:val="en-GB"/>
        </w:rPr>
        <w:t>) in 2022</w:t>
      </w:r>
      <w:r w:rsidRPr="0047272A">
        <w:rPr>
          <w:rFonts w:cstheme="minorHAnsi"/>
          <w:lang w:val="en-GB"/>
        </w:rPr>
        <w:fldChar w:fldCharType="begin"/>
      </w:r>
      <w:r w:rsidRPr="0047272A">
        <w:rPr>
          <w:rFonts w:cstheme="minorHAnsi"/>
          <w:lang w:val="en-GB"/>
        </w:rPr>
        <w:instrText xml:space="preserve"> ADDIN ZOTERO_ITEM CSL_CITATION {"citationID":"OFI4q7zf","properties":{"formattedCitation":"\\super 23,24\\nosupersub{}","plainCitation":"23,24","noteIndex":0},"citationItems":[{"id":931,"uris":["http://zotero.org/users/9157291/items/ZNIINMHR"],"itemData":{"id":931,"type":"webpage","abstract":"Europe’s fertilizer crunch tightened after Yara International ASA cut output in the face of soaring gas prices, putting more pressure on food supplies as a cost-of-living crisis intensifies.","container-title":"Bloomberg.com","language":"en","title":"Europe’s Widening Fertilizer Crisis Threatens Food Supplies","URL":"https://www.bloomberg.com/news/articles/2022-08-25/yara-to-further-cut-european-ammonia-production-due-to-gas-spike","author":[{"family":"Sousa","given":"Agnieszka","non-dropping-particle":"de"},{"family":"Gebre","given":"Samuel"},{"family":"Treloar","given":"Stephen"}],"accessed":{"date-parts":[["2022",12,9]]},"issued":{"date-parts":[["2022",8,25]]}}},{"id":930,"uris":["http://zotero.org/users/9157291/items/J9GLHR82"],"itemData":{"id":930,"type":"webpage","abstract":"Individual news pages","container-title":"ICIS Explore","language":"en-US","title":"EPCA ’22: European shut ammonia production unlikely to return - analyst","title-short":"EPCA ’22","URL":"https://www.icis.com/explore/resources/news/2022/10/04/10811649/epca-22-european-shut-ammonia-production-unlikely-to-return-analyst","author":[{"family":"Lopez","given":"Jonathan"}],"accessed":{"date-parts":[["2022",12,9]]},"issued":{"date-parts":[["2022",11,4]]}}}],"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23,24</w:t>
      </w:r>
      <w:r w:rsidRPr="0047272A">
        <w:rPr>
          <w:rFonts w:cstheme="minorHAnsi"/>
          <w:lang w:val="en-GB"/>
        </w:rPr>
        <w:fldChar w:fldCharType="end"/>
      </w:r>
      <w:r w:rsidRPr="0047272A">
        <w:rPr>
          <w:rFonts w:cstheme="minorHAnsi"/>
          <w:lang w:val="en-GB"/>
        </w:rPr>
        <w:t>. As a result, the chemical industry may consider relocating production to regions with lower costs rather than implementing domestic green production strategies. However, this could have detrimental socio-economic effects and undermine Europe's leadership in chemical production while increasing its susceptibility to supply disruptions. Furthermore, this sector employs approximately 1.2 million people across the continent</w:t>
      </w:r>
      <w:r w:rsidRPr="0047272A">
        <w:rPr>
          <w:rFonts w:cstheme="minorHAnsi"/>
          <w:lang w:val="en-GB"/>
        </w:rPr>
        <w:fldChar w:fldCharType="begin"/>
      </w:r>
      <w:r w:rsidRPr="0047272A">
        <w:rPr>
          <w:rFonts w:cstheme="minorHAnsi"/>
          <w:lang w:val="en-GB"/>
        </w:rPr>
        <w:instrText xml:space="preserve"> ADDIN ZOTERO_ITEM CSL_CITATION {"citationID":"pJ4R1O14","properties":{"formattedCitation":"\\super 25\\nosupersub{}","plainCitation":"25","noteIndex":0},"citationItems":[{"id":156,"uris":["http://zotero.org/users/9157291/items/44HGAMH3"],"itemData":{"id":156,"type":"report","publisher":"European Chemical Industry Council","title":"The European Chemical Industry - Facts &amp; Figures 2022","URL":"https://cefic.org/app/uploads/2022/01/Leaflet-FactsFigures_interactif_V02.pdf","author":[{"family":"cefic","given":""}],"accessed":{"date-parts":[["2022",8,14]]},"issued":{"date-parts":[["2022"]]}}}],"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25</w:t>
      </w:r>
      <w:r w:rsidRPr="0047272A">
        <w:rPr>
          <w:rFonts w:cstheme="minorHAnsi"/>
          <w:lang w:val="en-GB"/>
        </w:rPr>
        <w:fldChar w:fldCharType="end"/>
      </w:r>
      <w:r w:rsidRPr="0047272A">
        <w:rPr>
          <w:rFonts w:cstheme="minorHAnsi"/>
          <w:lang w:val="en-GB"/>
        </w:rPr>
        <w:t>, who would be at risk in such an uncertain scenario.</w:t>
      </w:r>
    </w:p>
    <w:p w14:paraId="5EC5A560" w14:textId="78A7AAEB" w:rsidR="00550978" w:rsidRPr="00E825C8" w:rsidRDefault="008A3579" w:rsidP="00E825C8">
      <w:pPr>
        <w:jc w:val="both"/>
        <w:rPr>
          <w:rFonts w:cstheme="minorHAnsi"/>
          <w:lang w:val="en-GB"/>
        </w:rPr>
      </w:pPr>
      <w:r w:rsidRPr="0047272A">
        <w:rPr>
          <w:rFonts w:cstheme="minorHAnsi"/>
          <w:lang w:val="en-GB"/>
        </w:rPr>
        <w:lastRenderedPageBreak/>
        <w:t>However, this unexpected situation may present an opportunity to enhance the economic competitiveness of green chemicals and accelerate the shift to renewable sources. It is yet to be determined whether green chemicals can demonstrate economic competitiveness in addition to their environmental dominance in the current situation. To bridge this crucial research gap, we conduct a monthly techno-economic assessment of Europe's production costs for green and fossil ammonia and methanol.</w:t>
      </w:r>
      <w:r w:rsidR="00452F17">
        <w:rPr>
          <w:rFonts w:cstheme="minorHAnsi"/>
          <w:lang w:val="en-GB"/>
        </w:rPr>
        <w:t xml:space="preserve"> Graphical representations for the techno-economic calculations are shown in </w:t>
      </w:r>
      <w:r w:rsidR="00452F17" w:rsidRPr="000E6FA5">
        <w:rPr>
          <w:rFonts w:cstheme="minorHAnsi"/>
          <w:b/>
          <w:lang w:val="en-GB"/>
        </w:rPr>
        <w:t>Figure</w:t>
      </w:r>
      <w:r w:rsidR="00D02C55">
        <w:rPr>
          <w:rFonts w:cstheme="minorHAnsi"/>
          <w:b/>
          <w:lang w:val="en-GB"/>
        </w:rPr>
        <w:t> </w:t>
      </w:r>
      <w:r w:rsidR="00452F17" w:rsidRPr="000E6FA5">
        <w:rPr>
          <w:rFonts w:cstheme="minorHAnsi"/>
          <w:b/>
          <w:lang w:val="en-GB"/>
        </w:rPr>
        <w:t>S3</w:t>
      </w:r>
      <w:r w:rsidR="00452F17">
        <w:rPr>
          <w:rFonts w:cstheme="minorHAnsi"/>
          <w:lang w:val="en-GB"/>
        </w:rPr>
        <w:t xml:space="preserve"> for ammonia and </w:t>
      </w:r>
      <w:r w:rsidR="00452F17" w:rsidRPr="000E6FA5">
        <w:rPr>
          <w:rFonts w:cstheme="minorHAnsi"/>
          <w:b/>
          <w:lang w:val="en-GB"/>
        </w:rPr>
        <w:t>Figure</w:t>
      </w:r>
      <w:r w:rsidR="00D02C55">
        <w:rPr>
          <w:rFonts w:cstheme="minorHAnsi"/>
          <w:b/>
          <w:lang w:val="en-GB"/>
        </w:rPr>
        <w:t> </w:t>
      </w:r>
      <w:r w:rsidR="00452F17" w:rsidRPr="000E6FA5">
        <w:rPr>
          <w:rFonts w:cstheme="minorHAnsi"/>
          <w:b/>
          <w:lang w:val="en-GB"/>
        </w:rPr>
        <w:t>S4</w:t>
      </w:r>
      <w:r w:rsidR="00452F17">
        <w:rPr>
          <w:rFonts w:cstheme="minorHAnsi"/>
          <w:lang w:val="en-GB"/>
        </w:rPr>
        <w:t xml:space="preserve"> for methanol, respectively.</w:t>
      </w:r>
    </w:p>
    <w:p w14:paraId="56DE3159" w14:textId="62F0EEDC" w:rsidR="008A3579" w:rsidRPr="0047272A" w:rsidRDefault="008A3579" w:rsidP="008A3579">
      <w:pPr>
        <w:pStyle w:val="Heading2"/>
      </w:pPr>
      <w:r w:rsidRPr="0047272A">
        <w:t>Results</w:t>
      </w:r>
    </w:p>
    <w:p w14:paraId="251805B7" w14:textId="77777777" w:rsidR="008A3579" w:rsidRPr="0047272A" w:rsidRDefault="008A3579" w:rsidP="008A3579">
      <w:pPr>
        <w:pStyle w:val="Heading3"/>
      </w:pPr>
      <w:r w:rsidRPr="0047272A">
        <w:t>Surging natural gas prices highlight the need for low-carbon alternatives</w:t>
      </w:r>
    </w:p>
    <w:p w14:paraId="25A003EA" w14:textId="5F17EC05" w:rsidR="008A3579" w:rsidRPr="0047272A" w:rsidRDefault="008A3579" w:rsidP="008A3579">
      <w:pPr>
        <w:jc w:val="both"/>
        <w:rPr>
          <w:rFonts w:cstheme="minorHAnsi"/>
          <w:lang w:val="en-GB"/>
        </w:rPr>
      </w:pPr>
      <w:r w:rsidRPr="0047272A">
        <w:rPr>
          <w:lang w:val="en-GB"/>
        </w:rPr>
        <w:t>We use natural gas spot prices at the reference Dutch TTF trading hub as a benchmark, but acknowledge that ongoing long-term confidential contracts signed by companies may affect actual production costs. We validated our estimates by comparing them to actual market prices during a stable period before the 2022 disruption, and our results align well with ammonia and methanol market prices over the past few years</w:t>
      </w:r>
      <w:r w:rsidRPr="0047272A">
        <w:rPr>
          <w:rFonts w:cstheme="minorHAnsi"/>
          <w:lang w:val="en-GB"/>
        </w:rPr>
        <w:t xml:space="preserve"> as shown in </w:t>
      </w:r>
      <w:r w:rsidRPr="0049215D">
        <w:rPr>
          <w:rFonts w:cstheme="minorHAnsi"/>
          <w:b/>
          <w:lang w:val="en-GB"/>
        </w:rPr>
        <w:t>Figure</w:t>
      </w:r>
      <w:r w:rsidR="007035ED">
        <w:rPr>
          <w:rFonts w:cstheme="minorHAnsi"/>
          <w:b/>
          <w:lang w:val="en-GB"/>
        </w:rPr>
        <w:t>s</w:t>
      </w:r>
      <w:r w:rsidR="007B21A3">
        <w:rPr>
          <w:rFonts w:cstheme="minorHAnsi"/>
          <w:b/>
          <w:lang w:val="en-GB"/>
        </w:rPr>
        <w:t> </w:t>
      </w:r>
      <w:r w:rsidR="0026672C" w:rsidRPr="0049215D">
        <w:rPr>
          <w:rFonts w:cstheme="minorHAnsi"/>
          <w:b/>
          <w:lang w:val="en-GB"/>
        </w:rPr>
        <w:t>S</w:t>
      </w:r>
      <w:r w:rsidR="001B516D">
        <w:rPr>
          <w:rFonts w:cstheme="minorHAnsi"/>
          <w:b/>
          <w:lang w:val="en-GB"/>
        </w:rPr>
        <w:t>7</w:t>
      </w:r>
      <w:r w:rsidR="00D239E7">
        <w:rPr>
          <w:rFonts w:cstheme="minorHAnsi"/>
          <w:lang w:val="en-GB"/>
        </w:rPr>
        <w:t xml:space="preserve"> </w:t>
      </w:r>
      <w:r w:rsidRPr="0047272A">
        <w:rPr>
          <w:rFonts w:cstheme="minorHAnsi"/>
          <w:lang w:val="en-GB"/>
        </w:rPr>
        <w:t>and</w:t>
      </w:r>
      <w:r w:rsidR="007B21A3">
        <w:rPr>
          <w:rFonts w:cstheme="minorHAnsi"/>
          <w:b/>
          <w:lang w:val="en-GB"/>
        </w:rPr>
        <w:t> </w:t>
      </w:r>
      <w:r w:rsidR="0026672C" w:rsidRPr="0049215D">
        <w:rPr>
          <w:rFonts w:cstheme="minorHAnsi"/>
          <w:b/>
          <w:lang w:val="en-GB"/>
        </w:rPr>
        <w:t>S</w:t>
      </w:r>
      <w:r w:rsidR="001B516D">
        <w:rPr>
          <w:rFonts w:cstheme="minorHAnsi"/>
          <w:b/>
          <w:lang w:val="en-GB"/>
        </w:rPr>
        <w:t>8</w:t>
      </w:r>
      <w:r w:rsidR="009130E9">
        <w:rPr>
          <w:rFonts w:cstheme="minorHAnsi"/>
          <w:b/>
          <w:lang w:val="en-GB"/>
        </w:rPr>
        <w:t xml:space="preserve"> </w:t>
      </w:r>
      <w:r w:rsidRPr="0047272A">
        <w:rPr>
          <w:rFonts w:cstheme="minorHAnsi"/>
          <w:lang w:val="en-GB"/>
        </w:rPr>
        <w:t>respectively</w:t>
      </w:r>
      <w:r w:rsidRPr="0047272A">
        <w:rPr>
          <w:lang w:val="en-GB"/>
        </w:rPr>
        <w:t xml:space="preserve">. </w:t>
      </w:r>
      <w:r w:rsidRPr="0047272A">
        <w:rPr>
          <w:rFonts w:cstheme="minorHAnsi"/>
          <w:lang w:val="en-GB"/>
        </w:rPr>
        <w:t>The so-evaluated production cost assuming the use of natural gas sold at current European market prices for fossil ammonia surged from 0.4 USD kg</w:t>
      </w:r>
      <w:r w:rsidRPr="0047272A">
        <w:rPr>
          <w:rFonts w:cstheme="minorHAnsi"/>
          <w:vertAlign w:val="superscript"/>
          <w:lang w:val="en-GB"/>
        </w:rPr>
        <w:t>−1</w:t>
      </w:r>
      <w:r w:rsidRPr="0047272A">
        <w:rPr>
          <w:rFonts w:cstheme="minorHAnsi"/>
          <w:lang w:val="en-GB"/>
        </w:rPr>
        <w:t xml:space="preserve"> (averaged value in 2019-2020) to 1.3 USD kg</w:t>
      </w:r>
      <w:r w:rsidRPr="0047272A">
        <w:rPr>
          <w:rFonts w:cstheme="minorHAnsi"/>
          <w:vertAlign w:val="superscript"/>
          <w:lang w:val="en-GB"/>
        </w:rPr>
        <w:t>−1</w:t>
      </w:r>
      <w:r w:rsidRPr="0047272A">
        <w:rPr>
          <w:rFonts w:cstheme="minorHAnsi"/>
          <w:lang w:val="en-GB"/>
        </w:rPr>
        <w:t xml:space="preserve"> in November 2022 (</w:t>
      </w:r>
      <w:r w:rsidR="00D239E7">
        <w:rPr>
          <w:rFonts w:cstheme="minorHAnsi"/>
          <w:b/>
          <w:bCs/>
          <w:lang w:val="en-GB"/>
        </w:rPr>
        <w:t>Figure 1a</w:t>
      </w:r>
      <w:r w:rsidRPr="0047272A">
        <w:rPr>
          <w:rFonts w:cstheme="minorHAnsi"/>
          <w:lang w:val="en-GB"/>
        </w:rPr>
        <w:t>), while fossil methanol costs evolved from 0.2 to 1.2 USD kg</w:t>
      </w:r>
      <w:r w:rsidRPr="0047272A">
        <w:rPr>
          <w:rFonts w:cstheme="minorHAnsi"/>
          <w:vertAlign w:val="superscript"/>
          <w:lang w:val="en-GB"/>
        </w:rPr>
        <w:t>−1</w:t>
      </w:r>
      <w:r w:rsidRPr="0047272A">
        <w:rPr>
          <w:rFonts w:cstheme="minorHAnsi"/>
          <w:lang w:val="en-GB"/>
        </w:rPr>
        <w:t xml:space="preserve"> during the same period (</w:t>
      </w:r>
      <w:r w:rsidR="00953561">
        <w:rPr>
          <w:rFonts w:cstheme="minorHAnsi"/>
          <w:b/>
          <w:bCs/>
          <w:lang w:val="en-GB"/>
        </w:rPr>
        <w:t>Figure 1b</w:t>
      </w:r>
      <w:r w:rsidRPr="0047272A">
        <w:rPr>
          <w:rFonts w:cstheme="minorHAnsi"/>
          <w:lang w:val="en-GB"/>
        </w:rPr>
        <w:t>). These increases are directly connected to steadily rising natural gas spot prices due to the COVID-19 pandemic and later to the Russian-Ukraine conflict in February 2022, when volatility increased. Over this unstable period, prices fluctuated considerably and peaked in August 2022 at 2.4 USD kg</w:t>
      </w:r>
      <w:r w:rsidRPr="0047272A">
        <w:rPr>
          <w:rFonts w:cstheme="minorHAnsi"/>
          <w:vertAlign w:val="superscript"/>
          <w:lang w:val="en-GB"/>
        </w:rPr>
        <w:t>−1</w:t>
      </w:r>
      <w:r w:rsidRPr="0047272A">
        <w:rPr>
          <w:rFonts w:cstheme="minorHAnsi"/>
          <w:lang w:val="en-GB"/>
        </w:rPr>
        <w:t xml:space="preserve"> for ammonia and 2.2 USD kg</w:t>
      </w:r>
      <w:r w:rsidRPr="0047272A">
        <w:rPr>
          <w:rFonts w:cstheme="minorHAnsi"/>
          <w:vertAlign w:val="superscript"/>
          <w:lang w:val="en-GB"/>
        </w:rPr>
        <w:t>−1</w:t>
      </w:r>
      <w:r w:rsidRPr="0047272A">
        <w:rPr>
          <w:rFonts w:cstheme="minorHAnsi"/>
          <w:lang w:val="en-GB"/>
        </w:rPr>
        <w:t xml:space="preserve"> for methanol. </w:t>
      </w:r>
    </w:p>
    <w:p w14:paraId="5EE69BAF" w14:textId="77777777" w:rsidR="008A3579" w:rsidRPr="0047272A" w:rsidRDefault="008A3579" w:rsidP="008A3579">
      <w:pPr>
        <w:pStyle w:val="Heading3"/>
      </w:pPr>
      <w:r w:rsidRPr="0047272A">
        <w:t>Cost-competitiveness of green ammonia and methanol production routes</w:t>
      </w:r>
    </w:p>
    <w:p w14:paraId="4FEF7213" w14:textId="1D12004D" w:rsidR="008A3579" w:rsidRPr="0047272A" w:rsidRDefault="008A3579" w:rsidP="008A3579">
      <w:pPr>
        <w:jc w:val="both"/>
        <w:rPr>
          <w:rFonts w:cstheme="minorHAnsi"/>
          <w:lang w:val="en-GB"/>
        </w:rPr>
      </w:pPr>
      <w:r w:rsidRPr="0047272A">
        <w:rPr>
          <w:rFonts w:cstheme="minorHAnsi"/>
          <w:lang w:val="en-GB"/>
        </w:rPr>
        <w:t>We subsequently investigate the economic competitiveness of alternative production routes for ammonia and methanol in Europe, accounting for monthly fluctuations in energy prices. For ammonia, we analysed the Haber-Bosch process using four typical hydrogen sources</w:t>
      </w:r>
      <w:r w:rsidRPr="0047272A">
        <w:rPr>
          <w:rFonts w:cstheme="minorHAnsi"/>
          <w:lang w:val="en-GB"/>
        </w:rPr>
        <w:fldChar w:fldCharType="begin"/>
      </w:r>
      <w:r w:rsidRPr="0047272A">
        <w:rPr>
          <w:rFonts w:cstheme="minorHAnsi"/>
          <w:lang w:val="en-GB"/>
        </w:rPr>
        <w:instrText xml:space="preserve"> ADDIN ZOTERO_ITEM CSL_CITATION {"citationID":"WotvQdaP","properties":{"formattedCitation":"\\super 11\\nosupersub{}","plainCitation":"11","noteIndex":0},"citationItems":[{"id":810,"uris":["http://zotero.org/users/9157291/items/86IUUBD4"],"itemData":{"id":810,"type":"report","publisher":"DECHEMA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11</w:t>
      </w:r>
      <w:r w:rsidRPr="0047272A">
        <w:rPr>
          <w:rFonts w:cstheme="minorHAnsi"/>
          <w:lang w:val="en-GB"/>
        </w:rPr>
        <w:fldChar w:fldCharType="end"/>
      </w:r>
      <w:r w:rsidRPr="0047272A">
        <w:rPr>
          <w:rFonts w:cstheme="minorHAnsi"/>
          <w:lang w:val="en-GB"/>
        </w:rPr>
        <w:t>: grey hydrogen from steam methane reforming (SMR), blue hydrogen from SMR coupled with carbon capture and storage (CCS), green hydrogen from water electrolysis using solar photovoltaic (PV) electricity, and green hydrogen from water electrolysis using on-shore wind electricity. Similarly, we compared four alternative production routes for methanol: conventional synthesis from natural gas, synthesis from CO</w:t>
      </w:r>
      <w:r w:rsidRPr="0047272A">
        <w:rPr>
          <w:rFonts w:cstheme="minorHAnsi"/>
          <w:vertAlign w:val="subscript"/>
          <w:lang w:val="en-GB"/>
        </w:rPr>
        <w:t>2</w:t>
      </w:r>
      <w:r w:rsidRPr="0047272A">
        <w:rPr>
          <w:rFonts w:cstheme="minorHAnsi"/>
          <w:lang w:val="en-GB"/>
        </w:rPr>
        <w:t xml:space="preserve"> and blue hydrogen, solar PV</w:t>
      </w:r>
      <w:r w:rsidRPr="0047272A">
        <w:rPr>
          <w:rFonts w:cstheme="minorHAnsi"/>
          <w:lang w:val="en-GB"/>
        </w:rPr>
        <w:noBreakHyphen/>
        <w:t>based electrolytic hydrogen, and wind-based electrolytic hydrogen, all using CO</w:t>
      </w:r>
      <w:r w:rsidRPr="0047272A">
        <w:rPr>
          <w:rFonts w:cstheme="minorHAnsi"/>
          <w:vertAlign w:val="subscript"/>
          <w:lang w:val="en-GB"/>
        </w:rPr>
        <w:t>2</w:t>
      </w:r>
      <w:r w:rsidRPr="0047272A">
        <w:rPr>
          <w:rFonts w:cstheme="minorHAnsi"/>
          <w:lang w:val="en-GB"/>
        </w:rPr>
        <w:t xml:space="preserve"> from direct air capture (DAC) to reduce GHG emissions and remove the risk of burden shifting</w:t>
      </w:r>
      <w:r w:rsidRPr="0047272A">
        <w:rPr>
          <w:rFonts w:cstheme="minorHAnsi"/>
          <w:lang w:val="en-GB"/>
        </w:rPr>
        <w:fldChar w:fldCharType="begin"/>
      </w:r>
      <w:r w:rsidRPr="0047272A">
        <w:rPr>
          <w:rFonts w:cstheme="minorHAnsi"/>
          <w:lang w:val="en-GB"/>
        </w:rPr>
        <w:instrText xml:space="preserve"> ADDIN ZOTERO_ITEM CSL_CITATION {"citationID":"flt1PZ4A","properties":{"formattedCitation":"\\super 16\\nosupersub{}","plainCitation":"16","noteIndex":0},"citationItems":[{"id":704,"uris":["http://zotero.org/users/9157291/items/VK4IQBHF"],"itemData":{"id":704,"type":"article-journal","abstract":"The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Earth","DOI":"10.1016/j.oneear.2021.04.001","ISSN":"2590-3322","issue":"4","journalAbbreviation":"One Earth","language":"en","page":"565-583","source":"ScienceDirect","title":"Sustainability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4,23]]}}}],"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16</w:t>
      </w:r>
      <w:r w:rsidRPr="0047272A">
        <w:rPr>
          <w:rFonts w:cstheme="minorHAnsi"/>
          <w:lang w:val="en-GB"/>
        </w:rPr>
        <w:fldChar w:fldCharType="end"/>
      </w:r>
      <w:r w:rsidRPr="0047272A">
        <w:rPr>
          <w:rFonts w:cstheme="minorHAnsi"/>
          <w:lang w:val="en-GB"/>
        </w:rPr>
        <w:t xml:space="preserve">. See </w:t>
      </w:r>
      <w:r w:rsidR="008A7377" w:rsidRPr="0047272A">
        <w:rPr>
          <w:rFonts w:cstheme="minorHAnsi"/>
          <w:lang w:val="en-GB"/>
        </w:rPr>
        <w:t>s</w:t>
      </w:r>
      <w:r w:rsidRPr="0047272A">
        <w:rPr>
          <w:rFonts w:cstheme="minorHAnsi"/>
          <w:lang w:val="en-GB"/>
        </w:rPr>
        <w:t>ection </w:t>
      </w:r>
      <w:r w:rsidR="008A7377" w:rsidRPr="0047272A">
        <w:rPr>
          <w:rFonts w:cstheme="minorHAnsi"/>
          <w:lang w:val="en-GB"/>
        </w:rPr>
        <w:t>1</w:t>
      </w:r>
      <w:r w:rsidRPr="0047272A">
        <w:rPr>
          <w:rFonts w:cstheme="minorHAnsi"/>
          <w:lang w:val="en-GB"/>
        </w:rPr>
        <w:t xml:space="preserve"> of the ESI for more details on production routes.</w:t>
      </w:r>
    </w:p>
    <w:p w14:paraId="2FF81E9E" w14:textId="3280558D" w:rsidR="008A3579" w:rsidRPr="0047272A" w:rsidRDefault="00731AFA" w:rsidP="008A3579">
      <w:pPr>
        <w:jc w:val="both"/>
        <w:rPr>
          <w:rFonts w:cstheme="minorHAnsi"/>
          <w:lang w:val="en-GB"/>
        </w:rPr>
      </w:pPr>
      <w:r>
        <w:rPr>
          <w:rFonts w:cstheme="minorHAnsi"/>
          <w:b/>
          <w:bCs/>
          <w:lang w:val="en-GB"/>
        </w:rPr>
        <w:t>Figure 2</w:t>
      </w:r>
      <w:r w:rsidR="004C2C29" w:rsidRPr="0047272A">
        <w:rPr>
          <w:rFonts w:cstheme="minorHAnsi"/>
          <w:b/>
          <w:bCs/>
          <w:lang w:val="en-GB"/>
        </w:rPr>
        <w:t xml:space="preserve"> </w:t>
      </w:r>
      <w:r w:rsidR="008A3579" w:rsidRPr="0047272A">
        <w:rPr>
          <w:rFonts w:cstheme="minorHAnsi"/>
          <w:lang w:val="en-GB"/>
        </w:rPr>
        <w:t>illustrates the cost-competitiveness of green versus fossil counterparts. As for ammonia, blue hydrogen-based production follows a similar pattern as fossil ammonia, with slightly higher costs due to CCS (</w:t>
      </w:r>
      <w:r>
        <w:rPr>
          <w:rFonts w:cstheme="minorHAnsi"/>
          <w:b/>
          <w:bCs/>
          <w:lang w:val="en-GB"/>
        </w:rPr>
        <w:t>Figure 2a</w:t>
      </w:r>
      <w:r w:rsidR="008A3579" w:rsidRPr="0047272A">
        <w:rPr>
          <w:rFonts w:cstheme="minorHAnsi"/>
          <w:lang w:val="en-GB"/>
        </w:rPr>
        <w:t>). However, green ammonia produced via solar PV-based electrolytic hydrogen has been a close competitor to fossil ammonia prices since matching them in August 2022 (</w:t>
      </w:r>
      <w:r w:rsidRPr="00731AFA">
        <w:rPr>
          <w:rFonts w:cstheme="minorHAnsi"/>
          <w:b/>
          <w:lang w:val="en-GB"/>
        </w:rPr>
        <w:t>Figure 2b</w:t>
      </w:r>
      <w:r w:rsidR="008A3579" w:rsidRPr="0047272A">
        <w:rPr>
          <w:rFonts w:cstheme="minorHAnsi"/>
          <w:lang w:val="en-GB"/>
        </w:rPr>
        <w:t>). Even more remarkably, ammonia produced with hydrogen from water electrolysis using on-shore wind electricity became cheaper from December 2021 to October 2022 at natural gas prices around 1.7 USD kg</w:t>
      </w:r>
      <w:r w:rsidR="008A3579" w:rsidRPr="0047272A">
        <w:rPr>
          <w:rFonts w:cstheme="minorHAnsi"/>
          <w:vertAlign w:val="superscript"/>
          <w:lang w:val="en-GB"/>
        </w:rPr>
        <w:t>−1</w:t>
      </w:r>
      <w:r w:rsidR="008A3579" w:rsidRPr="0047272A">
        <w:rPr>
          <w:rFonts w:cstheme="minorHAnsi"/>
          <w:lang w:val="en-GB"/>
        </w:rPr>
        <w:t xml:space="preserve"> (</w:t>
      </w:r>
      <w:r w:rsidR="009E47FC">
        <w:rPr>
          <w:rFonts w:cstheme="minorHAnsi"/>
          <w:b/>
          <w:bCs/>
          <w:lang w:val="en-GB"/>
        </w:rPr>
        <w:t>Figure 1</w:t>
      </w:r>
      <w:r w:rsidR="008A3579" w:rsidRPr="0047272A">
        <w:rPr>
          <w:rFonts w:cstheme="minorHAnsi"/>
          <w:lang w:val="en-GB"/>
        </w:rPr>
        <w:t>) due to the higher capacity factor of wind- versus solar-powered water electrolysis (36–39% versus 16–18%)</w:t>
      </w:r>
      <w:r w:rsidR="008A3579" w:rsidRPr="0047272A">
        <w:rPr>
          <w:rFonts w:cstheme="minorHAnsi"/>
          <w:lang w:val="en-GB"/>
        </w:rPr>
        <w:fldChar w:fldCharType="begin"/>
      </w:r>
      <w:r w:rsidR="008A3579" w:rsidRPr="0047272A">
        <w:rPr>
          <w:rFonts w:cstheme="minorHAnsi"/>
          <w:lang w:val="en-GB"/>
        </w:rPr>
        <w:instrText xml:space="preserve"> ADDIN ZOTERO_ITEM CSL_CITATION {"citationID":"4WsfGQvU","properties":{"formattedCitation":"\\super 26\\nosupersub{}","plainCitation":"26","noteIndex":0},"citationItems":[{"id":920,"uris":["http://zotero.org/users/9157291/items/TXYNLTG5"],"itemData":{"id":920,"type":"report","event-place":"Abu Dhabi","language":"en","publisher":"International Renewable Energy Agency","publisher-place":"Abu Dhabi","source":"Zotero","title":"Making the breakthrough: Green hydrogen policies and technology costs","author":[{"family":"IRENA","given":""}],"issued":{"date-parts":[["2021"]]}}}],"schema":"https://github.com/citation-style-language/schema/raw/master/csl-citation.json"} </w:instrText>
      </w:r>
      <w:r w:rsidR="008A3579" w:rsidRPr="0047272A">
        <w:rPr>
          <w:rFonts w:cstheme="minorHAnsi"/>
          <w:lang w:val="en-GB"/>
        </w:rPr>
        <w:fldChar w:fldCharType="separate"/>
      </w:r>
      <w:r w:rsidR="008A3579" w:rsidRPr="0047272A">
        <w:rPr>
          <w:rFonts w:ascii="Calibri" w:hAnsi="Calibri" w:cs="Calibri"/>
          <w:szCs w:val="24"/>
          <w:vertAlign w:val="superscript"/>
          <w:lang w:val="en-GB"/>
        </w:rPr>
        <w:t>26</w:t>
      </w:r>
      <w:r w:rsidR="008A3579" w:rsidRPr="0047272A">
        <w:rPr>
          <w:rFonts w:cstheme="minorHAnsi"/>
          <w:lang w:val="en-GB"/>
        </w:rPr>
        <w:fldChar w:fldCharType="end"/>
      </w:r>
      <w:r w:rsidR="008A3579" w:rsidRPr="0047272A">
        <w:rPr>
          <w:rFonts w:cstheme="minorHAnsi"/>
          <w:lang w:val="en-GB"/>
        </w:rPr>
        <w:t>. Over this period, wind-based ammonia production costs ranged from 1.3 to 1.6 USD kg</w:t>
      </w:r>
      <w:r w:rsidR="008A3579" w:rsidRPr="0047272A">
        <w:rPr>
          <w:rFonts w:cstheme="minorHAnsi"/>
          <w:vertAlign w:val="superscript"/>
          <w:lang w:val="en-GB"/>
        </w:rPr>
        <w:t>−1</w:t>
      </w:r>
      <w:r w:rsidR="008A3579" w:rsidRPr="0047272A">
        <w:rPr>
          <w:rFonts w:cstheme="minorHAnsi"/>
          <w:lang w:val="en-GB"/>
        </w:rPr>
        <w:t xml:space="preserve"> (</w:t>
      </w:r>
      <w:r w:rsidR="003248E2">
        <w:rPr>
          <w:rFonts w:cstheme="minorHAnsi"/>
          <w:b/>
          <w:bCs/>
          <w:lang w:val="en-GB"/>
        </w:rPr>
        <w:t>Figure 2c</w:t>
      </w:r>
      <w:r w:rsidR="008A3579" w:rsidRPr="0047272A">
        <w:rPr>
          <w:rFonts w:cstheme="minorHAnsi"/>
          <w:b/>
          <w:bCs/>
          <w:lang w:val="en-GB"/>
        </w:rPr>
        <w:t xml:space="preserve">, </w:t>
      </w:r>
      <w:r w:rsidR="008A3579" w:rsidRPr="0047272A">
        <w:rPr>
          <w:rFonts w:cstheme="minorHAnsi"/>
          <w:lang w:val="en-GB"/>
        </w:rPr>
        <w:t>see blue-highlighted area).</w:t>
      </w:r>
    </w:p>
    <w:p w14:paraId="48D731F6" w14:textId="12DD55E3" w:rsidR="00CA7D24" w:rsidRPr="0047272A" w:rsidRDefault="008A3579" w:rsidP="008A3579">
      <w:pPr>
        <w:jc w:val="both"/>
        <w:rPr>
          <w:rFonts w:cstheme="minorHAnsi"/>
          <w:lang w:val="en-GB"/>
        </w:rPr>
      </w:pPr>
      <w:r w:rsidRPr="0047272A">
        <w:rPr>
          <w:rFonts w:cstheme="minorHAnsi"/>
          <w:lang w:val="en-GB"/>
        </w:rPr>
        <w:t>The production cost of methanol from DAC CO</w:t>
      </w:r>
      <w:r w:rsidRPr="0047272A">
        <w:rPr>
          <w:rFonts w:cstheme="minorHAnsi"/>
          <w:vertAlign w:val="subscript"/>
          <w:lang w:val="en-GB"/>
        </w:rPr>
        <w:t>2</w:t>
      </w:r>
      <w:r w:rsidRPr="0047272A">
        <w:rPr>
          <w:rFonts w:cstheme="minorHAnsi"/>
          <w:lang w:val="en-GB"/>
        </w:rPr>
        <w:t xml:space="preserve"> and blue hydrogen was 182% higher than fossil methanol on average due to the added expenses of CCS and CO</w:t>
      </w:r>
      <w:r w:rsidRPr="0047272A">
        <w:rPr>
          <w:rFonts w:cstheme="minorHAnsi"/>
          <w:vertAlign w:val="subscript"/>
          <w:lang w:val="en-GB"/>
        </w:rPr>
        <w:t>2</w:t>
      </w:r>
      <w:r w:rsidRPr="0047272A">
        <w:rPr>
          <w:rFonts w:cstheme="minorHAnsi"/>
          <w:lang w:val="en-GB"/>
        </w:rPr>
        <w:t xml:space="preserve"> capture (</w:t>
      </w:r>
      <w:r w:rsidR="004C06A5">
        <w:rPr>
          <w:rFonts w:cstheme="minorHAnsi"/>
          <w:b/>
          <w:bCs/>
          <w:lang w:val="en-GB"/>
        </w:rPr>
        <w:t>Figure 2d</w:t>
      </w:r>
      <w:r w:rsidRPr="0047272A">
        <w:rPr>
          <w:rFonts w:cstheme="minorHAnsi"/>
          <w:lang w:val="en-GB"/>
        </w:rPr>
        <w:t xml:space="preserve">). </w:t>
      </w:r>
      <w:r w:rsidR="00201F32">
        <w:rPr>
          <w:rFonts w:cstheme="minorHAnsi"/>
          <w:lang w:val="en-GB"/>
        </w:rPr>
        <w:t>Th</w:t>
      </w:r>
      <w:r w:rsidR="00A07CC4">
        <w:rPr>
          <w:rFonts w:cstheme="minorHAnsi"/>
          <w:lang w:val="en-GB"/>
        </w:rPr>
        <w:t>e</w:t>
      </w:r>
      <w:r w:rsidRPr="0047272A">
        <w:rPr>
          <w:rFonts w:cstheme="minorHAnsi"/>
          <w:lang w:val="en-GB"/>
        </w:rPr>
        <w:t xml:space="preserve"> solar PV-based method was never economically viable (</w:t>
      </w:r>
      <w:r w:rsidR="00DD5E55">
        <w:rPr>
          <w:rFonts w:cstheme="minorHAnsi"/>
          <w:b/>
          <w:bCs/>
          <w:lang w:val="en-GB"/>
        </w:rPr>
        <w:t>Figure 2</w:t>
      </w:r>
      <w:r w:rsidR="00DD5E55">
        <w:rPr>
          <w:rFonts w:cstheme="minorHAnsi"/>
          <w:b/>
          <w:bCs/>
          <w:lang w:val="en-GB"/>
        </w:rPr>
        <w:t>e</w:t>
      </w:r>
      <w:r w:rsidRPr="0047272A">
        <w:rPr>
          <w:rFonts w:cstheme="minorHAnsi"/>
          <w:lang w:val="en-GB"/>
        </w:rPr>
        <w:t>). However, green methanol created with wind-based electrolytic hydrogen and DAC CO</w:t>
      </w:r>
      <w:r w:rsidRPr="0047272A">
        <w:rPr>
          <w:rFonts w:cstheme="minorHAnsi"/>
          <w:vertAlign w:val="subscript"/>
          <w:lang w:val="en-GB"/>
        </w:rPr>
        <w:t>2</w:t>
      </w:r>
      <w:r w:rsidRPr="0047272A">
        <w:rPr>
          <w:rFonts w:cstheme="minorHAnsi"/>
          <w:lang w:val="en-GB"/>
        </w:rPr>
        <w:t xml:space="preserve"> reached price parity with fossil methanol in August 2022 at peak natural gas prices of approximately 3.1 USD kg</w:t>
      </w:r>
      <w:r w:rsidRPr="0047272A">
        <w:rPr>
          <w:rFonts w:cstheme="minorHAnsi"/>
          <w:vertAlign w:val="superscript"/>
          <w:lang w:val="en-GB"/>
        </w:rPr>
        <w:t>−1</w:t>
      </w:r>
      <w:r w:rsidRPr="0047272A">
        <w:rPr>
          <w:rFonts w:cstheme="minorHAnsi"/>
          <w:lang w:val="en-GB"/>
        </w:rPr>
        <w:t xml:space="preserve"> (</w:t>
      </w:r>
      <w:r w:rsidR="00833DDB">
        <w:rPr>
          <w:rFonts w:cstheme="minorHAnsi"/>
          <w:b/>
          <w:bCs/>
          <w:lang w:val="en-GB"/>
        </w:rPr>
        <w:t>Figure 2</w:t>
      </w:r>
      <w:r w:rsidR="00833DDB">
        <w:rPr>
          <w:rFonts w:cstheme="minorHAnsi"/>
          <w:b/>
          <w:bCs/>
          <w:lang w:val="en-GB"/>
        </w:rPr>
        <w:t>f</w:t>
      </w:r>
      <w:r w:rsidRPr="0047272A">
        <w:rPr>
          <w:rFonts w:cstheme="minorHAnsi"/>
          <w:lang w:val="en-GB"/>
        </w:rPr>
        <w:t>) as the break</w:t>
      </w:r>
      <w:r w:rsidR="000246AC" w:rsidRPr="0047272A">
        <w:rPr>
          <w:rFonts w:cstheme="minorHAnsi"/>
          <w:lang w:val="en-GB"/>
        </w:rPr>
        <w:noBreakHyphen/>
      </w:r>
      <w:r w:rsidRPr="0047272A">
        <w:rPr>
          <w:rFonts w:cstheme="minorHAnsi"/>
          <w:lang w:val="en-GB"/>
        </w:rPr>
        <w:t>even natural gas price mostly depends on the levelised cost of hydrogen.</w:t>
      </w:r>
    </w:p>
    <w:p w14:paraId="544AA190" w14:textId="5F00AA60" w:rsidR="008A3579" w:rsidRPr="002105A0" w:rsidRDefault="008A3579" w:rsidP="008A3579">
      <w:pPr>
        <w:jc w:val="both"/>
        <w:rPr>
          <w:rFonts w:cstheme="minorHAnsi"/>
          <w:lang w:val="en-GB"/>
        </w:rPr>
      </w:pPr>
      <w:r w:rsidRPr="0047272A">
        <w:rPr>
          <w:lang w:val="en-GB"/>
        </w:rPr>
        <w:t xml:space="preserve">In </w:t>
      </w:r>
      <w:r w:rsidR="0001168C">
        <w:rPr>
          <w:b/>
          <w:bCs/>
          <w:lang w:val="en-GB"/>
        </w:rPr>
        <w:t>Figure 3</w:t>
      </w:r>
      <w:r w:rsidRPr="0047272A">
        <w:rPr>
          <w:lang w:val="en-GB"/>
        </w:rPr>
        <w:t xml:space="preserve">, we examine the production cost breakdown of fossil and green chemicals at various time points, with a particular focus on the most promising green routes that rely on wind-based electrolytic hydrogen. The results for other </w:t>
      </w:r>
      <w:r w:rsidRPr="0047272A">
        <w:rPr>
          <w:lang w:val="en-GB"/>
        </w:rPr>
        <w:lastRenderedPageBreak/>
        <w:t xml:space="preserve">green routes can be found in </w:t>
      </w:r>
      <w:r w:rsidRPr="00B727EA">
        <w:rPr>
          <w:b/>
          <w:lang w:val="en-GB"/>
        </w:rPr>
        <w:t>Fig</w:t>
      </w:r>
      <w:r w:rsidR="00BA7FD4" w:rsidRPr="00B727EA">
        <w:rPr>
          <w:b/>
          <w:lang w:val="en-GB"/>
        </w:rPr>
        <w:t>ure</w:t>
      </w:r>
      <w:r w:rsidR="004D02FF">
        <w:rPr>
          <w:b/>
          <w:lang w:val="en-GB"/>
        </w:rPr>
        <w:t> </w:t>
      </w:r>
      <w:r w:rsidR="00BA7FD4" w:rsidRPr="00B727EA">
        <w:rPr>
          <w:b/>
          <w:lang w:val="en-GB"/>
        </w:rPr>
        <w:t>S</w:t>
      </w:r>
      <w:r w:rsidR="00F341F0">
        <w:rPr>
          <w:b/>
          <w:lang w:val="en-GB"/>
        </w:rPr>
        <w:t>1</w:t>
      </w:r>
      <w:r w:rsidR="00CC5654">
        <w:rPr>
          <w:b/>
          <w:lang w:val="en-GB"/>
        </w:rPr>
        <w:t>0</w:t>
      </w:r>
      <w:r w:rsidRPr="0047272A">
        <w:rPr>
          <w:lang w:val="en-GB"/>
        </w:rPr>
        <w:t>.</w:t>
      </w:r>
      <w:r w:rsidR="002105A0">
        <w:rPr>
          <w:rFonts w:cstheme="minorHAnsi"/>
          <w:lang w:val="en-GB"/>
        </w:rPr>
        <w:t xml:space="preserve"> </w:t>
      </w:r>
      <w:r w:rsidRPr="0047272A">
        <w:rPr>
          <w:lang w:val="en-GB"/>
        </w:rPr>
        <w:t>Our findings indicate that the percentage of natural gas in the production cost of fossil ammonia rose from 21% in 2020 to 63% in November 2022 (</w:t>
      </w:r>
      <w:r w:rsidR="00C74307">
        <w:rPr>
          <w:b/>
          <w:bCs/>
          <w:lang w:val="en-GB"/>
        </w:rPr>
        <w:t>Figure 3a</w:t>
      </w:r>
      <w:r w:rsidRPr="0047272A">
        <w:rPr>
          <w:lang w:val="en-GB"/>
        </w:rPr>
        <w:t>). Similarly, for fossil methanol production, its contribution increased from 48% to 88% (</w:t>
      </w:r>
      <w:r w:rsidR="00E634B6">
        <w:rPr>
          <w:b/>
          <w:bCs/>
          <w:lang w:val="en-GB"/>
        </w:rPr>
        <w:t>Figure 3b</w:t>
      </w:r>
      <w:r w:rsidRPr="0047272A">
        <w:rPr>
          <w:lang w:val="en-GB"/>
        </w:rPr>
        <w:t>). In contrast, for the green routes, hydrogen represented the highest share of the production cost, accounting for 69–85% for green ammonia and 61–67% for green methanol, depending on the timeframe. However, our analysis suggests that the average European levelised cost of wind-based electrolytic hydrogen steadily decreased. The reduction in on</w:t>
      </w:r>
      <w:r w:rsidRPr="0047272A">
        <w:rPr>
          <w:lang w:val="en-GB"/>
        </w:rPr>
        <w:noBreakHyphen/>
        <w:t>shore wind electricity costs from 67 to 42 USD MWh</w:t>
      </w:r>
      <w:r w:rsidRPr="0047272A">
        <w:rPr>
          <w:rFonts w:cstheme="minorHAnsi"/>
          <w:vertAlign w:val="superscript"/>
          <w:lang w:val="en-GB"/>
        </w:rPr>
        <w:t>−</w:t>
      </w:r>
      <w:r w:rsidRPr="0047272A">
        <w:rPr>
          <w:vertAlign w:val="superscript"/>
          <w:lang w:val="en-GB"/>
        </w:rPr>
        <w:t>1</w:t>
      </w:r>
      <w:r w:rsidRPr="0047272A">
        <w:rPr>
          <w:lang w:val="en-GB"/>
        </w:rPr>
        <w:t xml:space="preserve"> (ref.</w:t>
      </w:r>
      <w:r w:rsidRPr="0047272A">
        <w:rPr>
          <w:lang w:val="en-GB"/>
        </w:rPr>
        <w:fldChar w:fldCharType="begin"/>
      </w:r>
      <w:r w:rsidRPr="0047272A">
        <w:rPr>
          <w:lang w:val="en-GB"/>
        </w:rPr>
        <w:instrText xml:space="preserve"> ADDIN ZOTERO_ITEM CSL_CITATION {"citationID":"u41OseLy","properties":{"formattedCitation":"\\super 26\\nosupersub{}","plainCitation":"26","noteIndex":0},"citationItems":[{"id":920,"uris":["http://zotero.org/users/9157291/items/TXYNLTG5"],"itemData":{"id":920,"type":"report","event-place":"Abu Dhabi","language":"en","publisher":"International Renewable Energy Agency","publisher-place":"Abu Dhabi","source":"Zotero","title":"Making the breakthrough: Green hydrogen policies and technology costs","author":[{"family":"IRENA","given":""}],"issued":{"date-parts":[["2021"]]}}}],"schema":"https://github.com/citation-style-language/schema/raw/master/csl-citation.json"} </w:instrText>
      </w:r>
      <w:r w:rsidRPr="0047272A">
        <w:rPr>
          <w:lang w:val="en-GB"/>
        </w:rPr>
        <w:fldChar w:fldCharType="separate"/>
      </w:r>
      <w:r w:rsidRPr="0047272A">
        <w:rPr>
          <w:rFonts w:ascii="Calibri" w:hAnsi="Calibri" w:cs="Calibri"/>
          <w:szCs w:val="24"/>
          <w:vertAlign w:val="superscript"/>
          <w:lang w:val="en-GB"/>
        </w:rPr>
        <w:t>26</w:t>
      </w:r>
      <w:r w:rsidRPr="0047272A">
        <w:rPr>
          <w:lang w:val="en-GB"/>
        </w:rPr>
        <w:fldChar w:fldCharType="end"/>
      </w:r>
      <w:r w:rsidRPr="0047272A">
        <w:rPr>
          <w:lang w:val="en-GB"/>
        </w:rPr>
        <w:t>) drove a price decline from 5.2–8.5 USD kg</w:t>
      </w:r>
      <w:r w:rsidRPr="0047272A">
        <w:rPr>
          <w:rFonts w:cstheme="minorHAnsi"/>
          <w:vertAlign w:val="superscript"/>
          <w:lang w:val="en-GB"/>
        </w:rPr>
        <w:t>−</w:t>
      </w:r>
      <w:r w:rsidRPr="0047272A">
        <w:rPr>
          <w:vertAlign w:val="superscript"/>
          <w:lang w:val="en-GB"/>
        </w:rPr>
        <w:t>1</w:t>
      </w:r>
      <w:r w:rsidRPr="0047272A">
        <w:rPr>
          <w:lang w:val="en-GB"/>
        </w:rPr>
        <w:t xml:space="preserve"> in 2019 to 5.2–7.3 USD kg</w:t>
      </w:r>
      <w:r w:rsidRPr="0047272A">
        <w:rPr>
          <w:rFonts w:cstheme="minorHAnsi"/>
          <w:vertAlign w:val="superscript"/>
          <w:lang w:val="en-GB"/>
        </w:rPr>
        <w:t>−</w:t>
      </w:r>
      <w:r w:rsidRPr="0047272A">
        <w:rPr>
          <w:vertAlign w:val="superscript"/>
          <w:lang w:val="en-GB"/>
        </w:rPr>
        <w:t>1</w:t>
      </w:r>
      <w:r w:rsidRPr="0047272A">
        <w:rPr>
          <w:lang w:val="en-GB"/>
        </w:rPr>
        <w:t xml:space="preserve"> in 2022 after considering inflation. We notice that the hydrogen cost we used in this study aligns well with the lower end of previous literature estimates (</w:t>
      </w:r>
      <w:r w:rsidRPr="0047272A">
        <w:rPr>
          <w:i/>
          <w:lang w:val="en-GB"/>
        </w:rPr>
        <w:t>i.e</w:t>
      </w:r>
      <w:r w:rsidRPr="0047272A">
        <w:rPr>
          <w:lang w:val="en-GB"/>
        </w:rPr>
        <w:t>., 4.6</w:t>
      </w:r>
      <w:r w:rsidR="00F12E54">
        <w:rPr>
          <w:lang w:val="en-GB"/>
        </w:rPr>
        <w:t>–</w:t>
      </w:r>
      <w:r w:rsidRPr="0047272A">
        <w:rPr>
          <w:lang w:val="en-GB"/>
        </w:rPr>
        <w:t>10 USD kg</w:t>
      </w:r>
      <w:r w:rsidRPr="0047272A">
        <w:rPr>
          <w:rFonts w:cstheme="minorHAnsi"/>
          <w:vertAlign w:val="superscript"/>
          <w:lang w:val="en-GB"/>
        </w:rPr>
        <w:t>−</w:t>
      </w:r>
      <w:r w:rsidRPr="0047272A">
        <w:rPr>
          <w:vertAlign w:val="superscript"/>
          <w:lang w:val="en-GB"/>
        </w:rPr>
        <w:t>1</w:t>
      </w:r>
      <w:r w:rsidRPr="0047272A">
        <w:rPr>
          <w:lang w:val="en-GB"/>
        </w:rPr>
        <w:t xml:space="preserve"> based on ref.</w:t>
      </w:r>
      <w:r w:rsidRPr="0047272A">
        <w:rPr>
          <w:lang w:val="en-GB"/>
        </w:rPr>
        <w:fldChar w:fldCharType="begin"/>
      </w:r>
      <w:r w:rsidRPr="0047272A">
        <w:rPr>
          <w:lang w:val="en-GB"/>
        </w:rPr>
        <w:instrText xml:space="preserve"> ADDIN ZOTERO_ITEM CSL_CITATION {"citationID":"pejIi8CD","properties":{"formattedCitation":"\\super 27\\nosupersub{}","plainCitation":"27","noteIndex":0},"citationItems":[{"id":1015,"uris":["http://zotero.org/users/9157291/items/5Q9TNJYS"],"itemData":{"id":1015,"type":"article-journal","abstract":"Different technologies produce hydrogen with varying cost and carbon footprints over the entire resource supply chain and manufacturing steps. This paper examines the relative costs of carbon mitigation from a life cycle perspective for 12 different hydrogen production techniques using fossil fuels, nuclear energy and renewable sources by technology substitution. Production costs and life cycle emissions are parameterized and re-estimated from currently available assessments to produce robust ranges to describe uncertainties for each technology. Hydrogen production routes are then compared using a combination of metrics, levelized cost of carbon mitigation and the proportional decarbonization benchmarked against steam methane reforming, to provide a clearer picture of the relative merits of various hydrogen production pathways, the limitations of technologies and the research challenges that need to be addressed for cost-effective decarbonization pathways. The results show that there is a trade-off between the cost of mitigation and the proportion of decarbonization achieved. The most cost-effective methods of decarbonization still utilize fossil feedstocks due to their low cost of extraction and processing, but only offer moderate decarbonisation levels due to previous underestimations of supply chain emissions contributions. Methane pyrolysis may be the most cost-effective short-term abatement solution, but its emissions reduction performance is heavily dependent on managing supply chain emissions whilst cost effectiveness is governed by the price of solid carbon. Renewable electrolytic routes offer significantly higher emissions reductions, but production routes are more complex than those that utilise naturally-occurring energy-dense fuels and hydrogen costs are high at modest renewable energy capacity factors. Nuclear routes are highly cost-effective mitigation options, but could suffer from regionally varied perceptions of safety and concerns regarding proliferation and the available data lacks depth and transparency. Better-performing fossil-based hydrogen production technologies with lower decarbonization fractions will be required to minimise the total cost of decarbonization but may not be commensurate with ambitious climate targets.","container-title":"Energy &amp; Environmental Science","DOI":"10.1039/C8EE02079E","ISSN":"1754-5706","issue":"1","journalAbbreviation":"Energy Environ. Sci.","language":"en","note":"publisher: The Royal Society of Chemistry","page":"19-40","source":"pubs.rsc.org","title":"Levelized cost of CO2 mitigation from hydrogen production routes","volume":"12","author":[{"family":"Parkinson","given":"B."},{"family":"Balcombe","given":"P."},{"family":"Speirs","given":"J. F."},{"family":"Hawkes","given":"A. D."},{"family":"Hellgardt","given":"K."}],"issued":{"date-parts":[["2019",1,16]]}}}],"schema":"https://github.com/citation-style-language/schema/raw/master/csl-citation.json"} </w:instrText>
      </w:r>
      <w:r w:rsidRPr="0047272A">
        <w:rPr>
          <w:lang w:val="en-GB"/>
        </w:rPr>
        <w:fldChar w:fldCharType="separate"/>
      </w:r>
      <w:r w:rsidRPr="0047272A">
        <w:rPr>
          <w:rFonts w:ascii="Calibri" w:hAnsi="Calibri" w:cs="Calibri"/>
          <w:szCs w:val="24"/>
          <w:vertAlign w:val="superscript"/>
          <w:lang w:val="en-GB"/>
        </w:rPr>
        <w:t>27</w:t>
      </w:r>
      <w:r w:rsidRPr="0047272A">
        <w:rPr>
          <w:lang w:val="en-GB"/>
        </w:rPr>
        <w:fldChar w:fldCharType="end"/>
      </w:r>
      <w:r w:rsidRPr="0047272A">
        <w:rPr>
          <w:lang w:val="en-GB"/>
        </w:rPr>
        <w:t>).</w:t>
      </w:r>
    </w:p>
    <w:p w14:paraId="4E24FAA9" w14:textId="3E36C9C5" w:rsidR="008A3579" w:rsidRPr="0047272A" w:rsidRDefault="008A3579" w:rsidP="008A3579">
      <w:pPr>
        <w:jc w:val="both"/>
        <w:rPr>
          <w:rFonts w:cstheme="minorHAnsi"/>
          <w:lang w:val="en-GB"/>
        </w:rPr>
      </w:pPr>
      <w:r w:rsidRPr="0047272A">
        <w:rPr>
          <w:lang w:val="en-GB"/>
        </w:rPr>
        <w:t>The cost of the CO</w:t>
      </w:r>
      <w:r w:rsidRPr="0047272A">
        <w:rPr>
          <w:vertAlign w:val="subscript"/>
          <w:lang w:val="en-GB"/>
        </w:rPr>
        <w:t>2</w:t>
      </w:r>
      <w:r w:rsidRPr="0047272A">
        <w:rPr>
          <w:lang w:val="en-GB"/>
        </w:rPr>
        <w:t xml:space="preserve"> feedstock captured from the atmosphere by DAC is a significant factor in the production cost of green methanol, accounting for up to 28% in November 2022. The rising cost of DAC, from an average of 0.2 USD kg</w:t>
      </w:r>
      <w:r w:rsidRPr="0047272A">
        <w:rPr>
          <w:rFonts w:cstheme="minorHAnsi"/>
          <w:vertAlign w:val="superscript"/>
          <w:lang w:val="en-GB"/>
        </w:rPr>
        <w:t>−</w:t>
      </w:r>
      <w:r w:rsidRPr="0047272A">
        <w:rPr>
          <w:vertAlign w:val="superscript"/>
          <w:lang w:val="en-GB"/>
        </w:rPr>
        <w:t>1</w:t>
      </w:r>
      <w:r w:rsidRPr="0047272A">
        <w:rPr>
          <w:lang w:val="en-GB"/>
        </w:rPr>
        <w:t xml:space="preserve"> CO</w:t>
      </w:r>
      <w:r w:rsidRPr="0047272A">
        <w:rPr>
          <w:vertAlign w:val="subscript"/>
          <w:lang w:val="en-GB"/>
        </w:rPr>
        <w:t>2</w:t>
      </w:r>
      <w:r w:rsidRPr="0047272A">
        <w:rPr>
          <w:lang w:val="en-GB"/>
        </w:rPr>
        <w:t xml:space="preserve"> in 2019 to 0.8 USD kg</w:t>
      </w:r>
      <w:r w:rsidRPr="0047272A">
        <w:rPr>
          <w:rFonts w:cstheme="minorHAnsi"/>
          <w:vertAlign w:val="superscript"/>
          <w:lang w:val="en-GB"/>
        </w:rPr>
        <w:t>−</w:t>
      </w:r>
      <w:r w:rsidRPr="0047272A">
        <w:rPr>
          <w:vertAlign w:val="superscript"/>
          <w:lang w:val="en-GB"/>
        </w:rPr>
        <w:t>1</w:t>
      </w:r>
      <w:r w:rsidRPr="0047272A">
        <w:rPr>
          <w:lang w:val="en-GB"/>
        </w:rPr>
        <w:t xml:space="preserve"> CO</w:t>
      </w:r>
      <w:r w:rsidRPr="0047272A">
        <w:rPr>
          <w:vertAlign w:val="subscript"/>
          <w:lang w:val="en-GB"/>
        </w:rPr>
        <w:t>2</w:t>
      </w:r>
      <w:r w:rsidRPr="0047272A">
        <w:rPr>
          <w:lang w:val="en-GB"/>
        </w:rPr>
        <w:t xml:space="preserve"> in August 2022, is behind this trend. We utilized a high-temperature solvent-based DAC technology, adapted from the work of Keith </w:t>
      </w:r>
      <w:r w:rsidRPr="0047272A">
        <w:rPr>
          <w:rFonts w:cstheme="minorHAnsi"/>
          <w:i/>
          <w:lang w:val="en-GB"/>
        </w:rPr>
        <w:t>et al.</w:t>
      </w:r>
      <w:r w:rsidRPr="0047272A">
        <w:rPr>
          <w:rFonts w:cstheme="minorHAnsi"/>
          <w:lang w:val="en-GB"/>
        </w:rPr>
        <w:fldChar w:fldCharType="begin"/>
      </w:r>
      <w:r w:rsidRPr="0047272A">
        <w:rPr>
          <w:rFonts w:cstheme="minorHAnsi"/>
          <w:lang w:val="en-GB"/>
        </w:rPr>
        <w:instrText xml:space="preserve"> ADDIN ZOTERO_ITEM CSL_CITATION {"citationID":"buA3tSxp","properties":{"formattedCitation":"\\super 28\\nosupersub{}","plainCitation":"28","noteIndex":0},"citationItems":[{"id":459,"uris":["http://zotero.org/users/9157291/items/SHKUDHUW"],"itemData":{"id":459,"type":"article-journal","abstract":"We describe a process for capturing CO2 from the atmosphere in an industrial plant. The design captures </w:instrText>
      </w:r>
      <w:r w:rsidRPr="0047272A">
        <w:rPr>
          <w:rFonts w:ascii="Cambria Math" w:hAnsi="Cambria Math" w:cs="Cambria Math"/>
          <w:lang w:val="en-GB"/>
        </w:rPr>
        <w:instrText>∼</w:instrText>
      </w:r>
      <w:r w:rsidRPr="0047272A">
        <w:rPr>
          <w:rFonts w:cstheme="minorHAnsi"/>
          <w:lang w:val="en-GB"/>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28</w:t>
      </w:r>
      <w:r w:rsidRPr="0047272A">
        <w:rPr>
          <w:rFonts w:cstheme="minorHAnsi"/>
          <w:lang w:val="en-GB"/>
        </w:rPr>
        <w:fldChar w:fldCharType="end"/>
      </w:r>
      <w:r w:rsidRPr="0047272A">
        <w:rPr>
          <w:lang w:val="en-GB"/>
        </w:rPr>
        <w:t>, which requires around 0.1 kg of natural gas and 77 kWh of electric power per kg of CO</w:t>
      </w:r>
      <w:r w:rsidRPr="0047272A">
        <w:rPr>
          <w:vertAlign w:val="subscript"/>
          <w:lang w:val="en-GB"/>
        </w:rPr>
        <w:t>2</w:t>
      </w:r>
      <w:r w:rsidRPr="0047272A">
        <w:rPr>
          <w:lang w:val="en-GB"/>
        </w:rPr>
        <w:t xml:space="preserve"> captured, making the capture cost susceptible to fluctuations in natural gas and electricity prices (</w:t>
      </w:r>
      <w:r w:rsidR="00CC5CB8">
        <w:rPr>
          <w:b/>
          <w:lang w:val="en-GB"/>
        </w:rPr>
        <w:t>Figure S</w:t>
      </w:r>
      <w:r w:rsidR="00C45FD8">
        <w:rPr>
          <w:b/>
          <w:lang w:val="en-GB"/>
        </w:rPr>
        <w:t>11</w:t>
      </w:r>
      <w:r w:rsidRPr="0047272A">
        <w:rPr>
          <w:lang w:val="en-GB"/>
        </w:rPr>
        <w:t>).</w:t>
      </w:r>
    </w:p>
    <w:p w14:paraId="676BA520" w14:textId="77777777" w:rsidR="008A3579" w:rsidRPr="0047272A" w:rsidRDefault="008A3579" w:rsidP="008A3579">
      <w:pPr>
        <w:pStyle w:val="Heading3"/>
        <w:jc w:val="both"/>
      </w:pPr>
      <w:r w:rsidRPr="0047272A">
        <w:t>Green ammonia and methanol become cost-competitive for CO</w:t>
      </w:r>
      <w:r w:rsidRPr="0047272A">
        <w:rPr>
          <w:vertAlign w:val="subscript"/>
        </w:rPr>
        <w:t>2</w:t>
      </w:r>
      <w:r w:rsidRPr="0047272A">
        <w:t xml:space="preserve"> mitigation </w:t>
      </w:r>
    </w:p>
    <w:p w14:paraId="27AABB1B" w14:textId="441CFD25" w:rsidR="008A3579" w:rsidRPr="0047272A" w:rsidRDefault="008A3579" w:rsidP="008A3579">
      <w:pPr>
        <w:jc w:val="both"/>
        <w:rPr>
          <w:rFonts w:cstheme="minorHAnsi"/>
          <w:lang w:val="en-GB"/>
        </w:rPr>
      </w:pPr>
      <w:r w:rsidRPr="0047272A">
        <w:rPr>
          <w:rFonts w:cstheme="minorHAnsi"/>
          <w:lang w:val="en-GB"/>
        </w:rPr>
        <w:t>This passage examines the cost of producing green ammonia and methanol in relation to their fossil-based counterparts, specifically looking at the cost per unit of CO</w:t>
      </w:r>
      <w:r w:rsidRPr="0047272A">
        <w:rPr>
          <w:rFonts w:cstheme="minorHAnsi"/>
          <w:vertAlign w:val="subscript"/>
          <w:lang w:val="en-GB"/>
        </w:rPr>
        <w:t>2</w:t>
      </w:r>
      <w:r w:rsidRPr="0047272A">
        <w:rPr>
          <w:rFonts w:cstheme="minorHAnsi"/>
          <w:lang w:val="en-GB"/>
        </w:rPr>
        <w:t xml:space="preserve"> avoided. In 2020, with an average natural gas price of 0.1 USD kg</w:t>
      </w:r>
      <w:r w:rsidRPr="0047272A">
        <w:rPr>
          <w:rFonts w:cstheme="minorHAnsi"/>
          <w:vertAlign w:val="superscript"/>
          <w:lang w:val="en-GB"/>
        </w:rPr>
        <w:t>−1</w:t>
      </w:r>
      <w:r w:rsidRPr="0047272A">
        <w:rPr>
          <w:rFonts w:cstheme="minorHAnsi"/>
          <w:lang w:val="en-GB"/>
        </w:rPr>
        <w:t>, the avoidance cost of wind- and solar-based ammonia was 0.6 and 1.4 USD kg</w:t>
      </w:r>
      <w:r w:rsidRPr="0047272A">
        <w:rPr>
          <w:rFonts w:cstheme="minorHAnsi"/>
          <w:vertAlign w:val="superscript"/>
          <w:lang w:val="en-GB"/>
        </w:rPr>
        <w:t>−1</w:t>
      </w:r>
      <w:r w:rsidRPr="0047272A">
        <w:rPr>
          <w:rFonts w:cstheme="minorHAnsi"/>
          <w:lang w:val="en-GB"/>
        </w:rPr>
        <w:t>CO</w:t>
      </w:r>
      <w:r w:rsidRPr="0047272A">
        <w:rPr>
          <w:rFonts w:cstheme="minorHAnsi"/>
          <w:vertAlign w:val="subscript"/>
          <w:lang w:val="en-GB"/>
        </w:rPr>
        <w:t>2</w:t>
      </w:r>
      <w:r w:rsidRPr="0047272A">
        <w:rPr>
          <w:rFonts w:cstheme="minorHAnsi"/>
          <w:lang w:val="en-GB"/>
        </w:rPr>
        <w:noBreakHyphen/>
        <w:t>eq, respectively (</w:t>
      </w:r>
      <w:r w:rsidR="001A0645">
        <w:rPr>
          <w:rFonts w:cstheme="minorHAnsi"/>
          <w:b/>
          <w:bCs/>
          <w:lang w:val="en-GB"/>
        </w:rPr>
        <w:t>Figure 4a</w:t>
      </w:r>
      <w:r w:rsidRPr="0047272A">
        <w:rPr>
          <w:rFonts w:cstheme="minorHAnsi"/>
          <w:lang w:val="en-GB"/>
        </w:rPr>
        <w:t>) and much higher for methanol (1.4 and 7.7 USD kg</w:t>
      </w:r>
      <w:r w:rsidRPr="0047272A">
        <w:rPr>
          <w:rFonts w:cstheme="minorHAnsi"/>
          <w:vertAlign w:val="superscript"/>
          <w:lang w:val="en-GB"/>
        </w:rPr>
        <w:t>−1</w:t>
      </w:r>
      <w:r w:rsidRPr="0047272A">
        <w:rPr>
          <w:rFonts w:cstheme="minorHAnsi"/>
          <w:lang w:val="en-GB"/>
        </w:rPr>
        <w:t>CO</w:t>
      </w:r>
      <w:r w:rsidRPr="0047272A">
        <w:rPr>
          <w:rFonts w:cstheme="minorHAnsi"/>
          <w:vertAlign w:val="subscript"/>
          <w:lang w:val="en-GB"/>
        </w:rPr>
        <w:t>2</w:t>
      </w:r>
      <w:r w:rsidRPr="0047272A">
        <w:rPr>
          <w:rFonts w:cstheme="minorHAnsi"/>
          <w:lang w:val="en-GB"/>
        </w:rPr>
        <w:noBreakHyphen/>
        <w:t xml:space="preserve">eq, </w:t>
      </w:r>
      <w:r w:rsidR="00181B33">
        <w:rPr>
          <w:rFonts w:cstheme="minorHAnsi"/>
          <w:b/>
          <w:bCs/>
          <w:lang w:val="en-GB"/>
        </w:rPr>
        <w:t>Figure 4b</w:t>
      </w:r>
      <w:r w:rsidRPr="0047272A">
        <w:rPr>
          <w:rFonts w:cstheme="minorHAnsi"/>
          <w:lang w:val="en-GB"/>
        </w:rPr>
        <w:t>), mainly due to the greater monetary gap between fossil and green methanol. While the avoidance cost for green ammonia and methanol in 2020 exceeded the removal cost of negative emissions technologies (NETs) such as bioenergy with carbon capture and storage (BECCS) and direct air capture with carbon capture and storage (DACCS), at the peak of natural gas prices in 2022, the avoidance cost of green ammonia and methanol became negative, making their use economically attractive for mitigating carbon emissions. A win-win scenario for economic and environmental competitiveness emerged in July 2021 for wind-based ammonia production, which resulted in potential savings of 0.1 to 0.6 USD kg</w:t>
      </w:r>
      <w:r w:rsidRPr="0047272A">
        <w:rPr>
          <w:rFonts w:cstheme="minorHAnsi"/>
          <w:vertAlign w:val="superscript"/>
          <w:lang w:val="en-GB"/>
        </w:rPr>
        <w:t>−1</w:t>
      </w:r>
      <w:r w:rsidRPr="0047272A">
        <w:rPr>
          <w:rFonts w:cstheme="minorHAnsi"/>
          <w:lang w:val="en-GB"/>
        </w:rPr>
        <w:t>CO</w:t>
      </w:r>
      <w:r w:rsidRPr="0047272A">
        <w:rPr>
          <w:rFonts w:cstheme="minorHAnsi"/>
          <w:vertAlign w:val="subscript"/>
          <w:lang w:val="en-GB"/>
        </w:rPr>
        <w:t>2</w:t>
      </w:r>
      <w:r w:rsidRPr="0047272A">
        <w:rPr>
          <w:rFonts w:cstheme="minorHAnsi"/>
          <w:lang w:val="en-GB"/>
        </w:rPr>
        <w:noBreakHyphen/>
        <w:t>eq avoided</w:t>
      </w:r>
      <w:r w:rsidR="001B23B5">
        <w:rPr>
          <w:rFonts w:cstheme="minorHAnsi"/>
          <w:lang w:val="en-GB"/>
        </w:rPr>
        <w:t xml:space="preserve"> (see blue shaded area in </w:t>
      </w:r>
      <w:r w:rsidR="00421811">
        <w:rPr>
          <w:rFonts w:cstheme="minorHAnsi"/>
          <w:b/>
          <w:lang w:val="en-GB"/>
        </w:rPr>
        <w:t>Figure</w:t>
      </w:r>
      <w:r w:rsidR="00421811">
        <w:t> </w:t>
      </w:r>
      <w:r w:rsidR="00421811" w:rsidRPr="00421811">
        <w:rPr>
          <w:b/>
        </w:rPr>
        <w:t>4a</w:t>
      </w:r>
      <w:r w:rsidR="001B23B5" w:rsidRPr="001B23B5">
        <w:rPr>
          <w:rFonts w:cstheme="minorHAnsi"/>
          <w:lang w:val="en-GB"/>
        </w:rPr>
        <w:t>)</w:t>
      </w:r>
      <w:r w:rsidRPr="0047272A">
        <w:rPr>
          <w:rFonts w:cstheme="minorHAnsi"/>
          <w:lang w:val="en-GB"/>
        </w:rPr>
        <w:t xml:space="preserve">. For methanol </w:t>
      </w:r>
      <w:r w:rsidRPr="0047272A">
        <w:rPr>
          <w:rFonts w:cstheme="minorHAnsi"/>
          <w:i/>
          <w:iCs/>
          <w:lang w:val="en-GB"/>
        </w:rPr>
        <w:t>via</w:t>
      </w:r>
      <w:r w:rsidRPr="0047272A">
        <w:rPr>
          <w:rFonts w:cstheme="minorHAnsi"/>
          <w:lang w:val="en-GB"/>
        </w:rPr>
        <w:t xml:space="preserve"> wind, the scenario emerged in August 2022 with </w:t>
      </w:r>
      <w:r w:rsidR="004F3039">
        <w:rPr>
          <w:rFonts w:cstheme="minorHAnsi"/>
          <w:lang w:val="en-GB"/>
        </w:rPr>
        <w:t>avoidance costs close to zero (</w:t>
      </w:r>
      <w:r w:rsidR="00421811">
        <w:rPr>
          <w:rFonts w:cstheme="minorHAnsi"/>
          <w:b/>
          <w:lang w:val="en-GB"/>
        </w:rPr>
        <w:t>Figure 4b</w:t>
      </w:r>
      <w:r w:rsidR="004F3039">
        <w:rPr>
          <w:rFonts w:cstheme="minorHAnsi"/>
          <w:lang w:val="en-GB"/>
        </w:rPr>
        <w:t xml:space="preserve">) and </w:t>
      </w:r>
      <w:r w:rsidRPr="0047272A">
        <w:rPr>
          <w:rFonts w:cstheme="minorHAnsi"/>
          <w:lang w:val="en-GB"/>
        </w:rPr>
        <w:t>savings of 0.3 USD kg</w:t>
      </w:r>
      <w:r w:rsidRPr="0047272A">
        <w:rPr>
          <w:rFonts w:cstheme="minorHAnsi"/>
          <w:vertAlign w:val="superscript"/>
          <w:lang w:val="en-GB"/>
        </w:rPr>
        <w:t>−1</w:t>
      </w:r>
      <w:r w:rsidRPr="0047272A">
        <w:rPr>
          <w:rFonts w:cstheme="minorHAnsi"/>
          <w:lang w:val="en-GB"/>
        </w:rPr>
        <w:t>CO</w:t>
      </w:r>
      <w:r w:rsidRPr="0047272A">
        <w:rPr>
          <w:rFonts w:cstheme="minorHAnsi"/>
          <w:vertAlign w:val="subscript"/>
          <w:lang w:val="en-GB"/>
        </w:rPr>
        <w:t>2</w:t>
      </w:r>
      <w:r w:rsidRPr="0047272A">
        <w:rPr>
          <w:rFonts w:cstheme="minorHAnsi"/>
          <w:lang w:val="en-GB"/>
        </w:rPr>
        <w:noBreakHyphen/>
        <w:t>eq avoided, considering the lower end of the hydrogen cost range</w:t>
      </w:r>
      <w:r w:rsidR="004F3039">
        <w:rPr>
          <w:rFonts w:cstheme="minorHAnsi"/>
          <w:lang w:val="en-GB"/>
        </w:rPr>
        <w:t xml:space="preserve"> (</w:t>
      </w:r>
      <w:r w:rsidR="004F3039" w:rsidRPr="00FA18C9">
        <w:rPr>
          <w:rFonts w:cstheme="minorHAnsi"/>
          <w:b/>
          <w:lang w:val="en-GB"/>
        </w:rPr>
        <w:t>Figure</w:t>
      </w:r>
      <w:r w:rsidR="001B29BD">
        <w:rPr>
          <w:rFonts w:cstheme="minorHAnsi"/>
          <w:b/>
          <w:lang w:val="en-GB"/>
        </w:rPr>
        <w:t> </w:t>
      </w:r>
      <w:r w:rsidR="004F3039" w:rsidRPr="00FA18C9">
        <w:rPr>
          <w:rFonts w:cstheme="minorHAnsi"/>
          <w:b/>
          <w:lang w:val="en-GB"/>
        </w:rPr>
        <w:t>S1</w:t>
      </w:r>
      <w:r w:rsidR="0067483D">
        <w:rPr>
          <w:rFonts w:cstheme="minorHAnsi"/>
          <w:b/>
          <w:lang w:val="en-GB"/>
        </w:rPr>
        <w:t>2</w:t>
      </w:r>
      <w:r w:rsidR="004F3039">
        <w:rPr>
          <w:rFonts w:cstheme="minorHAnsi"/>
          <w:lang w:val="en-GB"/>
        </w:rPr>
        <w:t>)</w:t>
      </w:r>
      <w:r w:rsidRPr="0047272A">
        <w:rPr>
          <w:rFonts w:cstheme="minorHAnsi"/>
          <w:lang w:val="en-GB"/>
        </w:rPr>
        <w:t>.</w:t>
      </w:r>
    </w:p>
    <w:p w14:paraId="46E95714" w14:textId="77777777" w:rsidR="008A3579" w:rsidRPr="0047272A" w:rsidRDefault="008A3579" w:rsidP="008A3579">
      <w:pPr>
        <w:pStyle w:val="Heading2"/>
        <w:jc w:val="both"/>
      </w:pPr>
      <w:r w:rsidRPr="0047272A">
        <w:t>Discussion</w:t>
      </w:r>
    </w:p>
    <w:p w14:paraId="00BE6A4B" w14:textId="351D9C5D" w:rsidR="008A3579" w:rsidRPr="0047272A" w:rsidRDefault="008A3579" w:rsidP="008A3579">
      <w:pPr>
        <w:jc w:val="both"/>
        <w:rPr>
          <w:lang w:val="en-GB"/>
        </w:rPr>
      </w:pPr>
      <w:r w:rsidRPr="0047272A">
        <w:rPr>
          <w:lang w:val="en-GB"/>
        </w:rPr>
        <w:t>Our results indicate that the energy crisis in Europe has had a significant and lasting impact on the viability of the low-carbon chemicals industry. It is probable that geopolitical instabilities, weather volatility, and increasing competition for liquefied natural gas will continue to hinder a return to the previous situation</w:t>
      </w:r>
      <w:r w:rsidRPr="0047272A">
        <w:rPr>
          <w:rFonts w:cstheme="minorHAnsi"/>
          <w:lang w:val="en-GB"/>
        </w:rPr>
        <w:fldChar w:fldCharType="begin"/>
      </w:r>
      <w:r w:rsidRPr="0047272A">
        <w:rPr>
          <w:rFonts w:cstheme="minorHAnsi"/>
          <w:lang w:val="en-GB"/>
        </w:rPr>
        <w:instrText xml:space="preserve"> ADDIN ZOTERO_ITEM CSL_CITATION {"citationID":"qgXxSmwb","properties":{"formattedCitation":"\\super 29\\nosupersub{}","plainCitation":"29","noteIndex":0},"citationItems":[{"id":871,"uris":["http://zotero.org/users/9157291/items/FRW5K29Y"],"itemData":{"id":871,"type":"report","abstract":"Summary European and global natural gas markets are not yet out of the danger created by Russia’s cuts to pipeline deliveries of gas. Conditions have been turbulent, prices have been extremely volatile, many households and gasintensive sectors have suffered – as have many gas-importing countries worldwide. Overall gas demand in the European Union (EU) is set to fall by around 10% in 2022, a drop of around 50 billion cubic metres (bcm). Some 10 bcm of this drop is due to curtailed production rather than efficiency gains or fuel switching. But the situation could be worse: European Union and national policies, markets, consumer actions, non-Russian suppliers and mild weather have all played a part in compensating for the missing Russian deliveries. As of early December, Europe’s gas storage levels remain above their five-year average.","language":"en","publisher":"International Energy Agency","source":"Zotero","title":"How to Avoid Gas Shortages in the European Union in 2023","author":[{"family":"IEA","given":""}],"issued":{"date-parts":[["2022",12]]}}}],"schema":"https://github.com/citation-style-language/schema/raw/master/csl-citation.json"}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29</w:t>
      </w:r>
      <w:r w:rsidRPr="0047272A">
        <w:rPr>
          <w:rFonts w:cstheme="minorHAnsi"/>
          <w:lang w:val="en-GB"/>
        </w:rPr>
        <w:fldChar w:fldCharType="end"/>
      </w:r>
      <w:r w:rsidRPr="0047272A">
        <w:rPr>
          <w:lang w:val="en-GB"/>
        </w:rPr>
        <w:t>. In contrast, advancements in renewable technologies and the experience effect are expected to reduce costs</w:t>
      </w:r>
      <w:r w:rsidRPr="0047272A">
        <w:rPr>
          <w:rFonts w:cstheme="minorHAnsi"/>
          <w:lang w:val="en-GB"/>
        </w:rPr>
        <w:fldChar w:fldCharType="begin"/>
      </w:r>
      <w:r w:rsidRPr="0047272A">
        <w:rPr>
          <w:rFonts w:cstheme="minorHAnsi"/>
          <w:lang w:val="en-GB"/>
        </w:rPr>
        <w:instrText xml:space="preserve"> ADDIN ZOTERO_ITEM CSL_CITATION {"citationID":"SIBpthvb","properties":{"formattedCitation":"\\super 30\\nosupersub{}","plainCitation":"30","noteIndex":0},"citationItems":[{"id":585,"uris":["http://zotero.org/users/9157291/items/ASFLIA5W"],"itemData":{"id":585,"type":"article-journal","container-title":"Joule","DOI":"10.1016/j.joule.2022.08.009","ISSN":"2542-4785, 2542-4351","issue":"9","journalAbbreviation":"Joule","language":"English","note":"publisher: Elsevier","page":"2057-2082","source":"www.cell.com","title":"Empirically grounded technology forecasts and the energy transition","volume":"6","author":[{"family":"Way","given":"Rupert"},{"family":"Ives","given":"Matthew C."},{"family":"Mealy","given":"Penny"},{"family":"Farmer","given":"J. Doyne"}],"issued":{"date-parts":[["2022",9,21]]}}}],"schema":"https://github.com/citation-style-language/schema/raw/master/csl-citation.json"}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30</w:t>
      </w:r>
      <w:r w:rsidRPr="0047272A">
        <w:rPr>
          <w:rFonts w:cstheme="minorHAnsi"/>
          <w:lang w:val="en-GB"/>
        </w:rPr>
        <w:fldChar w:fldCharType="end"/>
      </w:r>
      <w:r w:rsidRPr="0047272A">
        <w:rPr>
          <w:lang w:val="en-GB"/>
        </w:rPr>
        <w:t>. According to projections, the cost of on-shore wind electricity is expected to be 40 USD MWh</w:t>
      </w:r>
      <w:r w:rsidRPr="0047272A">
        <w:rPr>
          <w:rFonts w:cstheme="minorHAnsi"/>
          <w:vertAlign w:val="superscript"/>
          <w:lang w:val="en-GB"/>
        </w:rPr>
        <w:t>−</w:t>
      </w:r>
      <w:r w:rsidRPr="0047272A">
        <w:rPr>
          <w:vertAlign w:val="superscript"/>
          <w:lang w:val="en-GB"/>
        </w:rPr>
        <w:t>1</w:t>
      </w:r>
      <w:r w:rsidRPr="0047272A">
        <w:rPr>
          <w:lang w:val="en-GB"/>
        </w:rPr>
        <w:t xml:space="preserve"> by 2030. This is expected to result in a decrease in hydrogen's leveli</w:t>
      </w:r>
      <w:r w:rsidR="00830F8D" w:rsidRPr="0047272A">
        <w:rPr>
          <w:lang w:val="en-GB"/>
        </w:rPr>
        <w:t>s</w:t>
      </w:r>
      <w:r w:rsidRPr="0047272A">
        <w:rPr>
          <w:lang w:val="en-GB"/>
        </w:rPr>
        <w:t>ed cost to approximately 2.7 USD kg</w:t>
      </w:r>
      <w:r w:rsidRPr="0047272A">
        <w:rPr>
          <w:rFonts w:cstheme="minorHAnsi"/>
          <w:vertAlign w:val="superscript"/>
          <w:lang w:val="en-GB"/>
        </w:rPr>
        <w:t>−</w:t>
      </w:r>
      <w:r w:rsidRPr="0047272A">
        <w:rPr>
          <w:vertAlign w:val="superscript"/>
          <w:lang w:val="en-GB"/>
        </w:rPr>
        <w:t>1</w:t>
      </w:r>
      <w:r w:rsidRPr="0047272A">
        <w:rPr>
          <w:lang w:val="en-GB"/>
        </w:rPr>
        <w:t>, as described in Ref.</w:t>
      </w:r>
      <w:r w:rsidRPr="0047272A">
        <w:rPr>
          <w:lang w:val="en-GB"/>
        </w:rPr>
        <w:fldChar w:fldCharType="begin"/>
      </w:r>
      <w:r w:rsidRPr="0047272A">
        <w:rPr>
          <w:lang w:val="en-GB"/>
        </w:rPr>
        <w:instrText xml:space="preserve"> ADDIN ZOTERO_ITEM CSL_CITATION {"citationID":"h6UgAJzl","properties":{"formattedCitation":"\\super 31\\nosupersub{}","plainCitation":"31","noteIndex":0},"citationItems":[{"id":706,"uris":["http://zotero.org/users/9157291/items/WE7RN482"],"itemData":{"id":706,"type":"article-journal","abstract":"In this work, we developed a framework for CO2 capture and utilization for energy products (CCU4E) and examined techno-economic and environmental performance in different scenarios. The framework includes process synthesis and design, process simulation, and modeling toward the technical, economic, and environmental performance of the CO2-to-fuel pathway. Based on the 72 CO2-to-fuel pathways examined, we discussed the trade-off between economic output (via the unit production cost of fuels) and environmental impact (via net CO2 equivalent emissions). In addition, an optimization model was used to identify the optimal pathway and the decision to use conventional (black) or renewable (green) hydrogen in different scenarios. An extended sensitivity analysis was performed to understand the important role of H2 in the mitigation of CO2eq and its economic potential, globally and locally, as well as the prospect of future CO2-based fuels. This study provides practical decision-making strategies to major carbon-emitting countries to make decisions on using domestic resources to balance economics and environmental protection in the CCU4E framework. The green hydrogen price is revealed as the key factor in future CCU4E by allowing a huge reduction in CO2eq emissions at a more stable and lower price.","container-title":"Energy &amp; Environmental Science","DOI":"10.1039/D1EE01444G","ISSN":"1754-5706","issue":"1","journalAbbreviation":"Energy Environ. Sci.","language":"en","note":"publisher: The Royal Society of Chemistry","page":"169-184","source":"pubs.rsc.org","title":"A CO2 utilization framework for liquid fuels and chemical production: techno-economic and environmental analysis","title-short":"A CO2 utilization framework for liquid fuels and chemical production","volume":"15","author":[{"family":"Do","given":"Thai Ngan"},{"family":"You","given":"Chanhee"},{"family":"Kim","given":"Jiyong"}],"issued":{"date-parts":[["2022",1,19]]}}}],"schema":"https://github.com/citation-style-language/schema/raw/master/csl-citation.json"} </w:instrText>
      </w:r>
      <w:r w:rsidRPr="0047272A">
        <w:rPr>
          <w:lang w:val="en-GB"/>
        </w:rPr>
        <w:fldChar w:fldCharType="separate"/>
      </w:r>
      <w:r w:rsidRPr="0047272A">
        <w:rPr>
          <w:rFonts w:ascii="Calibri" w:hAnsi="Calibri" w:cs="Calibri"/>
          <w:szCs w:val="24"/>
          <w:vertAlign w:val="superscript"/>
          <w:lang w:val="en-GB"/>
        </w:rPr>
        <w:t>31</w:t>
      </w:r>
      <w:r w:rsidRPr="0047272A">
        <w:rPr>
          <w:lang w:val="en-GB"/>
        </w:rPr>
        <w:fldChar w:fldCharType="end"/>
      </w:r>
    </w:p>
    <w:p w14:paraId="2400726D" w14:textId="77777777" w:rsidR="008A3579" w:rsidRPr="0047272A" w:rsidRDefault="008A3579" w:rsidP="008A3579">
      <w:pPr>
        <w:jc w:val="both"/>
        <w:rPr>
          <w:lang w:val="en-GB"/>
        </w:rPr>
      </w:pPr>
      <w:r w:rsidRPr="0047272A">
        <w:rPr>
          <w:lang w:val="en-GB"/>
        </w:rPr>
        <w:t>Europe has committed to reducing its emissions by 55% by 2030 and achieving net-zero GHG emissions by 2050, in line with the Paris Climate Accords</w:t>
      </w:r>
      <w:r w:rsidRPr="0047272A">
        <w:rPr>
          <w:rFonts w:cstheme="minorHAnsi"/>
          <w:lang w:val="en-GB"/>
        </w:rPr>
        <w:fldChar w:fldCharType="begin"/>
      </w:r>
      <w:r w:rsidRPr="0047272A">
        <w:rPr>
          <w:rFonts w:cstheme="minorHAnsi"/>
          <w:lang w:val="en-GB"/>
        </w:rPr>
        <w:instrText xml:space="preserve"> ADDIN ZOTERO_ITEM CSL_CITATION {"citationID":"fZNn97kP","properties":{"formattedCitation":"\\super 32\\nosupersub{}","plainCitation":"32","noteIndex":0},"citationItems":[{"id":802,"uris":["http://zotero.org/users/9157291/items/RIWZTV2J"],"itemData":{"id":802,"type":"report","publisher":"COM(2021) 550 final, Brussels","title":"\"Fit for 55\": delivering the EU's 2030 Climate Target on the way to climate neutrality","URL":"https://eur-lex.europa.eu/legal-content/EN/TXT/PDF/?uri=CELEX:52021DC0550&amp;from=EN","author":[{"family":"European Commission","given":""}],"accessed":{"date-parts":[["2023",1,18]]},"issued":{"date-parts":[["2021",7,14]]}},"locator":"55"}],"schema":"https://github.com/citation-style-language/schema/raw/master/csl-citation.json"}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32</w:t>
      </w:r>
      <w:r w:rsidRPr="0047272A">
        <w:rPr>
          <w:rFonts w:cstheme="minorHAnsi"/>
          <w:lang w:val="en-GB"/>
        </w:rPr>
        <w:fldChar w:fldCharType="end"/>
      </w:r>
      <w:r w:rsidRPr="0047272A">
        <w:rPr>
          <w:lang w:val="en-GB"/>
        </w:rPr>
        <w:t>. To attain these ambitious targets, significant investment in low-carbon infrastructure is necessary. However, a recent study revealed that the current pace of investment and development falls short of meeting these objectives</w:t>
      </w:r>
      <w:r w:rsidRPr="0047272A">
        <w:rPr>
          <w:lang w:val="en-GB"/>
        </w:rPr>
        <w:fldChar w:fldCharType="begin"/>
      </w:r>
      <w:r w:rsidRPr="0047272A">
        <w:rPr>
          <w:lang w:val="en-GB"/>
        </w:rPr>
        <w:instrText xml:space="preserve"> ADDIN ZOTERO_ITEM CSL_CITATION {"citationID":"ToNHkVRL","properties":{"formattedCitation":"\\super 33\\nosupersub{}","plainCitation":"33","noteIndex":0},"citationItems":[{"id":801,"uris":["http://zotero.org/users/9157291/items/XDMW8YE8"],"itemData":{"id":801,"type":"article-journal","abstract":"Reaching a pathway towards net zero GHG emissions requires rapid and massive investments in low-carbon infrastructure. To redirect finance flows accordingly, particularly the European Union places an emphasis on sustainable finance regulation. However, the specific investment shifts required are not fully understood, which could lead to an insufficient steering effect for crucial technologies. Here we conduct a meta-analysis to derive the required technology-level investment shifts for climate-relevant infrastructure until 2035. We find a steep uptick in overall investment need, with almost €90 billion yr−1 being required already within the very near term (2021–25). Investment shifts are most drastic for power plants, electricity grids and rail infrastructure, which is even increased by the ambitions to become independent from Russian gas imports. Our findings highlight the need for sustainable finance policies that take into account the financing structures of these sectors specifically.","container-title":"Nature Climate Change","DOI":"10.1038/s41558-022-01549-5","ISSN":"1758-6798","issue":"1","journalAbbreviation":"Nat. Clim. Chang.","language":"en","license":"2023 The Author(s), under exclusive licence to Springer Nature Limited","note":"number: 1\npublisher: Nature Publishing Group","page":"58-66","source":"www.nature.com","title":"Meta-analysis on necessary investment shifts to reach net zero pathways in Europe","volume":"13","author":[{"family":"Klaaßen","given":"Lena"},{"family":"Steffen","given":"Bjarne"}],"issued":{"date-parts":[["2023",1]]}}}],"schema":"https://github.com/citation-style-language/schema/raw/master/csl-citation.json"} </w:instrText>
      </w:r>
      <w:r w:rsidRPr="0047272A">
        <w:rPr>
          <w:lang w:val="en-GB"/>
        </w:rPr>
        <w:fldChar w:fldCharType="separate"/>
      </w:r>
      <w:r w:rsidRPr="0047272A">
        <w:rPr>
          <w:rFonts w:ascii="Calibri" w:hAnsi="Calibri" w:cs="Calibri"/>
          <w:szCs w:val="24"/>
          <w:vertAlign w:val="superscript"/>
          <w:lang w:val="en-GB"/>
        </w:rPr>
        <w:t>33</w:t>
      </w:r>
      <w:r w:rsidRPr="0047272A">
        <w:rPr>
          <w:lang w:val="en-GB"/>
        </w:rPr>
        <w:fldChar w:fldCharType="end"/>
      </w:r>
      <w:r w:rsidRPr="0047272A">
        <w:rPr>
          <w:lang w:val="en-GB"/>
        </w:rPr>
        <w:t>. An immediate additional investment of approximately 94 billion USD per year until 2025 is required to achieve net-zero, with substantial funding needed for renewable power, especially on-shore wind (17.3 billion USD per year) and solar (7.6 billion USD per year)</w:t>
      </w:r>
      <w:r w:rsidRPr="0047272A">
        <w:rPr>
          <w:lang w:val="en-GB"/>
        </w:rPr>
        <w:fldChar w:fldCharType="begin"/>
      </w:r>
      <w:r w:rsidRPr="0047272A">
        <w:rPr>
          <w:lang w:val="en-GB"/>
        </w:rPr>
        <w:instrText xml:space="preserve"> ADDIN ZOTERO_ITEM CSL_CITATION {"citationID":"umpqHukE","properties":{"formattedCitation":"\\super 33\\nosupersub{}","plainCitation":"33","noteIndex":0},"citationItems":[{"id":801,"uris":["http://zotero.org/users/9157291/items/XDMW8YE8"],"itemData":{"id":801,"type":"article-journal","abstract":"Reaching a pathway towards net zero GHG emissions requires rapid and massive investments in low-carbon infrastructure. To redirect finance flows accordingly, particularly the European Union places an emphasis on sustainable finance regulation. However, the specific investment shifts required are not fully understood, which could lead to an insufficient steering effect for crucial technologies. Here we conduct a meta-analysis to derive the required technology-level investment shifts for climate-relevant infrastructure until 2035. We find a steep uptick in overall investment need, with almost €90 billion yr−1 being required already within the very near term (2021–25). Investment shifts are most drastic for power plants, electricity grids and rail infrastructure, which is even increased by the ambitions to become independent from Russian gas imports. Our findings highlight the need for sustainable finance policies that take into account the financing structures of these sectors specifically.","container-title":"Nature Climate Change","DOI":"10.1038/s41558-022-01549-5","ISSN":"1758-6798","issue":"1","journalAbbreviation":"Nat. Clim. Chang.","language":"en","license":"2023 The Author(s), under exclusive licence to Springer Nature Limited","note":"number: 1\npublisher: Nature Publishing Group","page":"58-66","source":"www.nature.com","title":"Meta-analysis on necessary investment shifts to reach net zero pathways in Europe","volume":"13","author":[{"family":"Klaaßen","given":"Lena"},{"family":"Steffen","given":"Bjarne"}],"issued":{"date-parts":[["2023",1]]}}}],"schema":"https://github.com/citation-style-language/schema/raw/master/csl-citation.json"} </w:instrText>
      </w:r>
      <w:r w:rsidRPr="0047272A">
        <w:rPr>
          <w:lang w:val="en-GB"/>
        </w:rPr>
        <w:fldChar w:fldCharType="separate"/>
      </w:r>
      <w:r w:rsidRPr="0047272A">
        <w:rPr>
          <w:rFonts w:ascii="Calibri" w:hAnsi="Calibri" w:cs="Calibri"/>
          <w:szCs w:val="24"/>
          <w:vertAlign w:val="superscript"/>
          <w:lang w:val="en-GB"/>
        </w:rPr>
        <w:t>33</w:t>
      </w:r>
      <w:r w:rsidRPr="0047272A">
        <w:rPr>
          <w:lang w:val="en-GB"/>
        </w:rPr>
        <w:fldChar w:fldCharType="end"/>
      </w:r>
      <w:r w:rsidRPr="0047272A">
        <w:rPr>
          <w:lang w:val="en-GB"/>
        </w:rPr>
        <w:t>. Thus, producing green ammonia and methanol through market-driven mechanisms could assist the European chemical industry in reducing GHG emissions at a negative mitigation cost compared to expensive and socio-politically challenging NETs.</w:t>
      </w:r>
    </w:p>
    <w:p w14:paraId="40327566" w14:textId="359354E4" w:rsidR="008A3579" w:rsidRPr="0047272A" w:rsidRDefault="008A3579" w:rsidP="008A3579">
      <w:pPr>
        <w:jc w:val="both"/>
        <w:rPr>
          <w:rFonts w:cstheme="minorHAnsi"/>
          <w:iCs/>
          <w:lang w:val="en-GB"/>
        </w:rPr>
      </w:pPr>
      <w:r w:rsidRPr="0047272A">
        <w:rPr>
          <w:lang w:val="en-GB"/>
        </w:rPr>
        <w:lastRenderedPageBreak/>
        <w:t xml:space="preserve">Both short-term and long-term strategies are required in this situation. To accelerate the implementation of the green routes, favourable macroeconomic environment must be complemented by tailwind regulations. </w:t>
      </w:r>
      <w:r w:rsidR="00414424">
        <w:rPr>
          <w:lang w:val="en-GB"/>
        </w:rPr>
        <w:t>Additionally, a</w:t>
      </w:r>
      <w:r w:rsidRPr="0047272A">
        <w:rPr>
          <w:lang w:val="en-GB"/>
        </w:rPr>
        <w:t xml:space="preserve"> fraction of the investment should be focused on research and development to enhance current performance and boost emerging technologies with low TRL to face concrete challenges. For both ammonia and methanol production, enhancing the performance of polymeric membrane water electrolyzers should become a priority to increase competitiveness. Optimized anodes, ideally containing catalysts with lower Pt-group metal content, can achieve technological maturity through lower cell voltages</w:t>
      </w:r>
      <w:r w:rsidRPr="0047272A">
        <w:rPr>
          <w:rFonts w:cstheme="minorHAnsi"/>
          <w:lang w:val="en-GB"/>
        </w:rPr>
        <w:t xml:space="preserve"> and increased stability</w:t>
      </w:r>
      <w:r w:rsidRPr="0047272A">
        <w:rPr>
          <w:rFonts w:cstheme="minorHAnsi"/>
          <w:lang w:val="en-GB"/>
        </w:rPr>
        <w:fldChar w:fldCharType="begin"/>
      </w:r>
      <w:r w:rsidRPr="0047272A">
        <w:rPr>
          <w:rFonts w:cstheme="minorHAnsi"/>
          <w:lang w:val="en-GB"/>
        </w:rPr>
        <w:instrText xml:space="preserve"> ADDIN ZOTERO_ITEM CSL_CITATION {"citationID":"zVrxVJYu","properties":{"formattedCitation":"\\super 34,35\\nosupersub{}","plainCitation":"34,35","noteIndex":0},"citationItems":[{"id":999,"uris":["http://zotero.org/users/9157291/items/QSNU36QI"],"itemData":{"id":999,"type":"article-journal","abstract":"Electrochemistry has the potential to sustainably transform molecules with electrons supplied by renewable electricity. It is one of many solutions towards a more circular, sustainable and equitable society. To achieve this, collaboration between industry and research laboratories is a must. Atomistic understanding from fundamental experiments and modelling can be used to engineer optimized systems whereas limitations set by the scaled-up technology can direct the systems studied in the research laboratory. In this Primer, best practices to run clean laboratory-scale electrochemical systems and tips for the analysis of electrochemical data to improve accuracy and reproducibility are introduced. How characterization and modelling are indispensable in providing routes to garner further insights into atomistic and mechanistic details is discussed. Finally, important considerations regarding material and cell design for scaling up water electrolysis are highlighted and the role of hydrogen in our society’s energy transition is discussed. The future of electrochemistry is bright and major breakthroughs will come with rigour and improvements in the collection, analysis, benchmarking and reporting of electrochemical water splitting data.","container-title":"Nature Reviews Methods Primers","DOI":"10.1038/s43586-022-00164-0","ISSN":"2662-8449","issue":"1","journalAbbreviation":"Nat. Rev. Methods Primers","language":"en","license":"2022 Springer Nature Limited","note":"number: 1\npublisher: Nature Publishing Group","page":"1-19","source":"www.nature.com","title":"Water electrolysis","volume":"2","author":[{"family":"Shih","given":"Arthur J."},{"family":"Monteiro","given":"Mariana C. O."},{"family":"Dattila","given":"Federico"},{"family":"Pavesi","given":"Davide"},{"family":"Philips","given":"Matthew"},{"family":"Silva","given":"Alisson H. M.","non-dropping-particle":"da"},{"family":"Vos","given":"Rafaël E."},{"family":"Ojha","given":"Kasinath"},{"family":"Park","given":"Sunghak"},{"family":"Heijden","given":"Onno","non-dropping-particle":"van der"},{"family":"Marcandalli","given":"Giulia"},{"family":"Goyal","given":"Akansha"},{"family":"Villalba","given":"Matias"},{"family":"Chen","given":"Xiaoting"},{"family":"Gunasooriya","given":"G. T. Kasun Kalhara"},{"family":"McCrum","given":"Ian"},{"family":"Mom","given":"Rik"},{"family":"López","given":"Núria"},{"family":"Koper","given":"Marc T. M."}],"issued":{"date-parts":[["2022",10,27]]}}},{"id":998,"uris":["http://zotero.org/users/9157291/items/XLRY476D"],"itemData":{"id":998,"type":"article-journal","abstract":"Replacing fossil fuels with energy sources and carriers that are sustainable, environmentally benign, and affordable is amongst the most pressing challenges for future socio-economic development. To that goal, hydrogen is presumed to be the most promising energy carrier. Electrocatalytic water splitting, if driven by green electricity, would provide hydrogen with minimal CO2 footprint. The viability of water electrolysis still hinges on the availability of durable earth-abundant electrocatalyst materials and the overall process efficiency. This review spans from the fundamentals of electrocatalytically initiated water splitting to the very latest scientific findings from university and institutional research, also covering specifications and special features of the current industrial processes and those processes currently being tested in large-scale applications. Recently developed strategies are described for the optimisation and discovery of active and durable materials for electrodes that ever-increasingly harness first-principles calculations and machine learning. In addition, a technoeconomic analysis of water electrolysis is included that allows an assessment of the extent to which a large-scale implementation of water splitting can help to combat climate change. This review article is intended to cross-pollinate and strengthen efforts from fundamental understanding to technical implementation and to improve the ‘junctions’ between the field's physical chemists, materials scientists and engineers, as well as stimulate much-needed exchange among these groups on challenges encountered in the different domains.","container-title":"Chemical Society Reviews","DOI":"10.1039/D0CS01079K","ISSN":"1460-4744","issue":"11","journalAbbreviation":"Chem. Soc. Rev.","language":"en","note":"publisher: The Royal Society of Chemistry","page":"4583-4762","source":"pubs.rsc.org","title":"Water electrolysis: from textbook knowledge to the latest scientific strategies and industrial developments","title-short":"Water electrolysis","volume":"51","author":[{"family":"Chatenet","given":"Marian"},{"family":"Pollet","given":"Bruno G."},{"family":"Dekel","given":"Dario R."},{"family":"Dionigi","given":"Fabio"},{"family":"Deseure","given":"Jonathan"},{"family":"Millet","given":"Pierre"},{"family":"Braatz","given":"Richard D."},{"family":"Bazant","given":"Martin Z."},{"family":"Eikerling","given":"Michael"},{"family":"Staffell","given":"Iain"},{"family":"Balcombe","given":"Paul"},{"family":"Shao-Horn","given":"Yang"},{"family":"Schäfer","given":"Helmut"}],"issued":{"date-parts":[["2022",6,6]]}}}],"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34,35</w:t>
      </w:r>
      <w:r w:rsidRPr="0047272A">
        <w:rPr>
          <w:rFonts w:cstheme="minorHAnsi"/>
          <w:lang w:val="en-GB"/>
        </w:rPr>
        <w:fldChar w:fldCharType="end"/>
      </w:r>
      <w:r w:rsidRPr="0047272A">
        <w:rPr>
          <w:lang w:val="en-GB"/>
        </w:rPr>
        <w:t xml:space="preserve">. </w:t>
      </w:r>
      <w:r w:rsidR="00612E4C">
        <w:rPr>
          <w:lang w:val="en-GB"/>
        </w:rPr>
        <w:t xml:space="preserve">From a wider perspective, </w:t>
      </w:r>
      <w:r w:rsidR="00612E4C" w:rsidRPr="0047272A">
        <w:rPr>
          <w:lang w:val="en-GB"/>
        </w:rPr>
        <w:t>the</w:t>
      </w:r>
      <w:r w:rsidRPr="0047272A">
        <w:rPr>
          <w:lang w:val="en-GB"/>
        </w:rPr>
        <w:t xml:space="preserve"> availability of different routes could realize a new scenario where green centralised and decentralised production units coexist. Small electrocatalytic reactors coupled to solar power, known as ammonia leaves</w:t>
      </w:r>
      <w:r w:rsidRPr="0047272A">
        <w:rPr>
          <w:rFonts w:cstheme="minorHAnsi"/>
          <w:lang w:val="en-GB"/>
        </w:rPr>
        <w:fldChar w:fldCharType="begin"/>
      </w:r>
      <w:r w:rsidRPr="0047272A">
        <w:rPr>
          <w:rFonts w:cstheme="minorHAnsi"/>
          <w:lang w:val="en-GB"/>
        </w:rPr>
        <w:instrText xml:space="preserve"> ADDIN ZOTERO_ITEM CSL_CITATION {"citationID":"lqGgVQ3r","properties":{"formattedCitation":"\\super 36\\nosupersub{}","plainCitation":"36","noteIndex":0},"citationItems":[{"id":996,"uris":["http://zotero.org/users/9157291/items/QIZNQB2H"],"itemData":{"id":996,"type":"article-journal","abstract":"The centralized production of fuels, chemicals, and fertilizers by thermocatalytic processes sustained by fossil resources is a pillar of modern societies. Electrocatalytic transformations of the abundant small molecules, water, carbon dioxide, dinitrogen, and methane, are emerging routes. Their coupling with renewable sources such as sun power may give rise to a distributed model based on small-scale reactors, so-called artificial leaves. Realizing this vision calls for improved catalytic performance, efforts on reactor and process engineering, and supportive regulatory frameworks. This work puts emphasis in analyzing the core challenge of catalytic performance by defining a common set of figures of merit. This analysis is nuanced by peculiarities inherent to the proposed scheme. This perspective thus aspires to (1) provide a bird’s-eye view of the gap separating them from practical values, (2) identify sources of inefficiency, and (3) establish a qualitative comparison among their feasibility, resulting in H2O </w:instrText>
      </w:r>
      <w:r w:rsidRPr="0047272A">
        <w:rPr>
          <w:rFonts w:ascii="Cambria Math" w:hAnsi="Cambria Math" w:cs="Cambria Math"/>
          <w:lang w:val="en-GB"/>
        </w:rPr>
        <w:instrText>≫</w:instrText>
      </w:r>
      <w:r w:rsidRPr="0047272A">
        <w:rPr>
          <w:rFonts w:cstheme="minorHAnsi"/>
          <w:lang w:val="en-GB"/>
        </w:rPr>
        <w:instrText xml:space="preserve"> CO2 </w:instrText>
      </w:r>
      <w:r w:rsidRPr="0047272A">
        <w:rPr>
          <w:rFonts w:ascii="Calibri" w:hAnsi="Calibri" w:cs="Calibri"/>
          <w:lang w:val="en-GB"/>
        </w:rPr>
        <w:instrText>≥</w:instrText>
      </w:r>
      <w:r w:rsidRPr="0047272A">
        <w:rPr>
          <w:rFonts w:cstheme="minorHAnsi"/>
          <w:lang w:val="en-GB"/>
        </w:rPr>
        <w:instrText xml:space="preserve"> N2 &gt; CH4.","container-title":"Joule","DOI":"10.1016/j.joule.2019.09.007","ISSN":"2542-4351","issue":"11","journalAbbreviation":"Joule","language":"en","page":"2602-2621","source":"ScienceDirect","title":"Heading to Distributed Electrocatalytic Conversion of Small Abundant Molecules into Fuels, Chemicals, and Fertilizers","volume":"3","author":[{"family":"Martín","given":"Antonio José"},{"family":"Pérez-Ramírez","given":"Javier"}],"issued":{"date-parts":[["2019",11,20]]}}}],"schema":"https://github.com/citation-style-language/schema/raw/master/csl-citation.json"}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36</w:t>
      </w:r>
      <w:r w:rsidRPr="0047272A">
        <w:rPr>
          <w:rFonts w:cstheme="minorHAnsi"/>
          <w:lang w:val="en-GB"/>
        </w:rPr>
        <w:fldChar w:fldCharType="end"/>
      </w:r>
      <w:r w:rsidRPr="0047272A">
        <w:rPr>
          <w:lang w:val="en-GB"/>
        </w:rPr>
        <w:t>, may open the door to direct production of fertilizers at croplands. However, direct electrocatalytic reduction of nitrogen is still impractical at an industrial scale, as research must overcome early challenges such as identifying reference catalysts</w:t>
      </w:r>
      <w:r w:rsidR="00561AC6" w:rsidRPr="0047272A">
        <w:rPr>
          <w:rFonts w:cstheme="minorHAnsi"/>
          <w:lang w:val="en-GB"/>
        </w:rPr>
        <w:fldChar w:fldCharType="begin"/>
      </w:r>
      <w:r w:rsidR="00561AC6" w:rsidRPr="0047272A">
        <w:rPr>
          <w:rFonts w:cstheme="minorHAnsi"/>
          <w:lang w:val="en-GB"/>
        </w:rPr>
        <w:instrText xml:space="preserve"> ADDIN ZOTERO_ITEM CSL_CITATION {"citationID":"lqGgVQ3r","properties":{"formattedCitation":"\\super 36\\nosupersub{}","plainCitation":"36","noteIndex":0},"citationItems":[{"id":996,"uris":["http://zotero.org/users/9157291/items/QIZNQB2H"],"itemData":{"id":996,"type":"article-journal","abstract":"The centralized production of fuels, chemicals, and fertilizers by thermocatalytic processes sustained by fossil resources is a pillar of modern societies. Electrocatalytic transformations of the abundant small molecules, water, carbon dioxide, dinitrogen, and methane, are emerging routes. Their coupling with renewable sources such as sun power may give rise to a distributed model based on small-scale reactors, so-called artificial leaves. Realizing this vision calls for improved catalytic performance, efforts on reactor and process engineering, and supportive regulatory frameworks. This work puts emphasis in analyzing the core challenge of catalytic performance by defining a common set of figures of merit. This analysis is nuanced by peculiarities inherent to the proposed scheme. This perspective thus aspires to (1) provide a bird’s-eye view of the gap separating them from practical values, (2) identify sources of inefficiency, and (3) establish a qualitative comparison among their feasibility, resulting in H2O </w:instrText>
      </w:r>
      <w:r w:rsidR="00561AC6" w:rsidRPr="0047272A">
        <w:rPr>
          <w:rFonts w:ascii="Cambria Math" w:hAnsi="Cambria Math" w:cs="Cambria Math"/>
          <w:lang w:val="en-GB"/>
        </w:rPr>
        <w:instrText>≫</w:instrText>
      </w:r>
      <w:r w:rsidR="00561AC6" w:rsidRPr="0047272A">
        <w:rPr>
          <w:rFonts w:cstheme="minorHAnsi"/>
          <w:lang w:val="en-GB"/>
        </w:rPr>
        <w:instrText xml:space="preserve"> CO2 </w:instrText>
      </w:r>
      <w:r w:rsidR="00561AC6" w:rsidRPr="0047272A">
        <w:rPr>
          <w:rFonts w:ascii="Calibri" w:hAnsi="Calibri" w:cs="Calibri"/>
          <w:lang w:val="en-GB"/>
        </w:rPr>
        <w:instrText>≥</w:instrText>
      </w:r>
      <w:r w:rsidR="00561AC6" w:rsidRPr="0047272A">
        <w:rPr>
          <w:rFonts w:cstheme="minorHAnsi"/>
          <w:lang w:val="en-GB"/>
        </w:rPr>
        <w:instrText xml:space="preserve"> N2 &gt; CH4.","container-title":"Joule","DOI":"10.1016/j.joule.2019.09.007","ISSN":"2542-4351","issue":"11","journalAbbreviation":"Joule","language":"en","page":"2602-2621","source":"ScienceDirect","title":"Heading to Distributed Electrocatalytic Conversion of Small Abundant Molecules into Fuels, Chemicals, and Fertilizers","volume":"3","author":[{"family":"Martín","given":"Antonio José"},{"family":"Pérez-Ramírez","given":"Javier"}],"issued":{"date-parts":[["2019",11,20]]}}}],"schema":"https://github.com/citation-style-language/schema/raw/master/csl-citation.json"} </w:instrText>
      </w:r>
      <w:r w:rsidR="00561AC6" w:rsidRPr="0047272A">
        <w:rPr>
          <w:rFonts w:cstheme="minorHAnsi"/>
          <w:lang w:val="en-GB"/>
        </w:rPr>
        <w:fldChar w:fldCharType="separate"/>
      </w:r>
      <w:r w:rsidR="00561AC6" w:rsidRPr="0047272A">
        <w:rPr>
          <w:rFonts w:ascii="Calibri" w:hAnsi="Calibri" w:cs="Calibri"/>
          <w:szCs w:val="24"/>
          <w:vertAlign w:val="superscript"/>
          <w:lang w:val="en-GB"/>
        </w:rPr>
        <w:t>36</w:t>
      </w:r>
      <w:r w:rsidR="00561AC6" w:rsidRPr="0047272A">
        <w:rPr>
          <w:rFonts w:cstheme="minorHAnsi"/>
          <w:lang w:val="en-GB"/>
        </w:rPr>
        <w:fldChar w:fldCharType="end"/>
      </w:r>
      <w:r w:rsidRPr="0047272A">
        <w:rPr>
          <w:lang w:val="en-GB"/>
        </w:rPr>
        <w:t>. As for methanol synthesis, recent breakthrough discoveries of catalysts such as promoted indium oxide</w:t>
      </w:r>
      <w:r w:rsidRPr="0047272A">
        <w:rPr>
          <w:rFonts w:cstheme="minorHAnsi"/>
          <w:lang w:val="en-GB"/>
        </w:rPr>
        <w:fldChar w:fldCharType="begin"/>
      </w:r>
      <w:r w:rsidRPr="0047272A">
        <w:rPr>
          <w:rFonts w:cstheme="minorHAnsi"/>
          <w:lang w:val="en-GB"/>
        </w:rPr>
        <w:instrText xml:space="preserve"> ADDIN ZOTERO_ITEM CSL_CITATION {"citationID":"9YrmQOSN","properties":{"formattedCitation":"\\super 37,38\\nosupersub{}","plainCitation":"37,38","noteIndex":0},"citationItems":[{"id":25710,"uris":["http://zotero.org/users/9157291/items/VK34W2J4"],"itemData":{"id":25710,"type":"article-journal","abstract":"Methanol synthesis by CO2 hydrogenation is attractive in view of avoiding the environmental implications associated with the production of the traditional syngas feedstock and mitigating global warming. However, there still is a lack of efficient catalysts for such alternative processes. Herein, we unveil the high activity, 100 % selectivity, and remarkable stability for 1000 h on stream of In2O3 supported on ZrO2 under industrially relevant conditions. This strongly contrasts to the benchmark Cu-ZnO-Al2O3 catalyst, which is unselective and experiences rapid deactivation. In-depth characterization of the In2O3-based materials points towards a mechanism rooted in the creation and annihilation of oxygen vacancies as active sites, whose amount can be modulated in situ by co-feeding CO and boosted through electronic interactions with the zirconia carrier. These results constitute a promising basis for the design of a prospective technology for sustainable methanol production.","container-title":"Angewandte Chemie International Edition","DOI":"10.1002/anie.201600943","ISSN":"1521-3773","issue":"21","journalAbbreviation":"Angew. Chem., Int. Ed. Engl.","language":"en","note":"_eprint: https://onlinelibrary.wiley.com/doi/pdf/10.1002/anie.201600943","page":"6261-6265","source":"Wiley Online Library","title":"Indium Oxide as a Superior Catalyst for Methanol Synthesis by CO2 Hydrogenation","volume":"55","author":[{"family":"Martin","given":"Oliver"},{"family":"Martín","given":"Antonio J."},{"family":"Mondelli","given":"Cecilia"},{"family":"Mitchell","given":"Sharon"},{"family":"Segawa","given":"Takuya F."},{"family":"Hauert","given":"Roland"},{"family":"Drouilly","given":"Charlotte"},{"family":"Curulla-Ferré","given":"Daniel"},{"family":"Pérez-Ramírez","given":"Javier"}],"issued":{"date-parts":[["2016"]]}}},{"id":1002,"uris":["http://zotero.org/users/9157291/items/DUJ2VT33"],"itemData":{"id":1002,"type":"article-journal","abstract":"Palladium promotion and deposition on monoclinic zirconia are effective strategies to boost the performance of bulk In2O3 in CO2-to-methanol and could unlock superior reactivity if well integrated into a single catalytic system. However, harnessing synergic effects of the individual components is crucial and very challenging as it requires precise control over their assembly. Herein, we present ternary Pd-In2O3-ZrO2 catalysts prepared by flame spray pyrolysis (FSP) with remarkable methanol productivity and improved metal utilization, surpassing their binary counterparts. Unlike established impregnation and co-precipitation methods, FSP produces materials combining low-nuclearity palladium species associated with In2O3 monolayers highly dispersed on the ZrO2 carrier, whose surface partially transforms from a tetragonal into a monoclinic-like structure upon reaction. A pioneering protocol developed to quantify oxygen vacancies using in situ electron paramagnetic resonance spectroscopy reveals their enhanced generation because of this unique catalyst architecture, thereby rationalizing its high and sustained methanol productivity.","container-title":"Nature Communications","DOI":"10.1038/s41467-022-33391-w","ISSN":"2041-1723","issue":"1","journalAbbreviation":"Nat. Commun.","language":"en","license":"2022 The Author(s)","note":"number: 1\npublisher: Nature Publishing Group","page":"5610","source":"www.nature.com","title":"Flame-made ternary Pd-In2O3-ZrO2 catalyst with enhanced oxygen vacancy generation for CO2 hydrogenation to methanol","volume":"13","author":[{"family":"Pinheiro Araújo","given":"Thaylan"},{"family":"Mondelli","given":"Cecilia"},{"family":"Agrachev","given":"Mikhail"},{"family":"Zou","given":"Tangsheng"},{"family":"Willi","given":"Patrik O."},{"family":"Engel","given":"Konstantin M."},{"family":"Grass","given":"Robert N."},{"family":"Stark","given":"Wendelin J."},{"family":"Safonova","given":"Olga V."},{"family":"Jeschke","given":"Gunnar"},{"family":"Mitchell","given":"Sharon"},{"family":"Pérez-Ramírez","given":"Javier"}],"issued":{"date-parts":[["2022",9,24]]}}}],"schema":"https://github.com/citation-style-language/schema/raw/master/csl-citation.json"}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37,38</w:t>
      </w:r>
      <w:r w:rsidRPr="0047272A">
        <w:rPr>
          <w:rFonts w:cstheme="minorHAnsi"/>
          <w:lang w:val="en-GB"/>
        </w:rPr>
        <w:fldChar w:fldCharType="end"/>
      </w:r>
      <w:r w:rsidRPr="0047272A">
        <w:rPr>
          <w:lang w:val="en-GB"/>
        </w:rPr>
        <w:t xml:space="preserve"> or zinc-zirconium oxide</w:t>
      </w:r>
      <w:r w:rsidRPr="0047272A">
        <w:rPr>
          <w:rFonts w:cstheme="minorHAnsi"/>
          <w:lang w:val="en-GB"/>
        </w:rPr>
        <w:fldChar w:fldCharType="begin"/>
      </w:r>
      <w:r w:rsidRPr="0047272A">
        <w:rPr>
          <w:rFonts w:cstheme="minorHAnsi"/>
          <w:lang w:val="en-GB"/>
        </w:rPr>
        <w:instrText xml:space="preserve"> ADDIN ZOTERO_ITEM CSL_CITATION {"citationID":"tZ4iLRHP","properties":{"formattedCitation":"\\super 39\\nosupersub{}","plainCitation":"39","noteIndex":0},"citationItems":[{"id":1001,"uris":["http://zotero.org/users/9157291/items/GSWCS3NY"],"itemData":{"id":1001,"type":"article-journal","abstract":"Although methanol synthesis via CO hydrogenation has been industrialized, CO2 hydrogenation to methanol still confronts great obstacles of low methanol selectivity and poor stability, particularly for supported metal catalysts under industrial conditions. We report a binary metal oxide, ZnO-ZrO2 solid solution catalyst, which can achieve methanol selectivity of up to 86 to 91% with CO2 single-pass conversion of more than 10% under reaction conditions of 5.0 MPa, 24,000 ml/(g hour), H2/CO2 = 3:1 to 4:1, 320° to 315°C. Experimental and theoretical results indicate that the synergetic effect between Zn and Zr sites results in the excellent performance. The ZnO-ZrO2 solid solution catalyst shows high stability for at least 500 hours on stream and is also resistant to sintering at higher temperatures. Moreover, no deactivation is observed in the presence of 50 ppm SO2 or H2S in the reaction stream.","container-title":"Science Advances","DOI":"10.1126/sciadv.1701290","issue":"10","journalAbbreviation":"Sci. Adv.","note":"publisher: American Association for the Advancement of Science","page":"e1701290","source":"science.org (Atypon)","title":"A highly selective and stable ZnO-ZrO2 solid solution catalyst for CO2 hydrogenation to methanol","volume":"3","author":[{"family":"Wang","given":"Jijie"},{"family":"Li","given":"Guanna"},{"family":"Li","given":"Zelong"},{"family":"Tang","given":"Chizhou"},{"family":"Feng","given":"Zhaochi"},{"family":"An","given":"Hongyu"},{"family":"Liu","given":"Hailong"},{"family":"Liu","given":"Taifeng"},{"family":"Li","given":"Can"}],"issued":{"date-parts":[["2017",10,6]]}}}],"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39</w:t>
      </w:r>
      <w:r w:rsidRPr="0047272A">
        <w:rPr>
          <w:rFonts w:cstheme="minorHAnsi"/>
          <w:lang w:val="en-GB"/>
        </w:rPr>
        <w:fldChar w:fldCharType="end"/>
      </w:r>
      <w:r w:rsidRPr="0047272A">
        <w:rPr>
          <w:lang w:val="en-GB"/>
        </w:rPr>
        <w:t xml:space="preserve"> have expanded the options for the direct hydrogenation of CO</w:t>
      </w:r>
      <w:r w:rsidRPr="0047272A">
        <w:rPr>
          <w:vertAlign w:val="subscript"/>
          <w:lang w:val="en-GB"/>
        </w:rPr>
        <w:t>2</w:t>
      </w:r>
      <w:r w:rsidRPr="0047272A">
        <w:rPr>
          <w:lang w:val="en-GB"/>
        </w:rPr>
        <w:t xml:space="preserve"> into methanol beyond traditional copper-based catalysts with insufficient selectivity and stability. These new materials must still prove increased activity while making further progress in stability and selectivity</w:t>
      </w:r>
      <w:r w:rsidRPr="0047272A">
        <w:rPr>
          <w:rFonts w:cstheme="minorHAnsi"/>
          <w:lang w:val="en-GB"/>
        </w:rPr>
        <w:fldChar w:fldCharType="begin"/>
      </w:r>
      <w:r w:rsidRPr="0047272A">
        <w:rPr>
          <w:rFonts w:cstheme="minorHAnsi"/>
          <w:lang w:val="en-GB"/>
        </w:rPr>
        <w:instrText xml:space="preserve"> ADDIN ZOTERO_ITEM CSL_CITATION {"citationID":"bnaoirAC","properties":{"formattedCitation":"\\super 40\\nosupersub{}","plainCitation":"40","noteIndex":0},"citationItems":[{"id":997,"uris":["http://zotero.org/users/9157291/items/CH6KXFUW"],"itemData":{"id":997,"type":"article-journal","abstract":"Flame Spray Pyrolysis In article number 2103707, Núria López, Javier Pérez-Ramírez and co-workers apply flame spray pyrolysis as a standardized synthesis method to investigate promotional effects of nine transition metals in In2O3-catalyzed CO2 hydrogenation to methanol, revealing that catalyst architecture (single atoms, clusters, and nanoparticles) and corresponding reactivity are dictated by the nature of the promoter.","container-title":"Advanced Energy Materials","DOI":"10.1002/aenm.202270056","ISSN":"1614-6840","issue":"14","journalAbbreviation":"Adv. Energy Mater.","note":"_eprint: https://onlinelibrary.wiley.com/doi/pdf/10.1002/aenm.202270056","page":"2270056","source":"Wiley Online Library","title":"Flame Spray Pyrolysis as a Synthesis Platform to Assess Metal Promotion in In2O3-Catalyzed CO2 Hydrogenation (Adv. Energy Mater. 14/2022)","volume":"12","author":[{"family":"Pinheiro Araújo","given":"Thaylan"},{"family":"Morales-Vidal","given":"Jordi"},{"family":"Zou","given":"Tangsheng"},{"family":"García-Muelas","given":"Rodrigo"},{"family":"Willi","given":"Patrik O."},{"family":"Engel","given":"Konstantin M."},{"family":"Safonova","given":"Olga V."},{"family":"Faust Akl","given":"Dario"},{"family":"Krumeich","given":"Frank"},{"family":"Grass","given":"Robert N."},{"family":"Mondelli","given":"Cecilia"},{"family":"López","given":"Núria"},{"family":"Pérez-Ramírez","given":"Javier"}],"issued":{"date-parts":[["2022"]]}}}],"schema":"https://github.com/citation-style-language/schema/raw/master/csl-citation.json"}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40</w:t>
      </w:r>
      <w:r w:rsidRPr="0047272A">
        <w:rPr>
          <w:rFonts w:cstheme="minorHAnsi"/>
          <w:lang w:val="en-GB"/>
        </w:rPr>
        <w:fldChar w:fldCharType="end"/>
      </w:r>
      <w:r w:rsidRPr="0047272A">
        <w:rPr>
          <w:lang w:val="en-GB"/>
        </w:rPr>
        <w:t>. With the development of more active and selective copper electrocatalysts, it may be appealing to synthesize carbon products with direct use as fuels such as methanol or ethanol from CO</w:t>
      </w:r>
      <w:r w:rsidRPr="0047272A">
        <w:rPr>
          <w:vertAlign w:val="subscript"/>
          <w:lang w:val="en-GB"/>
        </w:rPr>
        <w:t>2</w:t>
      </w:r>
      <w:r w:rsidRPr="0047272A">
        <w:rPr>
          <w:lang w:val="en-GB"/>
        </w:rPr>
        <w:t xml:space="preserve"> on a small scale in artificial leaves</w:t>
      </w:r>
      <w:r w:rsidRPr="0047272A">
        <w:rPr>
          <w:rFonts w:cstheme="minorHAnsi"/>
          <w:lang w:val="en-GB"/>
        </w:rPr>
        <w:fldChar w:fldCharType="begin"/>
      </w:r>
      <w:r w:rsidRPr="0047272A">
        <w:rPr>
          <w:rFonts w:cstheme="minorHAnsi"/>
          <w:lang w:val="en-GB"/>
        </w:rPr>
        <w:instrText xml:space="preserve"> ADDIN ZOTERO_ITEM CSL_CITATION {"citationID":"iHpEFctL","properties":{"formattedCitation":"\\super 41\\nosupersub{}","plainCitation":"41","noteIndex":0},"citationItems":[{"id":1000,"uris":["http://zotero.org/users/9157291/items/L7BUP9ZA"],"itemData":{"id":1000,"type":"article-journal","abstract":"To date, copper is the only heterogeneous catalyst that has shown a propensity to produce valuable hydrocarbons and alcohols, such as ethylene and ethanol, from electrochemical CO2 reduction (CO2R). There are variety of factors that impact CO2R activity and selectivity, including the catalyst surface structure, morphology, composition, the choice of electrolyte ions and pH, and the electrochemical cell design. Many of these factors are often intertwined, which can complicate catalyst discovery and design efforts. Here we take a broad and historical view of these different aspects and their complex interplay in CO2R catalysis on Cu, with the purpose of providing new insights, critical evaluations, and guidance to the field with regard to research directions and best practices. First, we describe the various experimental probes and complementary theoretical methods that have been used to discern the mechanisms by which products are formed, and next we present our current understanding of the complex reaction networks for CO2R on Cu. We then analyze two key methods that have been used in attempts to alter the activity and selectivity of Cu: nanostructuring and the formation of bimetallic electrodes. Finally, we offer some perspectives on the future outlook for electrochemical CO2R.","container-title":"Chemical Reviews","DOI":"10.1021/acs.chemrev.8b00705","ISSN":"0009-2665","issue":"12","journalAbbreviation":"Chem. Rev.","note":"publisher: American Chemical Society","page":"7610-7672","source":"ACS Publications","title":"Progress and Perspectives of Electrochemical CO2 Reduction on Copper in Aqueous Electrolyte","volume":"119","author":[{"family":"Nitopi","given":"Stephanie"},{"family":"Bertheussen","given":"Erlend"},{"family":"Scott","given":"Soren B."},{"family":"Liu","given":"Xinyan"},{"family":"Engstfeld","given":"Albert K."},{"family":"Horch","given":"Sebastian"},{"family":"Seger","given":"Brian"},{"family":"Stephens","given":"Ifan E. L."},{"family":"Chan","given":"Karen"},{"family":"Hahn","given":"Christopher"},{"family":"Nørskov","given":"Jens K."},{"family":"Jaramillo","given":"Thomas F."},{"family":"Chorkendorff","given":"Ib"}],"issued":{"date-parts":[["2019",6,26]]}}}],"schema":"https://github.com/citation-style-language/schema/raw/master/csl-citation.json"} </w:instrText>
      </w:r>
      <w:r w:rsidRPr="0047272A">
        <w:rPr>
          <w:rFonts w:cstheme="minorHAnsi"/>
          <w:lang w:val="en-GB"/>
        </w:rPr>
        <w:fldChar w:fldCharType="separate"/>
      </w:r>
      <w:r w:rsidRPr="0047272A">
        <w:rPr>
          <w:rFonts w:ascii="Calibri" w:hAnsi="Calibri" w:cs="Calibri"/>
          <w:szCs w:val="24"/>
          <w:vertAlign w:val="superscript"/>
          <w:lang w:val="en-GB"/>
        </w:rPr>
        <w:t>41</w:t>
      </w:r>
      <w:r w:rsidRPr="0047272A">
        <w:rPr>
          <w:rFonts w:cstheme="minorHAnsi"/>
          <w:lang w:val="en-GB"/>
        </w:rPr>
        <w:fldChar w:fldCharType="end"/>
      </w:r>
      <w:r w:rsidRPr="0047272A">
        <w:rPr>
          <w:lang w:val="en-GB"/>
        </w:rPr>
        <w:t>. Methanol has remained a minor product in the direct electrocatalytic conversion of CO</w:t>
      </w:r>
      <w:r w:rsidRPr="0047272A">
        <w:rPr>
          <w:vertAlign w:val="subscript"/>
          <w:lang w:val="en-GB"/>
        </w:rPr>
        <w:t>2</w:t>
      </w:r>
      <w:r w:rsidRPr="0047272A">
        <w:rPr>
          <w:lang w:val="en-GB"/>
        </w:rPr>
        <w:t>, though molybdenum-based catalysts have signalled promise for further development</w:t>
      </w:r>
      <w:r w:rsidRPr="0047272A">
        <w:rPr>
          <w:lang w:val="en-GB"/>
        </w:rPr>
        <w:fldChar w:fldCharType="begin"/>
      </w:r>
      <w:r w:rsidRPr="0047272A">
        <w:rPr>
          <w:lang w:val="en-GB"/>
        </w:rPr>
        <w:instrText xml:space="preserve"> ADDIN ZOTERO_ITEM CSL_CITATION {"citationID":"FHjUeszI","properties":{"formattedCitation":"\\super 42\\nosupersub{}","plainCitation":"42","noteIndex":0},"citationItems":[{"id":25707,"uris":["http://zotero.org/users/9157291/items/X67H25BG"],"itemData":{"id":25707,"type":"article-journal","abstract":"The reduction of carbon dioxide using electrochemical cells is an appealing technology to store renewable electricity in a chemical form. The preferential adsorption of oxygen over carbon atoms of intermediates could improve the methanol selectivity due to the retention of C–O bond. However, the adsorbent-surface interaction is mainly related to the d states of transition metals in catalysts, thus it is difficult to promote the formation of oxygen-bound intermediates without affecting the carbon affinity. This paper describes the construction of a molybdenum-based metal carbide catalyst that promotes the formation and adsorption of oxygen-bound intermediates, where the sp states in catalyst are enabled to participate in the bonding of intermediates. A high Faradaic efficiency of 80.4% for methanol is achieved at −1.1 V vs. the standard hydrogen electrode.","container-title":"Nature Communications","DOI":"10.1038/s41467-022-35450-8","ISSN":"2041-1723","issue":"1","journalAbbreviation":"Nat. Commun.","language":"en","license":"2022 The Author(s)","note":"number: 1\npublisher: Nature Publishing Group","page":"7768","source":"www.nature.com","title":"Selective CO2 electroreduction to methanol via enhanced oxygen bonding","volume":"13","author":[{"family":"Zhang","given":"Gong"},{"family":"Wang","given":"Tuo"},{"family":"Zhang","given":"Mengmeng"},{"family":"Li","given":"Lulu"},{"family":"Cheng","given":"Dongfang"},{"family":"Zhen","given":"Shiyu"},{"family":"Wang","given":"Yongtao"},{"family":"Qin","given":"Jian"},{"family":"Zhao","given":"Zhi-Jian"},{"family":"Gong","given":"Jinlong"}],"issued":{"date-parts":[["2022",12,15]]}}}],"schema":"https://github.com/citation-style-language/schema/raw/master/csl-citation.json"} </w:instrText>
      </w:r>
      <w:r w:rsidRPr="0047272A">
        <w:rPr>
          <w:lang w:val="en-GB"/>
        </w:rPr>
        <w:fldChar w:fldCharType="separate"/>
      </w:r>
      <w:r w:rsidRPr="0047272A">
        <w:rPr>
          <w:rFonts w:ascii="Calibri" w:hAnsi="Calibri" w:cs="Calibri"/>
          <w:szCs w:val="24"/>
          <w:vertAlign w:val="superscript"/>
          <w:lang w:val="en-GB"/>
        </w:rPr>
        <w:t>42</w:t>
      </w:r>
      <w:r w:rsidRPr="0047272A">
        <w:rPr>
          <w:lang w:val="en-GB"/>
        </w:rPr>
        <w:fldChar w:fldCharType="end"/>
      </w:r>
      <w:r w:rsidRPr="0047272A">
        <w:rPr>
          <w:lang w:val="en-GB"/>
        </w:rPr>
        <w:t>.</w:t>
      </w:r>
    </w:p>
    <w:p w14:paraId="0F6ACAC9" w14:textId="6647E601" w:rsidR="00AE3C28" w:rsidRDefault="008A3579" w:rsidP="00AA4E0B">
      <w:pPr>
        <w:jc w:val="both"/>
        <w:rPr>
          <w:rFonts w:cstheme="minorHAnsi"/>
          <w:iCs/>
          <w:lang w:val="en-GB"/>
        </w:rPr>
      </w:pPr>
      <w:r w:rsidRPr="0047272A">
        <w:rPr>
          <w:rFonts w:cstheme="minorHAnsi"/>
          <w:iCs/>
          <w:lang w:val="en-GB"/>
        </w:rPr>
        <w:t>Taken together, our findings indicate that the increasing energy prices in Europe have the potential to establish cost</w:t>
      </w:r>
      <w:r w:rsidR="00AD3107" w:rsidRPr="0047272A">
        <w:rPr>
          <w:rFonts w:cstheme="minorHAnsi"/>
          <w:iCs/>
          <w:lang w:val="en-GB"/>
        </w:rPr>
        <w:noBreakHyphen/>
      </w:r>
      <w:r w:rsidRPr="0047272A">
        <w:rPr>
          <w:rFonts w:cstheme="minorHAnsi"/>
          <w:iCs/>
          <w:lang w:val="en-GB"/>
        </w:rPr>
        <w:t>competitive green ammonia and methanol production routes, thus surmounting the primary obstacle to their execution. By embracing this transformation, the European chemical industry can assert itself as a leader in the global movement towards sustainable and environmentally responsible practices, while simultaneously reaping significant economic benefits in the long run.</w:t>
      </w:r>
    </w:p>
    <w:p w14:paraId="6D7BCED9" w14:textId="77777777" w:rsidR="00E825C8" w:rsidRPr="0047272A" w:rsidRDefault="00E825C8" w:rsidP="00E825C8">
      <w:pPr>
        <w:pStyle w:val="Heading2"/>
        <w:jc w:val="both"/>
      </w:pPr>
      <w:r w:rsidRPr="0047272A">
        <w:t>Methods</w:t>
      </w:r>
    </w:p>
    <w:p w14:paraId="41BB5830" w14:textId="5836C953" w:rsidR="00E825C8" w:rsidRPr="0047272A" w:rsidRDefault="00E825C8" w:rsidP="00E825C8">
      <w:pPr>
        <w:jc w:val="both"/>
        <w:rPr>
          <w:rFonts w:cstheme="minorHAnsi"/>
          <w:bCs/>
          <w:lang w:val="en-GB"/>
        </w:rPr>
      </w:pPr>
      <w:r w:rsidRPr="0047272A">
        <w:rPr>
          <w:rFonts w:cstheme="minorHAnsi"/>
          <w:b/>
          <w:bCs/>
          <w:lang w:val="en-GB"/>
        </w:rPr>
        <w:t xml:space="preserve">Economic assessment. </w:t>
      </w:r>
      <w:r w:rsidRPr="0047272A">
        <w:rPr>
          <w:rFonts w:cstheme="minorHAnsi"/>
          <w:bCs/>
          <w:lang w:val="en-GB"/>
        </w:rPr>
        <w:t>The production costs of fossil and green ammonia and methanol routes were calculated from the operational and capital expenditures (OPEX and CAPEX) and fixed production costs. The OPEX accounts for feedstock and other raw materials and utilities. The CAPEX accounts for the equipment cost, and the fixed costs consider the labour and maintenance costs in addition to overhead expenses and interest. The detailed procedure adapted for the economic assessment is described in detail in</w:t>
      </w:r>
      <w:r w:rsidRPr="0047272A">
        <w:rPr>
          <w:rFonts w:cstheme="minorHAnsi"/>
          <w:lang w:val="en-GB"/>
        </w:rPr>
        <w:t xml:space="preserve"> section 2 of the ESI.</w:t>
      </w:r>
      <w:r>
        <w:rPr>
          <w:rFonts w:cstheme="minorHAnsi"/>
          <w:lang w:val="en-GB"/>
        </w:rPr>
        <w:t xml:space="preserve"> </w:t>
      </w:r>
    </w:p>
    <w:p w14:paraId="4B32FEEE" w14:textId="77777777" w:rsidR="00E825C8" w:rsidRPr="0047272A" w:rsidRDefault="00E825C8" w:rsidP="00E825C8">
      <w:pPr>
        <w:jc w:val="both"/>
        <w:rPr>
          <w:rFonts w:eastAsiaTheme="minorEastAsia" w:cstheme="minorHAnsi"/>
          <w:i/>
          <w:lang w:val="en-GB"/>
        </w:rPr>
      </w:pPr>
      <w:r w:rsidRPr="0047272A">
        <w:rPr>
          <w:b/>
          <w:lang w:val="en-GB"/>
        </w:rPr>
        <w:t>Avoidance costs</w:t>
      </w:r>
      <w:r w:rsidRPr="0047272A">
        <w:rPr>
          <w:lang w:val="en-GB"/>
        </w:rPr>
        <w:t xml:space="preserve">. </w:t>
      </w:r>
      <w:r w:rsidRPr="0047272A">
        <w:rPr>
          <w:rFonts w:cstheme="minorHAnsi"/>
          <w:lang w:val="en-GB"/>
        </w:rPr>
        <w:t>The avoidance cost for each green chemical is as follows:</w:t>
      </w:r>
      <w:r w:rsidRPr="0047272A">
        <w:rPr>
          <w:rFonts w:eastAsiaTheme="minorEastAsia" w:cstheme="minorHAnsi"/>
          <w:i/>
          <w:lang w:val="en-GB"/>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1"/>
        <w:gridCol w:w="1196"/>
      </w:tblGrid>
      <w:tr w:rsidR="00E825C8" w:rsidRPr="0047272A" w14:paraId="70F6984C" w14:textId="77777777" w:rsidTr="00245A55">
        <w:trPr>
          <w:trHeight w:val="620"/>
          <w:jc w:val="center"/>
        </w:trPr>
        <w:tc>
          <w:tcPr>
            <w:tcW w:w="0" w:type="auto"/>
          </w:tcPr>
          <w:p w14:paraId="7E6AD3F6" w14:textId="77777777" w:rsidR="00E825C8" w:rsidRPr="0047272A" w:rsidRDefault="00E825C8" w:rsidP="00245A55">
            <w:pPr>
              <w:jc w:val="center"/>
              <w:rPr>
                <w:rFonts w:eastAsiaTheme="minorEastAsia" w:cstheme="minorHAnsi"/>
                <w:b/>
                <w:i/>
                <w:lang w:val="en-GB"/>
              </w:rPr>
            </w:pPr>
            <w:r w:rsidRPr="0047272A">
              <w:rPr>
                <w:rFonts w:eastAsiaTheme="minorEastAsia" w:cstheme="minorHAnsi"/>
                <w:position w:val="-24"/>
                <w:lang w:val="en-GB"/>
              </w:rPr>
              <w:object w:dxaOrig="1939" w:dyaOrig="620" w14:anchorId="3EF8E5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2pt;height:31.2pt" o:ole="">
                  <v:imagedata r:id="rId9" o:title=""/>
                </v:shape>
                <o:OLEObject Type="Embed" ProgID="Equation.DSMT4" ShapeID="_x0000_i1025" DrawAspect="Content" ObjectID="_1740558304" r:id="rId10"/>
              </w:object>
            </w:r>
          </w:p>
        </w:tc>
        <w:tc>
          <w:tcPr>
            <w:tcW w:w="0" w:type="auto"/>
            <w:vAlign w:val="center"/>
          </w:tcPr>
          <w:p w14:paraId="63528CF6" w14:textId="79C47631" w:rsidR="00E825C8" w:rsidRPr="0047272A" w:rsidRDefault="00E825C8" w:rsidP="00245A55">
            <w:pPr>
              <w:jc w:val="center"/>
              <w:rPr>
                <w:rFonts w:eastAsiaTheme="minorEastAsia" w:cstheme="minorHAnsi"/>
                <w:b/>
                <w:iCs/>
                <w:lang w:val="en-GB"/>
              </w:rPr>
            </w:pPr>
            <w:r w:rsidRPr="0047272A">
              <w:rPr>
                <w:rFonts w:eastAsiaTheme="minorEastAsia" w:cstheme="minorHAnsi"/>
                <w:b/>
                <w:iCs/>
                <w:lang w:val="en-GB"/>
              </w:rPr>
              <w:t>Equation</w:t>
            </w:r>
            <w:r w:rsidR="004017D0">
              <w:rPr>
                <w:rFonts w:eastAsiaTheme="minorEastAsia" w:cstheme="minorHAnsi"/>
                <w:b/>
                <w:iCs/>
                <w:lang w:val="en-GB"/>
              </w:rPr>
              <w:t> </w:t>
            </w:r>
            <w:r w:rsidRPr="0047272A">
              <w:rPr>
                <w:rFonts w:eastAsiaTheme="minorEastAsia" w:cstheme="minorHAnsi"/>
                <w:b/>
                <w:iCs/>
                <w:lang w:val="en-GB"/>
              </w:rPr>
              <w:t>1</w:t>
            </w:r>
          </w:p>
        </w:tc>
      </w:tr>
    </w:tbl>
    <w:p w14:paraId="3F3DA122" w14:textId="77777777" w:rsidR="00E825C8" w:rsidRPr="0047272A" w:rsidRDefault="00E825C8" w:rsidP="00E825C8">
      <w:pPr>
        <w:spacing w:before="240" w:after="0"/>
        <w:jc w:val="both"/>
        <w:rPr>
          <w:rFonts w:eastAsiaTheme="minorEastAsia" w:cstheme="minorHAnsi"/>
          <w:iCs/>
          <w:lang w:val="en-GB"/>
        </w:rPr>
      </w:pPr>
      <w:r w:rsidRPr="0047272A">
        <w:rPr>
          <w:rFonts w:eastAsiaTheme="minorEastAsia" w:cstheme="minorHAnsi"/>
          <w:iCs/>
          <w:lang w:val="en-GB"/>
        </w:rPr>
        <w:t xml:space="preserve">where AC is the avoidance cost in </w:t>
      </w:r>
      <w:r w:rsidRPr="0047272A">
        <w:rPr>
          <w:rFonts w:cstheme="minorHAnsi"/>
          <w:lang w:val="en-GB"/>
        </w:rPr>
        <w:t>USD kg</w:t>
      </w:r>
      <w:r w:rsidRPr="0047272A">
        <w:rPr>
          <w:rFonts w:cstheme="minorHAnsi"/>
          <w:vertAlign w:val="superscript"/>
          <w:lang w:val="en-GB"/>
        </w:rPr>
        <w:t xml:space="preserve">−1 </w:t>
      </w:r>
      <w:r w:rsidRPr="0047272A">
        <w:rPr>
          <w:rFonts w:cstheme="minorHAnsi"/>
          <w:lang w:val="en-GB"/>
        </w:rPr>
        <w:t>CO</w:t>
      </w:r>
      <w:r w:rsidRPr="0047272A">
        <w:rPr>
          <w:rFonts w:cstheme="minorHAnsi"/>
          <w:sz w:val="16"/>
          <w:szCs w:val="16"/>
          <w:vertAlign w:val="subscript"/>
          <w:lang w:val="en-GB"/>
        </w:rPr>
        <w:t>2</w:t>
      </w:r>
      <w:r w:rsidRPr="0047272A">
        <w:rPr>
          <w:rFonts w:cstheme="minorHAnsi"/>
          <w:lang w:val="en-GB"/>
        </w:rPr>
        <w:t>-eq</w:t>
      </w:r>
      <w:r w:rsidRPr="0047272A">
        <w:rPr>
          <w:rFonts w:cstheme="minorHAnsi"/>
          <w:sz w:val="18"/>
          <w:szCs w:val="18"/>
          <w:lang w:val="en-GB"/>
        </w:rPr>
        <w:t xml:space="preserve">, </w:t>
      </w:r>
      <m:oMath>
        <m:sSub>
          <m:sSubPr>
            <m:ctrlPr>
              <w:rPr>
                <w:rFonts w:ascii="Cambria Math" w:hAnsi="Cambria Math" w:cstheme="minorHAnsi"/>
                <w:lang w:val="en-GB"/>
              </w:rPr>
            </m:ctrlPr>
          </m:sSubPr>
          <m:e>
            <m:r>
              <m:rPr>
                <m:nor/>
              </m:rPr>
              <w:rPr>
                <w:rFonts w:cstheme="minorHAnsi"/>
                <w:lang w:val="en-GB"/>
              </w:rPr>
              <m:t>PC</m:t>
            </m:r>
          </m:e>
          <m:sub>
            <m:r>
              <m:rPr>
                <m:nor/>
              </m:rPr>
              <w:rPr>
                <w:rFonts w:ascii="Cambria Math" w:cstheme="minorHAnsi"/>
                <w:lang w:val="en-GB"/>
              </w:rPr>
              <m:t>Fossil/</m:t>
            </m:r>
            <m:r>
              <m:rPr>
                <m:nor/>
              </m:rPr>
              <w:rPr>
                <w:rFonts w:cstheme="minorHAnsi"/>
                <w:lang w:val="en-GB"/>
              </w:rPr>
              <m:t>Green</m:t>
            </m:r>
            <m:r>
              <m:rPr>
                <m:nor/>
              </m:rPr>
              <w:rPr>
                <w:rFonts w:ascii="Cambria Math" w:cstheme="minorHAnsi"/>
                <w:lang w:val="en-GB"/>
              </w:rPr>
              <m:t xml:space="preserve"> </m:t>
            </m:r>
          </m:sub>
        </m:sSub>
      </m:oMath>
      <w:r w:rsidRPr="0047272A">
        <w:rPr>
          <w:rFonts w:eastAsiaTheme="minorEastAsia" w:cstheme="minorHAnsi"/>
          <w:iCs/>
          <w:lang w:val="en-GB"/>
        </w:rPr>
        <w:t>represents the production cost in USD kg</w:t>
      </w:r>
      <w:r w:rsidRPr="0047272A">
        <w:rPr>
          <w:rFonts w:cstheme="minorHAnsi"/>
          <w:vertAlign w:val="superscript"/>
          <w:lang w:val="en-GB"/>
        </w:rPr>
        <w:t>−</w:t>
      </w:r>
      <w:r w:rsidRPr="0047272A">
        <w:rPr>
          <w:rFonts w:eastAsiaTheme="minorEastAsia" w:cstheme="minorHAnsi"/>
          <w:iCs/>
          <w:vertAlign w:val="superscript"/>
          <w:lang w:val="en-GB"/>
        </w:rPr>
        <w:t xml:space="preserve">1 </w:t>
      </w:r>
      <w:r w:rsidRPr="0047272A">
        <w:rPr>
          <w:rFonts w:eastAsiaTheme="minorEastAsia" w:cstheme="minorHAnsi"/>
          <w:iCs/>
          <w:lang w:val="en-GB"/>
        </w:rPr>
        <w:t xml:space="preserve">for the fossil and green routes, and </w:t>
      </w:r>
      <m:oMath>
        <m:sSub>
          <m:sSubPr>
            <m:ctrlPr>
              <w:rPr>
                <w:rFonts w:ascii="Cambria Math" w:hAnsi="Cambria Math" w:cstheme="minorHAnsi"/>
                <w:lang w:val="en-GB"/>
              </w:rPr>
            </m:ctrlPr>
          </m:sSubPr>
          <m:e>
            <m:r>
              <m:rPr>
                <m:nor/>
              </m:rPr>
              <w:rPr>
                <w:rFonts w:cstheme="minorHAnsi"/>
                <w:lang w:val="en-GB"/>
              </w:rPr>
              <m:t>CF</m:t>
            </m:r>
          </m:e>
          <m:sub>
            <m:r>
              <m:rPr>
                <m:nor/>
              </m:rPr>
              <w:rPr>
                <w:rFonts w:ascii="Cambria Math" w:cstheme="minorHAnsi"/>
                <w:lang w:val="en-GB"/>
              </w:rPr>
              <m:t>Fossil/</m:t>
            </m:r>
            <m:r>
              <m:rPr>
                <m:nor/>
              </m:rPr>
              <w:rPr>
                <w:rFonts w:cstheme="minorHAnsi"/>
                <w:lang w:val="en-GB"/>
              </w:rPr>
              <m:t>Green</m:t>
            </m:r>
          </m:sub>
        </m:sSub>
      </m:oMath>
      <w:r w:rsidRPr="0047272A">
        <w:rPr>
          <w:rFonts w:eastAsiaTheme="minorEastAsia" w:cstheme="minorHAnsi"/>
          <w:iCs/>
          <w:vertAlign w:val="subscript"/>
          <w:lang w:val="en-GB"/>
        </w:rPr>
        <w:t xml:space="preserve"> </w:t>
      </w:r>
      <w:r w:rsidRPr="0047272A">
        <w:rPr>
          <w:rFonts w:eastAsiaTheme="minorEastAsia" w:cstheme="minorHAnsi"/>
          <w:iCs/>
          <w:lang w:val="en-GB"/>
        </w:rPr>
        <w:t xml:space="preserve">represents the carbon footprint in kg </w:t>
      </w:r>
      <w:r w:rsidRPr="0047272A">
        <w:rPr>
          <w:rFonts w:cstheme="minorHAnsi"/>
          <w:lang w:val="en-GB"/>
        </w:rPr>
        <w:t>CO</w:t>
      </w:r>
      <w:r w:rsidRPr="0047272A">
        <w:rPr>
          <w:rFonts w:cstheme="minorHAnsi"/>
          <w:sz w:val="16"/>
          <w:szCs w:val="16"/>
          <w:vertAlign w:val="subscript"/>
          <w:lang w:val="en-GB"/>
        </w:rPr>
        <w:t>2</w:t>
      </w:r>
      <w:r w:rsidRPr="0047272A">
        <w:rPr>
          <w:rFonts w:cstheme="minorHAnsi"/>
          <w:lang w:val="en-GB"/>
        </w:rPr>
        <w:t>-eq</w:t>
      </w:r>
      <w:r w:rsidRPr="0047272A">
        <w:rPr>
          <w:rFonts w:eastAsiaTheme="minorEastAsia" w:cstheme="minorHAnsi"/>
          <w:iCs/>
          <w:lang w:val="en-GB"/>
        </w:rPr>
        <w:t xml:space="preserve"> kg</w:t>
      </w:r>
      <w:r w:rsidRPr="0047272A">
        <w:rPr>
          <w:rFonts w:cstheme="minorHAnsi"/>
          <w:vertAlign w:val="superscript"/>
          <w:lang w:val="en-GB"/>
        </w:rPr>
        <w:t>−</w:t>
      </w:r>
      <w:r w:rsidRPr="0047272A">
        <w:rPr>
          <w:rFonts w:eastAsiaTheme="minorEastAsia" w:cstheme="minorHAnsi"/>
          <w:iCs/>
          <w:vertAlign w:val="superscript"/>
          <w:lang w:val="en-GB"/>
        </w:rPr>
        <w:t>1</w:t>
      </w:r>
      <w:r w:rsidRPr="0047272A">
        <w:rPr>
          <w:rFonts w:eastAsiaTheme="minorEastAsia" w:cstheme="minorHAnsi"/>
          <w:iCs/>
          <w:lang w:val="en-GB"/>
        </w:rPr>
        <w:t xml:space="preserve">. </w:t>
      </w:r>
    </w:p>
    <w:p w14:paraId="3A5B6334" w14:textId="77777777" w:rsidR="00E825C8" w:rsidRDefault="00E825C8" w:rsidP="00E825C8">
      <w:pPr>
        <w:spacing w:after="0"/>
        <w:jc w:val="both"/>
        <w:rPr>
          <w:rFonts w:eastAsiaTheme="minorEastAsia" w:cstheme="minorHAnsi"/>
          <w:iCs/>
          <w:lang w:val="en-GB"/>
        </w:rPr>
      </w:pPr>
    </w:p>
    <w:p w14:paraId="67205625" w14:textId="77777777" w:rsidR="006F59DF" w:rsidRDefault="00E825C8" w:rsidP="006F59DF">
      <w:pPr>
        <w:spacing w:after="0"/>
        <w:jc w:val="both"/>
        <w:rPr>
          <w:lang w:val="en-GB"/>
        </w:rPr>
      </w:pPr>
      <w:r w:rsidRPr="0047272A">
        <w:rPr>
          <w:rFonts w:eastAsiaTheme="minorEastAsia" w:cstheme="minorHAnsi"/>
          <w:iCs/>
          <w:lang w:val="en-GB"/>
        </w:rPr>
        <w:t>We estimate the chemicals carbon footprint with an attributional life cycle assessment (LCA) in accordance with the ISO 14040/14044 standards</w:t>
      </w:r>
      <w:r w:rsidRPr="0047272A">
        <w:rPr>
          <w:lang w:val="en-GB"/>
        </w:rPr>
        <w:fldChar w:fldCharType="begin"/>
      </w:r>
      <w:r w:rsidRPr="0047272A">
        <w:rPr>
          <w:lang w:val="en-GB"/>
        </w:rPr>
        <w:instrText xml:space="preserve"> ADDIN ZOTERO_ITEM CSL_CITATION {"citationID":"YqA10csG","properties":{"formattedCitation":"\\super 43,44\\nosupersub{}","plainCitation":"43,44","noteIndex":0},"citationItems":[{"id":980,"uris":["http://zotero.org/users/9157291/items/8THP7CZS"],"itemData":{"id":980,"type":"report","page":"2020","title":"Environmental management — Life cycle assessment — Principles and framework","author":[{"family":"ISO 14040:2006","given":""}],"issued":{"date-parts":[["2006"]]}}},{"id":981,"uris":["http://zotero.org/users/9157291/items/LVIHQH94"],"itemData":{"id":981,"type":"report","page":"2020","title":"Environmental management — Life cycle assessment — Requirements and guidelines","author":[{"family":"ISO 14044:2006","given":""}],"issued":{"date-parts":[["2006"]]}}}],"schema":"https://github.com/citation-style-language/schema/raw/master/csl-citation.json"} </w:instrText>
      </w:r>
      <w:r w:rsidRPr="0047272A">
        <w:rPr>
          <w:lang w:val="en-GB"/>
        </w:rPr>
        <w:fldChar w:fldCharType="separate"/>
      </w:r>
      <w:r w:rsidRPr="0047272A">
        <w:rPr>
          <w:rFonts w:ascii="Calibri" w:hAnsi="Calibri" w:cs="Calibri"/>
          <w:szCs w:val="24"/>
          <w:vertAlign w:val="superscript"/>
          <w:lang w:val="en-GB"/>
        </w:rPr>
        <w:t>43,44</w:t>
      </w:r>
      <w:r w:rsidRPr="0047272A">
        <w:rPr>
          <w:lang w:val="en-GB"/>
        </w:rPr>
        <w:fldChar w:fldCharType="end"/>
      </w:r>
      <w:r w:rsidRPr="0047272A">
        <w:rPr>
          <w:rFonts w:eastAsiaTheme="minorEastAsia" w:cstheme="minorHAnsi"/>
          <w:iCs/>
          <w:lang w:val="en-GB"/>
        </w:rPr>
        <w:t>. LCA quantifies environmental impacts over the life cycle of products, from raw materials extraction to end-user disposal</w:t>
      </w:r>
      <w:r w:rsidRPr="0047272A">
        <w:rPr>
          <w:lang w:val="en-GB"/>
        </w:rPr>
        <w:fldChar w:fldCharType="begin"/>
      </w:r>
      <w:r w:rsidRPr="0047272A">
        <w:rPr>
          <w:lang w:val="en-GB"/>
        </w:rPr>
        <w:instrText xml:space="preserve"> ADDIN ZOTERO_ITEM CSL_CITATION {"citationID":"wYvYfYmm","properties":{"formattedCitation":"\\super 45\\nosupersub{}","plainCitation":"45","noteIndex":0},"citationItems":[{"id":677,"uris":["http://zotero.org/users/9157291/items/5YE28A2T"],"itemData":{"id":677,"type":"article-journal","abstract":"In the modern economy, international value chains—production, use, and disposal of goods—have global environmental impacts. Life Cycle Assessment (LCA) aims to track these impacts and assess them from a systems perspective, identifying strategies for improvement without burden shifting. We review recent developments in LCA, including existing and emerging applications aimed at supporting environmentally informed decisions in policy-making, product development and procurement, and consumer choices. LCA constitutes a viable screening tool that can pinpoint environmental hotspots in complex value chains, but we also caution that completeness in scope comes at the price of simplifications and uncertainties. Future advances of LCA in enhancing regional detail and accuracy as well as broadening the assessment to economic and social aspects will make it more relevant for producers and consumers alike.","container-title":"Science","DOI":"10.1126/science.1248361","ISSN":"0036-8075, 1095-9203","issue":"6188","journalAbbreviation":"Science","language":"en","page":"1109-1113","source":"DOI.org (Crossref)","title":"Emerging approaches, challenges and opportunities in life cycle assessment","volume":"344","author":[{"family":"Hellweg","given":"Stefanie"},{"family":"Milà i Canals","given":"Llorenç"}],"issued":{"date-parts":[["2014",6,6]]}}}],"schema":"https://github.com/citation-style-language/schema/raw/master/csl-citation.json"} </w:instrText>
      </w:r>
      <w:r w:rsidRPr="0047272A">
        <w:rPr>
          <w:lang w:val="en-GB"/>
        </w:rPr>
        <w:fldChar w:fldCharType="separate"/>
      </w:r>
      <w:r w:rsidRPr="0047272A">
        <w:rPr>
          <w:rFonts w:ascii="Calibri" w:hAnsi="Calibri" w:cs="Calibri"/>
          <w:szCs w:val="24"/>
          <w:vertAlign w:val="superscript"/>
          <w:lang w:val="en-GB"/>
        </w:rPr>
        <w:t>45</w:t>
      </w:r>
      <w:r w:rsidRPr="0047272A">
        <w:rPr>
          <w:lang w:val="en-GB"/>
        </w:rPr>
        <w:fldChar w:fldCharType="end"/>
      </w:r>
      <w:r w:rsidRPr="0047272A">
        <w:rPr>
          <w:lang w:val="en-GB"/>
        </w:rPr>
        <w:t>. The functional unit for the LCA is defined as “the production of 1 kg chemicals (ammonia or methanol)”. The scope of the assessment is cradle-to-gate, meaning that the burdens considered cover all the stages from the extraction of raw materials (</w:t>
      </w:r>
      <w:r w:rsidRPr="0047272A">
        <w:rPr>
          <w:i/>
          <w:lang w:val="en-GB"/>
        </w:rPr>
        <w:t>e.g.</w:t>
      </w:r>
      <w:r w:rsidRPr="0047272A">
        <w:rPr>
          <w:lang w:val="en-GB"/>
        </w:rPr>
        <w:t xml:space="preserve">, natural gas) to the production of the chemicals. The mass and energy flows for the production routes were primarily obtained from </w:t>
      </w:r>
      <w:r w:rsidRPr="0047272A">
        <w:rPr>
          <w:rFonts w:cstheme="minorHAnsi"/>
          <w:lang w:val="en-GB"/>
        </w:rPr>
        <w:t xml:space="preserve">D’Angelo </w:t>
      </w:r>
      <w:r w:rsidRPr="0047272A">
        <w:rPr>
          <w:rFonts w:cstheme="minorHAnsi"/>
          <w:i/>
          <w:lang w:val="en-GB"/>
        </w:rPr>
        <w:t>et al.</w:t>
      </w:r>
      <w:r w:rsidRPr="0047272A">
        <w:rPr>
          <w:rFonts w:cstheme="minorHAnsi"/>
          <w:i/>
          <w:lang w:val="en-GB"/>
        </w:rPr>
        <w:fldChar w:fldCharType="begin"/>
      </w:r>
      <w:r w:rsidRPr="0047272A">
        <w:rPr>
          <w:rFonts w:cstheme="minorHAnsi"/>
          <w:i/>
          <w:lang w:val="en-GB"/>
        </w:rPr>
        <w:instrText xml:space="preserve"> ADDIN ZOTERO_ITEM CSL_CITATION {"citationID":"VXxpLMcX","properties":{"formattedCitation":"\\super 15\\nosupersub{}","plainCitation":"15","noteIndex":0},"citationItems":[{"id":684,"uris":["http://zotero.org/users/9157291/items/AFKW7KRC"],"itemData":{"id":684,"type":"article-journal","abstract":"At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Pr="0047272A">
        <w:rPr>
          <w:rFonts w:cstheme="minorHAnsi"/>
          <w:i/>
          <w:lang w:val="en-GB"/>
        </w:rPr>
        <w:fldChar w:fldCharType="separate"/>
      </w:r>
      <w:r w:rsidRPr="0047272A">
        <w:rPr>
          <w:rFonts w:ascii="Calibri" w:hAnsi="Calibri" w:cs="Calibri"/>
          <w:szCs w:val="24"/>
          <w:vertAlign w:val="superscript"/>
          <w:lang w:val="en-GB"/>
        </w:rPr>
        <w:t>15</w:t>
      </w:r>
      <w:r w:rsidRPr="0047272A">
        <w:rPr>
          <w:rFonts w:cstheme="minorHAnsi"/>
          <w:i/>
          <w:lang w:val="en-GB"/>
        </w:rPr>
        <w:fldChar w:fldCharType="end"/>
      </w:r>
      <w:r w:rsidRPr="0047272A">
        <w:rPr>
          <w:rFonts w:cstheme="minorHAnsi"/>
          <w:i/>
          <w:lang w:val="en-GB"/>
        </w:rPr>
        <w:t xml:space="preserve"> </w:t>
      </w:r>
      <w:r w:rsidRPr="0047272A">
        <w:rPr>
          <w:lang w:val="en-GB"/>
        </w:rPr>
        <w:t xml:space="preserve">and </w:t>
      </w:r>
      <w:r w:rsidRPr="0047272A">
        <w:rPr>
          <w:rFonts w:cstheme="minorHAnsi"/>
          <w:lang w:val="en-GB"/>
        </w:rPr>
        <w:t xml:space="preserve">González-Garay </w:t>
      </w:r>
      <w:r w:rsidRPr="0047272A">
        <w:rPr>
          <w:rFonts w:cstheme="minorHAnsi"/>
          <w:i/>
          <w:lang w:val="en-GB"/>
        </w:rPr>
        <w:t>et al.</w:t>
      </w:r>
      <w:r w:rsidRPr="0047272A">
        <w:rPr>
          <w:rFonts w:cstheme="minorHAnsi"/>
          <w:i/>
          <w:lang w:val="en-GB"/>
        </w:rPr>
        <w:fldChar w:fldCharType="begin"/>
      </w:r>
      <w:r w:rsidRPr="0047272A">
        <w:rPr>
          <w:rFonts w:cstheme="minorHAnsi"/>
          <w:i/>
          <w:lang w:val="en-GB"/>
        </w:rPr>
        <w:instrText xml:space="preserve"> ADDIN ZOTERO_ITEM CSL_CITATION {"citationID":"xRwYEfTg","properties":{"formattedCitation":"\\super 20\\nosupersub{}","plainCitation":"20","noteIndex":0},"citationItems":[{"id":681,"uris":["http://zotero.org/users/9157291/items/GTFADUPK"],"itemData":{"id":681,"type":"article-journal","abstract":"The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Pr="0047272A">
        <w:rPr>
          <w:rFonts w:cstheme="minorHAnsi"/>
          <w:i/>
          <w:lang w:val="en-GB"/>
        </w:rPr>
        <w:fldChar w:fldCharType="separate"/>
      </w:r>
      <w:r w:rsidRPr="0047272A">
        <w:rPr>
          <w:rFonts w:ascii="Calibri" w:hAnsi="Calibri" w:cs="Calibri"/>
          <w:szCs w:val="24"/>
          <w:vertAlign w:val="superscript"/>
          <w:lang w:val="en-GB"/>
        </w:rPr>
        <w:t>20</w:t>
      </w:r>
      <w:r w:rsidRPr="0047272A">
        <w:rPr>
          <w:rFonts w:cstheme="minorHAnsi"/>
          <w:i/>
          <w:lang w:val="en-GB"/>
        </w:rPr>
        <w:fldChar w:fldCharType="end"/>
      </w:r>
      <w:r w:rsidRPr="0047272A">
        <w:rPr>
          <w:rFonts w:cstheme="minorHAnsi"/>
          <w:lang w:val="en-GB"/>
        </w:rPr>
        <w:t>, as described above.</w:t>
      </w:r>
      <w:r w:rsidRPr="0047272A">
        <w:rPr>
          <w:lang w:val="en-GB"/>
        </w:rPr>
        <w:t xml:space="preserve"> Data for the background system (</w:t>
      </w:r>
      <w:r w:rsidRPr="0047272A">
        <w:rPr>
          <w:i/>
          <w:lang w:val="en-GB"/>
        </w:rPr>
        <w:t>e.g.</w:t>
      </w:r>
      <w:r w:rsidRPr="0047272A">
        <w:rPr>
          <w:lang w:val="en-GB"/>
        </w:rPr>
        <w:t>, natural gas and electricity supply) were obtained from the Ecoinvent v3.5 database</w:t>
      </w:r>
      <w:r w:rsidRPr="0047272A">
        <w:rPr>
          <w:lang w:val="en-GB"/>
        </w:rPr>
        <w:fldChar w:fldCharType="begin"/>
      </w:r>
      <w:r w:rsidRPr="0047272A">
        <w:rPr>
          <w:lang w:val="en-GB"/>
        </w:rPr>
        <w:instrText xml:space="preserve"> ADDIN ZOTERO_ITEM CSL_CITATION {"citationID":"JU3ZCGo0","properties":{"formattedCitation":"\\super 46\\nosupersub{}","plainCitation":"46","noteIndex":0},"citationItems":[{"id":463,"uris":["http://zotero.org/users/9157291/items/ED4WDBP2"],"itemData":{"id":463,"type":"article-journal","abstract":"Purpose Good background data are an important requirement in LCA. Practitioners generally make use of LCI databases for such data, and the ecoinvent database is the largest transparent unit-process LCI database worldwide. Since its first release in 2003, it has been continuously updated, and version 3 was published in 2013. The release of version 3 introduced several significant methodological and technological improvements, besides a large number of new and updated datasets. The aim was to expand the content of the database, set the foundation for a truly global database, support regionalized LCIA, offer multiple system models, allow for easier integration of data from different regions, and reduce maintenance efforts. This article describes the methodological developments.","container-title":"The International Journal of Life Cycle Assessment","DOI":"10.1007/s11367-016-1087-8","ISSN":"0948-3349, 1614-7502","issue":"9","journalAbbreviation":"Int. J. Life Cycle Assess.","language":"en","page":"1218-1230","source":"DOI.org (Crossref)","title":"The ecoinvent database version 3 (part I): overview and methodology","title-short":"The ecoinvent database version 3 (part I)","volume":"21","author":[{"family":"Wernet","given":"Gregor"},{"family":"Bauer","given":"Christian"},{"family":"Steubing","given":"Bernhard"},{"family":"Reinhard","given":"Jürgen"},{"family":"Moreno-Ruiz","given":"Emilia"},{"family":"Weidema","given":"Bo"}],"issued":{"date-parts":[["2016",9]]}}}],"schema":"https://github.com/citation-style-language/schema/raw/master/csl-citation.json"} </w:instrText>
      </w:r>
      <w:r w:rsidRPr="0047272A">
        <w:rPr>
          <w:lang w:val="en-GB"/>
        </w:rPr>
        <w:fldChar w:fldCharType="separate"/>
      </w:r>
      <w:r w:rsidRPr="0047272A">
        <w:rPr>
          <w:rFonts w:ascii="Calibri" w:hAnsi="Calibri" w:cs="Calibri"/>
          <w:szCs w:val="24"/>
          <w:vertAlign w:val="superscript"/>
          <w:lang w:val="en-GB"/>
        </w:rPr>
        <w:t>46</w:t>
      </w:r>
      <w:r w:rsidRPr="0047272A">
        <w:rPr>
          <w:lang w:val="en-GB"/>
        </w:rPr>
        <w:fldChar w:fldCharType="end"/>
      </w:r>
      <w:r w:rsidRPr="0047272A">
        <w:rPr>
          <w:lang w:val="en-GB"/>
        </w:rPr>
        <w:t>. Regarding the climate impact assessment, we consider the 100-year global warming potentials (GWPs) as implemented in the ReCiPe 2016 methodology</w:t>
      </w:r>
      <w:r w:rsidRPr="0047272A">
        <w:rPr>
          <w:lang w:val="en-GB"/>
        </w:rPr>
        <w:fldChar w:fldCharType="begin"/>
      </w:r>
      <w:r w:rsidRPr="0047272A">
        <w:rPr>
          <w:lang w:val="en-GB"/>
        </w:rPr>
        <w:instrText xml:space="preserve"> ADDIN ZOTERO_ITEM CSL_CITATION {"citationID":"DBi8jiTE","properties":{"formattedCitation":"\\super 47\\nosupersub{}","plainCitation":"47","noteIndex":0},"citationItems":[{"id":798,"uris":["http://zotero.org/users/9157291/items/BPUY94KP"],"itemData":{"id":798,"type":"article-journal","abstract":"Life cycle impact assessment (LCIA) translates emissions and resource extractions into a limited number of environmental impact scores by means of so-called characterisation factors. There are two mainstream ways to derive characterisation factors, i.e. at midpoint level and at endpoint level. To further progress LCIA method development, we updated the ReCiPe2008 method to its version of 2016. This paper provides an overview of the key elements of the ReCiPe2016 method.","container-title":"The International Journal of Life Cycle Assessment","DOI":"10.1007/s11367-016-1246-y","ISSN":"1614-7502","issue":"2","journalAbbreviation":"Int. J. Life Cycle Assess.","language":"en","page":"138-147","source":"Springer Link","title":"ReCiPe2016: a harmonised life cycle impact assessment method at midpoint and endpoint level","title-short":"ReCiPe2016","volume":"22","author":[{"family":"Huijbregts","given":"Mark A. J."},{"family":"Steinmann","given":"Zoran J. N."},{"family":"Elshout","given":"Pieter M. F."},{"family":"Stam","given":"Gea"},{"family":"Verones","given":"Francesca"},{"family":"Vieira","given":"Marisa"},{"family":"Zijp","given":"Michiel"},{"family":"Hollander","given":"Anne"},{"family":"Zelm","given":"Rosalie","non-dropping-particle":"van"}],"issued":{"date-parts":[["2017",2,1]]}}}],"schema":"https://github.com/citation-style-language/schema/raw/master/csl-citation.json"} </w:instrText>
      </w:r>
      <w:r w:rsidRPr="0047272A">
        <w:rPr>
          <w:lang w:val="en-GB"/>
        </w:rPr>
        <w:fldChar w:fldCharType="separate"/>
      </w:r>
      <w:r w:rsidRPr="0047272A">
        <w:rPr>
          <w:rFonts w:ascii="Calibri" w:hAnsi="Calibri" w:cs="Calibri"/>
          <w:szCs w:val="24"/>
          <w:vertAlign w:val="superscript"/>
          <w:lang w:val="en-GB"/>
        </w:rPr>
        <w:t>47</w:t>
      </w:r>
      <w:r w:rsidRPr="0047272A">
        <w:rPr>
          <w:lang w:val="en-GB"/>
        </w:rPr>
        <w:fldChar w:fldCharType="end"/>
      </w:r>
      <w:r w:rsidRPr="0047272A">
        <w:rPr>
          <w:lang w:val="en-GB"/>
        </w:rPr>
        <w:t>.</w:t>
      </w:r>
    </w:p>
    <w:p w14:paraId="7F6F9FCD" w14:textId="6877CF0A" w:rsidR="00AE3C28" w:rsidRPr="004538C8" w:rsidRDefault="006F59DF" w:rsidP="006F59DF">
      <w:pPr>
        <w:pStyle w:val="Heading3"/>
        <w:rPr>
          <w:rFonts w:cstheme="minorBidi"/>
          <w:u w:val="single"/>
        </w:rPr>
      </w:pPr>
      <w:r w:rsidRPr="004538C8">
        <w:rPr>
          <w:u w:val="single"/>
        </w:rPr>
        <w:lastRenderedPageBreak/>
        <w:t>Figures</w:t>
      </w:r>
    </w:p>
    <w:p w14:paraId="005650F0" w14:textId="77777777" w:rsidR="00AE3C28" w:rsidRPr="0047272A" w:rsidRDefault="00AE3C28" w:rsidP="00AE3C28">
      <w:pPr>
        <w:keepNext/>
        <w:spacing w:after="0"/>
        <w:jc w:val="center"/>
        <w:rPr>
          <w:lang w:val="en-GB"/>
        </w:rPr>
      </w:pPr>
      <w:r w:rsidRPr="0047272A">
        <w:rPr>
          <w:noProof/>
          <w:sz w:val="16"/>
          <w:szCs w:val="16"/>
          <w:lang w:val="en-GB"/>
        </w:rPr>
        <w:drawing>
          <wp:inline distT="0" distB="0" distL="0" distR="0" wp14:anchorId="627D3693" wp14:editId="505E2A34">
            <wp:extent cx="5752350" cy="3147828"/>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1a (version 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2350" cy="3147828"/>
                    </a:xfrm>
                    <a:prstGeom prst="rect">
                      <a:avLst/>
                    </a:prstGeom>
                  </pic:spPr>
                </pic:pic>
              </a:graphicData>
            </a:graphic>
          </wp:inline>
        </w:drawing>
      </w:r>
    </w:p>
    <w:p w14:paraId="0A6BBEA3" w14:textId="4BEE6CBA" w:rsidR="00AE3C28" w:rsidRPr="0047272A" w:rsidRDefault="00AE3C28" w:rsidP="00AE3C28">
      <w:pPr>
        <w:pStyle w:val="Caption"/>
        <w:jc w:val="both"/>
        <w:rPr>
          <w:rFonts w:cstheme="minorHAnsi"/>
          <w:i w:val="0"/>
          <w:color w:val="auto"/>
          <w:sz w:val="20"/>
        </w:rPr>
      </w:pPr>
      <w:bookmarkStart w:id="3" w:name="_Ref129860436"/>
      <w:r w:rsidRPr="0047272A">
        <w:rPr>
          <w:b/>
          <w:i w:val="0"/>
          <w:color w:val="auto"/>
          <w:sz w:val="20"/>
          <w:szCs w:val="20"/>
        </w:rPr>
        <w:t>Figure</w:t>
      </w:r>
      <w:r w:rsidR="00DC6518">
        <w:rPr>
          <w:b/>
          <w:i w:val="0"/>
          <w:color w:val="auto"/>
          <w:sz w:val="20"/>
          <w:szCs w:val="20"/>
        </w:rPr>
        <w:t> </w:t>
      </w:r>
      <w:r w:rsidRPr="0047272A">
        <w:rPr>
          <w:b/>
          <w:i w:val="0"/>
          <w:color w:val="auto"/>
          <w:sz w:val="20"/>
          <w:szCs w:val="20"/>
        </w:rPr>
        <w:fldChar w:fldCharType="begin"/>
      </w:r>
      <w:r w:rsidRPr="0047272A">
        <w:rPr>
          <w:b/>
          <w:i w:val="0"/>
          <w:color w:val="auto"/>
          <w:sz w:val="20"/>
          <w:szCs w:val="20"/>
        </w:rPr>
        <w:instrText xml:space="preserve"> SEQ Fig._ \* ARABIC </w:instrText>
      </w:r>
      <w:r w:rsidRPr="0047272A">
        <w:rPr>
          <w:b/>
          <w:i w:val="0"/>
          <w:color w:val="auto"/>
          <w:sz w:val="20"/>
          <w:szCs w:val="20"/>
        </w:rPr>
        <w:fldChar w:fldCharType="separate"/>
      </w:r>
      <w:r w:rsidR="00FF0FC0">
        <w:rPr>
          <w:b/>
          <w:i w:val="0"/>
          <w:noProof/>
          <w:color w:val="auto"/>
          <w:sz w:val="20"/>
          <w:szCs w:val="20"/>
        </w:rPr>
        <w:t>1</w:t>
      </w:r>
      <w:r w:rsidRPr="0047272A">
        <w:rPr>
          <w:b/>
          <w:i w:val="0"/>
          <w:color w:val="auto"/>
          <w:sz w:val="20"/>
          <w:szCs w:val="20"/>
        </w:rPr>
        <w:fldChar w:fldCharType="end"/>
      </w:r>
      <w:bookmarkEnd w:id="3"/>
      <w:r w:rsidRPr="0047272A">
        <w:rPr>
          <w:b/>
          <w:i w:val="0"/>
          <w:color w:val="auto"/>
          <w:sz w:val="20"/>
          <w:szCs w:val="20"/>
        </w:rPr>
        <w:t>. Natural gas spot prices and production cost for fossil ammonia and methanol in Europe.</w:t>
      </w:r>
      <w:r w:rsidRPr="0047272A">
        <w:rPr>
          <w:i w:val="0"/>
          <w:color w:val="auto"/>
          <w:sz w:val="20"/>
        </w:rPr>
        <w:t xml:space="preserve"> </w:t>
      </w:r>
      <w:r w:rsidRPr="00B727EA">
        <w:rPr>
          <w:b/>
          <w:bCs/>
          <w:i w:val="0"/>
          <w:color w:val="auto"/>
          <w:sz w:val="20"/>
        </w:rPr>
        <w:t>(a)</w:t>
      </w:r>
      <w:r w:rsidRPr="0047272A">
        <w:rPr>
          <w:i w:val="0"/>
          <w:color w:val="auto"/>
          <w:sz w:val="20"/>
        </w:rPr>
        <w:t xml:space="preserve"> Fossil ammonia produced </w:t>
      </w:r>
      <w:r w:rsidRPr="0047272A">
        <w:rPr>
          <w:color w:val="auto"/>
          <w:sz w:val="20"/>
        </w:rPr>
        <w:t>via</w:t>
      </w:r>
      <w:r w:rsidRPr="0047272A">
        <w:rPr>
          <w:i w:val="0"/>
          <w:color w:val="auto"/>
          <w:sz w:val="20"/>
        </w:rPr>
        <w:t xml:space="preserve"> the Haber-Bosch process with grey hydrogen obtained from natural gas as feedstock. </w:t>
      </w:r>
      <w:r w:rsidRPr="0047272A">
        <w:rPr>
          <w:b/>
          <w:bCs/>
          <w:i w:val="0"/>
          <w:color w:val="auto"/>
          <w:sz w:val="20"/>
        </w:rPr>
        <w:t>(b)</w:t>
      </w:r>
      <w:r w:rsidRPr="0047272A">
        <w:rPr>
          <w:i w:val="0"/>
          <w:color w:val="auto"/>
          <w:sz w:val="20"/>
        </w:rPr>
        <w:t xml:space="preserve"> Fossil methanol synthesised through syngas obtained from natural gas. Process simulations contain the necessary information for economic calculations (CAPEX and OPEX). Calculations were performed considering the effect of inflation and the monthly fluctuations in natural gas and electricity prices (the evolution of electricity prices in Europe is displayed in </w:t>
      </w:r>
      <w:r w:rsidRPr="00B727EA">
        <w:rPr>
          <w:b/>
          <w:i w:val="0"/>
          <w:color w:val="auto"/>
          <w:sz w:val="20"/>
        </w:rPr>
        <w:t>Figure</w:t>
      </w:r>
      <w:r w:rsidR="00DC6518">
        <w:rPr>
          <w:b/>
          <w:i w:val="0"/>
          <w:color w:val="auto"/>
          <w:sz w:val="20"/>
        </w:rPr>
        <w:t> </w:t>
      </w:r>
      <w:r w:rsidRPr="00B727EA">
        <w:rPr>
          <w:b/>
          <w:i w:val="0"/>
          <w:color w:val="auto"/>
          <w:sz w:val="20"/>
        </w:rPr>
        <w:t>S</w:t>
      </w:r>
      <w:r w:rsidR="005B3FBE">
        <w:rPr>
          <w:b/>
          <w:i w:val="0"/>
          <w:color w:val="auto"/>
          <w:sz w:val="20"/>
        </w:rPr>
        <w:t>5</w:t>
      </w:r>
      <w:r w:rsidRPr="0047272A">
        <w:rPr>
          <w:i w:val="0"/>
          <w:color w:val="auto"/>
          <w:sz w:val="20"/>
        </w:rPr>
        <w:t xml:space="preserve">). Monthly analyses are available in </w:t>
      </w:r>
      <w:r w:rsidR="00E453B6">
        <w:rPr>
          <w:b/>
          <w:i w:val="0"/>
          <w:color w:val="auto"/>
          <w:sz w:val="20"/>
        </w:rPr>
        <w:t>Figure</w:t>
      </w:r>
      <w:r w:rsidR="00DC6518">
        <w:rPr>
          <w:b/>
          <w:i w:val="0"/>
          <w:color w:val="auto"/>
          <w:sz w:val="20"/>
        </w:rPr>
        <w:t> </w:t>
      </w:r>
      <w:r w:rsidR="00E453B6">
        <w:rPr>
          <w:b/>
          <w:i w:val="0"/>
          <w:color w:val="auto"/>
          <w:sz w:val="20"/>
        </w:rPr>
        <w:t>S6</w:t>
      </w:r>
      <w:r w:rsidRPr="0047272A">
        <w:rPr>
          <w:i w:val="0"/>
          <w:color w:val="auto"/>
          <w:sz w:val="20"/>
        </w:rPr>
        <w:t>.</w:t>
      </w:r>
    </w:p>
    <w:p w14:paraId="11152564" w14:textId="77777777" w:rsidR="00AE3C28" w:rsidRPr="0047272A" w:rsidRDefault="00AE3C28" w:rsidP="00AE3C28">
      <w:pPr>
        <w:keepNext/>
        <w:spacing w:after="0"/>
        <w:jc w:val="center"/>
        <w:rPr>
          <w:lang w:val="en-GB"/>
        </w:rPr>
      </w:pPr>
      <w:r w:rsidRPr="0047272A">
        <w:rPr>
          <w:rFonts w:cstheme="minorHAnsi"/>
          <w:noProof/>
          <w:lang w:val="en-GB"/>
        </w:rPr>
        <w:lastRenderedPageBreak/>
        <w:drawing>
          <wp:inline distT="0" distB="0" distL="0" distR="0" wp14:anchorId="337AF55A" wp14:editId="0F2341A9">
            <wp:extent cx="5577851" cy="7110998"/>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2 (radar).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77851" cy="7110998"/>
                    </a:xfrm>
                    <a:prstGeom prst="rect">
                      <a:avLst/>
                    </a:prstGeom>
                  </pic:spPr>
                </pic:pic>
              </a:graphicData>
            </a:graphic>
          </wp:inline>
        </w:drawing>
      </w:r>
    </w:p>
    <w:p w14:paraId="73483089" w14:textId="0A906594" w:rsidR="00AE3C28" w:rsidRPr="0047272A" w:rsidRDefault="00AE3C28" w:rsidP="00AE3C28">
      <w:pPr>
        <w:jc w:val="both"/>
        <w:rPr>
          <w:sz w:val="20"/>
          <w:szCs w:val="20"/>
          <w:lang w:val="en-GB"/>
        </w:rPr>
      </w:pPr>
      <w:bookmarkStart w:id="4" w:name="_Ref129860559"/>
      <w:r w:rsidRPr="0047272A">
        <w:rPr>
          <w:b/>
          <w:sz w:val="20"/>
          <w:szCs w:val="20"/>
          <w:lang w:val="en-GB"/>
        </w:rPr>
        <w:t>Fig</w:t>
      </w:r>
      <w:r w:rsidR="005E3244" w:rsidRPr="0047272A">
        <w:rPr>
          <w:b/>
          <w:sz w:val="20"/>
          <w:szCs w:val="20"/>
          <w:lang w:val="en-GB"/>
        </w:rPr>
        <w:t>ure</w:t>
      </w:r>
      <w:r w:rsidR="00252064">
        <w:rPr>
          <w:b/>
          <w:sz w:val="20"/>
          <w:szCs w:val="20"/>
          <w:lang w:val="en-GB"/>
        </w:rPr>
        <w:t> </w:t>
      </w:r>
      <w:r w:rsidRPr="0047272A">
        <w:rPr>
          <w:b/>
          <w:sz w:val="20"/>
          <w:szCs w:val="20"/>
          <w:lang w:val="en-GB"/>
        </w:rPr>
        <w:fldChar w:fldCharType="begin"/>
      </w:r>
      <w:r w:rsidRPr="0047272A">
        <w:rPr>
          <w:b/>
          <w:sz w:val="20"/>
          <w:szCs w:val="20"/>
          <w:lang w:val="en-GB"/>
        </w:rPr>
        <w:instrText xml:space="preserve"> SEQ Fig._ \* ARABIC </w:instrText>
      </w:r>
      <w:r w:rsidRPr="0047272A">
        <w:rPr>
          <w:b/>
          <w:sz w:val="20"/>
          <w:szCs w:val="20"/>
          <w:lang w:val="en-GB"/>
        </w:rPr>
        <w:fldChar w:fldCharType="separate"/>
      </w:r>
      <w:r w:rsidR="00FF0FC0">
        <w:rPr>
          <w:b/>
          <w:noProof/>
          <w:sz w:val="20"/>
          <w:szCs w:val="20"/>
          <w:lang w:val="en-GB"/>
        </w:rPr>
        <w:t>2</w:t>
      </w:r>
      <w:r w:rsidRPr="0047272A">
        <w:rPr>
          <w:b/>
          <w:sz w:val="20"/>
          <w:szCs w:val="20"/>
          <w:lang w:val="en-GB"/>
        </w:rPr>
        <w:fldChar w:fldCharType="end"/>
      </w:r>
      <w:bookmarkEnd w:id="4"/>
      <w:r w:rsidRPr="0047272A">
        <w:rPr>
          <w:rFonts w:cstheme="minorHAnsi"/>
          <w:b/>
          <w:sz w:val="20"/>
          <w:szCs w:val="20"/>
          <w:lang w:val="en-GB"/>
        </w:rPr>
        <w:t>. Production cost for green ammonia and methanol in Europe compared with the fossil counterpart in USD kg</w:t>
      </w:r>
      <w:r w:rsidRPr="0047272A">
        <w:rPr>
          <w:rFonts w:cstheme="minorHAnsi"/>
          <w:sz w:val="20"/>
          <w:szCs w:val="20"/>
          <w:vertAlign w:val="superscript"/>
          <w:lang w:val="en-GB"/>
        </w:rPr>
        <w:t>−</w:t>
      </w:r>
      <w:r w:rsidRPr="0047272A">
        <w:rPr>
          <w:rFonts w:cstheme="minorHAnsi"/>
          <w:b/>
          <w:sz w:val="20"/>
          <w:szCs w:val="20"/>
          <w:vertAlign w:val="superscript"/>
          <w:lang w:val="en-GB"/>
        </w:rPr>
        <w:t>1</w:t>
      </w:r>
      <w:r w:rsidRPr="0047272A">
        <w:rPr>
          <w:rFonts w:cstheme="minorHAnsi"/>
          <w:b/>
          <w:sz w:val="20"/>
          <w:szCs w:val="20"/>
          <w:lang w:val="en-GB"/>
        </w:rPr>
        <w:t xml:space="preserve">. </w:t>
      </w:r>
      <w:r w:rsidRPr="0047272A">
        <w:rPr>
          <w:rFonts w:cstheme="minorHAnsi"/>
          <w:sz w:val="20"/>
          <w:szCs w:val="20"/>
          <w:lang w:val="en-GB"/>
        </w:rPr>
        <w:t xml:space="preserve">Green </w:t>
      </w:r>
      <w:r w:rsidRPr="0047272A">
        <w:rPr>
          <w:sz w:val="20"/>
          <w:szCs w:val="20"/>
          <w:lang w:val="en-GB"/>
        </w:rPr>
        <w:t xml:space="preserve">ammonia produced </w:t>
      </w:r>
      <w:r w:rsidRPr="0047272A">
        <w:rPr>
          <w:i/>
          <w:sz w:val="20"/>
          <w:szCs w:val="20"/>
          <w:lang w:val="en-GB"/>
        </w:rPr>
        <w:t>via</w:t>
      </w:r>
      <w:r w:rsidRPr="0047272A">
        <w:rPr>
          <w:sz w:val="20"/>
          <w:szCs w:val="20"/>
          <w:lang w:val="en-GB"/>
        </w:rPr>
        <w:t xml:space="preserve"> the Haber-Bosch process with </w:t>
      </w:r>
      <w:r w:rsidRPr="0047272A">
        <w:rPr>
          <w:b/>
          <w:sz w:val="20"/>
          <w:szCs w:val="20"/>
          <w:lang w:val="en-GB"/>
        </w:rPr>
        <w:t>(a)</w:t>
      </w:r>
      <w:r w:rsidRPr="0047272A">
        <w:rPr>
          <w:sz w:val="20"/>
          <w:szCs w:val="20"/>
          <w:lang w:val="en-GB"/>
        </w:rPr>
        <w:t xml:space="preserve"> blue hydrogen from steam methane reforming (SMR) coupled with carbon capture and storage (CCS), green hydrogen from water electrolysis using </w:t>
      </w:r>
      <w:r w:rsidRPr="0047272A">
        <w:rPr>
          <w:b/>
          <w:bCs/>
          <w:sz w:val="20"/>
          <w:szCs w:val="20"/>
          <w:lang w:val="en-GB"/>
        </w:rPr>
        <w:t>(b)</w:t>
      </w:r>
      <w:r w:rsidRPr="0047272A" w:rsidDel="00940416">
        <w:rPr>
          <w:bCs/>
          <w:sz w:val="20"/>
          <w:szCs w:val="20"/>
          <w:lang w:val="en-GB"/>
        </w:rPr>
        <w:t xml:space="preserve"> </w:t>
      </w:r>
      <w:r w:rsidRPr="0047272A">
        <w:rPr>
          <w:sz w:val="20"/>
          <w:szCs w:val="20"/>
          <w:lang w:val="en-GB"/>
        </w:rPr>
        <w:t xml:space="preserve">solar photovoltaic (PV) electricity or </w:t>
      </w:r>
      <w:r w:rsidRPr="0047272A">
        <w:rPr>
          <w:b/>
          <w:bCs/>
          <w:sz w:val="20"/>
          <w:szCs w:val="20"/>
          <w:lang w:val="en-GB"/>
        </w:rPr>
        <w:t>(c)</w:t>
      </w:r>
      <w:r w:rsidRPr="0047272A">
        <w:rPr>
          <w:sz w:val="20"/>
          <w:szCs w:val="20"/>
          <w:lang w:val="en-GB"/>
        </w:rPr>
        <w:t xml:space="preserve"> on-shore wind electricity. Methanol synthesised from captured CO</w:t>
      </w:r>
      <w:r w:rsidRPr="0047272A">
        <w:rPr>
          <w:sz w:val="20"/>
          <w:szCs w:val="20"/>
          <w:vertAlign w:val="subscript"/>
          <w:lang w:val="en-GB"/>
        </w:rPr>
        <w:t>2</w:t>
      </w:r>
      <w:r w:rsidRPr="0047272A">
        <w:rPr>
          <w:sz w:val="20"/>
          <w:szCs w:val="20"/>
          <w:lang w:val="en-GB"/>
        </w:rPr>
        <w:t xml:space="preserve"> and </w:t>
      </w:r>
      <w:r w:rsidRPr="0047272A">
        <w:rPr>
          <w:b/>
          <w:sz w:val="20"/>
          <w:szCs w:val="20"/>
          <w:lang w:val="en-GB"/>
        </w:rPr>
        <w:t>(d)</w:t>
      </w:r>
      <w:r w:rsidRPr="0047272A">
        <w:rPr>
          <w:sz w:val="20"/>
          <w:szCs w:val="20"/>
          <w:lang w:val="en-GB"/>
        </w:rPr>
        <w:t xml:space="preserve"> blue hydrogen, </w:t>
      </w:r>
      <w:r w:rsidRPr="0047272A">
        <w:rPr>
          <w:b/>
          <w:sz w:val="20"/>
          <w:szCs w:val="20"/>
          <w:lang w:val="en-GB"/>
        </w:rPr>
        <w:t>(e)</w:t>
      </w:r>
      <w:r w:rsidRPr="0047272A">
        <w:rPr>
          <w:sz w:val="20"/>
          <w:szCs w:val="20"/>
          <w:lang w:val="en-GB"/>
        </w:rPr>
        <w:t xml:space="preserve"> PV-based electrolytic hydrogen or </w:t>
      </w:r>
      <w:r w:rsidRPr="0047272A">
        <w:rPr>
          <w:b/>
          <w:sz w:val="20"/>
          <w:szCs w:val="20"/>
          <w:lang w:val="en-GB"/>
        </w:rPr>
        <w:t xml:space="preserve">(f) </w:t>
      </w:r>
      <w:r w:rsidRPr="0047272A">
        <w:rPr>
          <w:sz w:val="20"/>
          <w:szCs w:val="20"/>
          <w:lang w:val="en-GB"/>
        </w:rPr>
        <w:t xml:space="preserve">wind-based electrolytic hydrogen. </w:t>
      </w:r>
      <w:r w:rsidRPr="0047272A">
        <w:rPr>
          <w:iCs/>
          <w:sz w:val="20"/>
          <w:szCs w:val="20"/>
          <w:lang w:val="en-GB"/>
        </w:rPr>
        <w:t xml:space="preserve">Monthly analyses are available in </w:t>
      </w:r>
      <w:r w:rsidRPr="0020328A">
        <w:rPr>
          <w:b/>
          <w:iCs/>
          <w:sz w:val="20"/>
          <w:szCs w:val="20"/>
          <w:lang w:val="en-GB"/>
        </w:rPr>
        <w:t>Figure</w:t>
      </w:r>
      <w:r w:rsidR="00252064">
        <w:rPr>
          <w:b/>
          <w:iCs/>
          <w:sz w:val="20"/>
          <w:szCs w:val="20"/>
          <w:lang w:val="en-GB"/>
        </w:rPr>
        <w:t> </w:t>
      </w:r>
      <w:r w:rsidRPr="0020328A">
        <w:rPr>
          <w:b/>
          <w:iCs/>
          <w:sz w:val="20"/>
          <w:szCs w:val="20"/>
          <w:lang w:val="en-GB"/>
        </w:rPr>
        <w:t>S</w:t>
      </w:r>
      <w:r w:rsidR="002D655D">
        <w:rPr>
          <w:b/>
          <w:iCs/>
          <w:sz w:val="20"/>
          <w:szCs w:val="20"/>
          <w:lang w:val="en-GB"/>
        </w:rPr>
        <w:t>9</w:t>
      </w:r>
      <w:r w:rsidRPr="0047272A">
        <w:rPr>
          <w:iCs/>
          <w:sz w:val="20"/>
          <w:szCs w:val="20"/>
          <w:lang w:val="en-GB"/>
        </w:rPr>
        <w:t>.</w:t>
      </w:r>
      <w:r w:rsidRPr="0047272A">
        <w:rPr>
          <w:i/>
          <w:sz w:val="20"/>
          <w:szCs w:val="20"/>
          <w:lang w:val="en-GB"/>
        </w:rPr>
        <w:t xml:space="preserve"> </w:t>
      </w:r>
      <w:r w:rsidR="00622E3B">
        <w:rPr>
          <w:sz w:val="20"/>
          <w:szCs w:val="20"/>
          <w:lang w:val="en-GB"/>
        </w:rPr>
        <w:t>The temporal</w:t>
      </w:r>
      <w:r w:rsidRPr="0047272A">
        <w:rPr>
          <w:sz w:val="20"/>
          <w:szCs w:val="20"/>
          <w:lang w:val="en-GB"/>
        </w:rPr>
        <w:t xml:space="preserve"> resolution of the period post-July 2022 is enlarged to assess the escalating volatility of fossil routes.</w:t>
      </w:r>
    </w:p>
    <w:p w14:paraId="1778651A" w14:textId="77777777" w:rsidR="00AE3C28" w:rsidRPr="0047272A" w:rsidRDefault="00AE3C28" w:rsidP="00AE3C28">
      <w:pPr>
        <w:keepNext/>
        <w:spacing w:after="0"/>
        <w:jc w:val="center"/>
        <w:rPr>
          <w:lang w:val="en-GB"/>
        </w:rPr>
      </w:pPr>
      <w:r w:rsidRPr="0047272A">
        <w:rPr>
          <w:noProof/>
          <w:lang w:val="en-GB"/>
        </w:rPr>
        <w:lastRenderedPageBreak/>
        <w:drawing>
          <wp:inline distT="0" distB="0" distL="0" distR="0" wp14:anchorId="12472FC1" wp14:editId="4FFFB73C">
            <wp:extent cx="6547117" cy="6664466"/>
            <wp:effectExtent l="0" t="0" r="635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47117" cy="6664466"/>
                    </a:xfrm>
                    <a:prstGeom prst="rect">
                      <a:avLst/>
                    </a:prstGeom>
                  </pic:spPr>
                </pic:pic>
              </a:graphicData>
            </a:graphic>
          </wp:inline>
        </w:drawing>
      </w:r>
    </w:p>
    <w:p w14:paraId="00CB4C9F" w14:textId="1829EB9A" w:rsidR="00AE3C28" w:rsidRPr="007035ED" w:rsidRDefault="00AE3C28" w:rsidP="00AE3C28">
      <w:pPr>
        <w:pStyle w:val="Caption"/>
        <w:jc w:val="both"/>
        <w:rPr>
          <w:i w:val="0"/>
          <w:color w:val="auto"/>
          <w:sz w:val="20"/>
        </w:rPr>
      </w:pPr>
      <w:bookmarkStart w:id="5" w:name="_Ref129860715"/>
      <w:r w:rsidRPr="0047272A">
        <w:rPr>
          <w:b/>
          <w:i w:val="0"/>
          <w:color w:val="auto"/>
          <w:sz w:val="20"/>
          <w:szCs w:val="20"/>
        </w:rPr>
        <w:t>Fig</w:t>
      </w:r>
      <w:r w:rsidR="00EE119E" w:rsidRPr="0047272A">
        <w:rPr>
          <w:b/>
          <w:i w:val="0"/>
          <w:color w:val="auto"/>
          <w:sz w:val="20"/>
          <w:szCs w:val="20"/>
        </w:rPr>
        <w:t>ure</w:t>
      </w:r>
      <w:r w:rsidR="00252064">
        <w:rPr>
          <w:b/>
          <w:i w:val="0"/>
          <w:color w:val="auto"/>
          <w:sz w:val="20"/>
          <w:szCs w:val="20"/>
        </w:rPr>
        <w:t> </w:t>
      </w:r>
      <w:r w:rsidRPr="0047272A">
        <w:rPr>
          <w:b/>
          <w:i w:val="0"/>
          <w:color w:val="auto"/>
          <w:sz w:val="20"/>
          <w:szCs w:val="20"/>
        </w:rPr>
        <w:fldChar w:fldCharType="begin"/>
      </w:r>
      <w:r w:rsidRPr="0047272A">
        <w:rPr>
          <w:b/>
          <w:i w:val="0"/>
          <w:color w:val="auto"/>
          <w:sz w:val="20"/>
          <w:szCs w:val="20"/>
        </w:rPr>
        <w:instrText xml:space="preserve"> SEQ Fig._ \* ARABIC </w:instrText>
      </w:r>
      <w:r w:rsidRPr="0047272A">
        <w:rPr>
          <w:b/>
          <w:i w:val="0"/>
          <w:color w:val="auto"/>
          <w:sz w:val="20"/>
          <w:szCs w:val="20"/>
        </w:rPr>
        <w:fldChar w:fldCharType="separate"/>
      </w:r>
      <w:r w:rsidR="00FF0FC0">
        <w:rPr>
          <w:b/>
          <w:i w:val="0"/>
          <w:noProof/>
          <w:color w:val="auto"/>
          <w:sz w:val="20"/>
          <w:szCs w:val="20"/>
        </w:rPr>
        <w:t>3</w:t>
      </w:r>
      <w:r w:rsidRPr="0047272A">
        <w:rPr>
          <w:b/>
          <w:i w:val="0"/>
          <w:color w:val="auto"/>
          <w:sz w:val="20"/>
          <w:szCs w:val="20"/>
        </w:rPr>
        <w:fldChar w:fldCharType="end"/>
      </w:r>
      <w:bookmarkEnd w:id="5"/>
      <w:r w:rsidRPr="0047272A">
        <w:rPr>
          <w:b/>
          <w:i w:val="0"/>
          <w:color w:val="auto"/>
          <w:sz w:val="20"/>
          <w:szCs w:val="20"/>
        </w:rPr>
        <w:t>. Breakdown of production costs for fossil and green (a) ammonia and (b) methanol in USD kg</w:t>
      </w:r>
      <w:r w:rsidRPr="0047272A">
        <w:rPr>
          <w:b/>
          <w:i w:val="0"/>
          <w:color w:val="auto"/>
          <w:sz w:val="20"/>
          <w:vertAlign w:val="superscript"/>
        </w:rPr>
        <w:t>−1</w:t>
      </w:r>
      <w:r w:rsidRPr="0047272A">
        <w:rPr>
          <w:b/>
          <w:i w:val="0"/>
          <w:color w:val="auto"/>
          <w:sz w:val="20"/>
        </w:rPr>
        <w:t xml:space="preserve">. </w:t>
      </w:r>
      <w:r w:rsidRPr="0047272A">
        <w:rPr>
          <w:i w:val="0"/>
          <w:color w:val="auto"/>
          <w:sz w:val="20"/>
        </w:rPr>
        <w:t xml:space="preserve">Only the green production routes based on hydrogen from water electrolysis using on-shore wind electricity are displayed. The results for other green routes can be found in </w:t>
      </w:r>
      <w:r w:rsidRPr="001E19F8">
        <w:rPr>
          <w:b/>
          <w:i w:val="0"/>
          <w:color w:val="auto"/>
          <w:sz w:val="20"/>
        </w:rPr>
        <w:t>Figure</w:t>
      </w:r>
      <w:r w:rsidR="00252064">
        <w:rPr>
          <w:b/>
          <w:i w:val="0"/>
          <w:color w:val="auto"/>
          <w:sz w:val="20"/>
        </w:rPr>
        <w:t> </w:t>
      </w:r>
      <w:r w:rsidRPr="001E19F8">
        <w:rPr>
          <w:b/>
          <w:i w:val="0"/>
          <w:color w:val="auto"/>
          <w:sz w:val="20"/>
        </w:rPr>
        <w:t>S</w:t>
      </w:r>
      <w:r w:rsidR="00ED126F">
        <w:rPr>
          <w:b/>
          <w:i w:val="0"/>
          <w:color w:val="auto"/>
          <w:sz w:val="20"/>
        </w:rPr>
        <w:t>1</w:t>
      </w:r>
      <w:r w:rsidR="00854191">
        <w:rPr>
          <w:b/>
          <w:i w:val="0"/>
          <w:color w:val="auto"/>
          <w:sz w:val="20"/>
        </w:rPr>
        <w:t>0</w:t>
      </w:r>
      <w:bookmarkStart w:id="6" w:name="_GoBack"/>
      <w:bookmarkEnd w:id="6"/>
      <w:r w:rsidRPr="0047272A">
        <w:rPr>
          <w:i w:val="0"/>
          <w:color w:val="auto"/>
          <w:sz w:val="20"/>
        </w:rPr>
        <w:t>. Error bars indicate the production cost considering the lower and upper bound for the levelised cost of hydrogen (</w:t>
      </w:r>
      <w:r w:rsidRPr="007035ED">
        <w:rPr>
          <w:b/>
          <w:i w:val="0"/>
          <w:color w:val="auto"/>
          <w:sz w:val="20"/>
        </w:rPr>
        <w:t>Table</w:t>
      </w:r>
      <w:r w:rsidR="00087047">
        <w:rPr>
          <w:b/>
          <w:i w:val="0"/>
          <w:color w:val="auto"/>
          <w:sz w:val="20"/>
        </w:rPr>
        <w:t> </w:t>
      </w:r>
      <w:r w:rsidRPr="007035ED">
        <w:rPr>
          <w:b/>
          <w:i w:val="0"/>
          <w:color w:val="auto"/>
          <w:sz w:val="20"/>
        </w:rPr>
        <w:t>S7</w:t>
      </w:r>
      <w:r w:rsidRPr="0047272A">
        <w:rPr>
          <w:i w:val="0"/>
          <w:color w:val="auto"/>
          <w:sz w:val="20"/>
        </w:rPr>
        <w:t xml:space="preserve">). </w:t>
      </w:r>
      <w:r w:rsidRPr="0047272A">
        <w:rPr>
          <w:i w:val="0"/>
          <w:color w:val="auto"/>
          <w:sz w:val="20"/>
          <w:szCs w:val="20"/>
        </w:rPr>
        <w:t>Average values for the years 2019 and 2020 are employed as the natural gas and electricity prices before July 2021 showed negligible variations in comparison.</w:t>
      </w:r>
    </w:p>
    <w:p w14:paraId="23106448" w14:textId="77777777" w:rsidR="00AE3C28" w:rsidRPr="0047272A" w:rsidRDefault="00AE3C28" w:rsidP="00AE3C28">
      <w:pPr>
        <w:keepNext/>
        <w:spacing w:after="0"/>
        <w:jc w:val="center"/>
        <w:rPr>
          <w:lang w:val="en-GB"/>
        </w:rPr>
      </w:pPr>
      <w:r w:rsidRPr="0047272A">
        <w:rPr>
          <w:noProof/>
          <w:lang w:val="en-GB"/>
        </w:rPr>
        <w:lastRenderedPageBreak/>
        <w:drawing>
          <wp:inline distT="0" distB="0" distL="0" distR="0" wp14:anchorId="3226A963" wp14:editId="103D163B">
            <wp:extent cx="6547117" cy="320420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4.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47117" cy="3204200"/>
                    </a:xfrm>
                    <a:prstGeom prst="rect">
                      <a:avLst/>
                    </a:prstGeom>
                  </pic:spPr>
                </pic:pic>
              </a:graphicData>
            </a:graphic>
          </wp:inline>
        </w:drawing>
      </w:r>
    </w:p>
    <w:p w14:paraId="05610B9E" w14:textId="08E887E9" w:rsidR="008A3579" w:rsidRPr="0047272A" w:rsidRDefault="00AE3C28" w:rsidP="00AE3C28">
      <w:pPr>
        <w:pStyle w:val="Caption"/>
        <w:jc w:val="both"/>
        <w:rPr>
          <w:rFonts w:cstheme="minorHAnsi"/>
          <w:i w:val="0"/>
          <w:color w:val="auto"/>
          <w:sz w:val="20"/>
        </w:rPr>
      </w:pPr>
      <w:bookmarkStart w:id="7" w:name="_Ref129860788"/>
      <w:r w:rsidRPr="0047272A">
        <w:rPr>
          <w:b/>
          <w:i w:val="0"/>
          <w:color w:val="auto"/>
          <w:sz w:val="20"/>
          <w:szCs w:val="20"/>
        </w:rPr>
        <w:t>Fig</w:t>
      </w:r>
      <w:r w:rsidR="008A1237" w:rsidRPr="0047272A">
        <w:rPr>
          <w:b/>
          <w:i w:val="0"/>
          <w:color w:val="auto"/>
          <w:sz w:val="20"/>
          <w:szCs w:val="20"/>
        </w:rPr>
        <w:t>ure</w:t>
      </w:r>
      <w:r w:rsidR="00552D16">
        <w:rPr>
          <w:b/>
          <w:i w:val="0"/>
          <w:color w:val="auto"/>
          <w:sz w:val="20"/>
          <w:szCs w:val="20"/>
        </w:rPr>
        <w:t> </w:t>
      </w:r>
      <w:r w:rsidRPr="0047272A">
        <w:rPr>
          <w:b/>
          <w:i w:val="0"/>
          <w:color w:val="auto"/>
          <w:sz w:val="20"/>
          <w:szCs w:val="20"/>
        </w:rPr>
        <w:fldChar w:fldCharType="begin"/>
      </w:r>
      <w:r w:rsidRPr="0047272A">
        <w:rPr>
          <w:b/>
          <w:i w:val="0"/>
          <w:color w:val="auto"/>
          <w:sz w:val="20"/>
          <w:szCs w:val="20"/>
        </w:rPr>
        <w:instrText xml:space="preserve"> SEQ Fig._ \* ARABIC </w:instrText>
      </w:r>
      <w:r w:rsidRPr="0047272A">
        <w:rPr>
          <w:b/>
          <w:i w:val="0"/>
          <w:color w:val="auto"/>
          <w:sz w:val="20"/>
          <w:szCs w:val="20"/>
        </w:rPr>
        <w:fldChar w:fldCharType="separate"/>
      </w:r>
      <w:r w:rsidR="00FF0FC0">
        <w:rPr>
          <w:b/>
          <w:i w:val="0"/>
          <w:noProof/>
          <w:color w:val="auto"/>
          <w:sz w:val="20"/>
          <w:szCs w:val="20"/>
        </w:rPr>
        <w:t>4</w:t>
      </w:r>
      <w:r w:rsidRPr="0047272A">
        <w:rPr>
          <w:b/>
          <w:i w:val="0"/>
          <w:color w:val="auto"/>
          <w:sz w:val="20"/>
          <w:szCs w:val="20"/>
        </w:rPr>
        <w:fldChar w:fldCharType="end"/>
      </w:r>
      <w:bookmarkEnd w:id="7"/>
      <w:r w:rsidRPr="0047272A">
        <w:rPr>
          <w:b/>
          <w:i w:val="0"/>
          <w:color w:val="auto"/>
          <w:sz w:val="20"/>
          <w:szCs w:val="20"/>
        </w:rPr>
        <w:t>. Avoidance</w:t>
      </w:r>
      <w:r w:rsidRPr="0047272A">
        <w:rPr>
          <w:b/>
          <w:i w:val="0"/>
          <w:color w:val="auto"/>
          <w:sz w:val="20"/>
        </w:rPr>
        <w:t xml:space="preserve"> costs for green (a) ammonia and (b) methanol production routes in USD kg</w:t>
      </w:r>
      <w:r w:rsidRPr="0047272A">
        <w:rPr>
          <w:rFonts w:cstheme="minorHAnsi"/>
          <w:b/>
          <w:vertAlign w:val="superscript"/>
        </w:rPr>
        <w:t>−</w:t>
      </w:r>
      <w:r w:rsidRPr="0047272A">
        <w:rPr>
          <w:b/>
          <w:i w:val="0"/>
          <w:color w:val="auto"/>
          <w:sz w:val="20"/>
          <w:vertAlign w:val="superscript"/>
        </w:rPr>
        <w:t xml:space="preserve">1 </w:t>
      </w:r>
      <w:r w:rsidRPr="0047272A">
        <w:rPr>
          <w:b/>
          <w:i w:val="0"/>
          <w:color w:val="auto"/>
          <w:sz w:val="20"/>
        </w:rPr>
        <w:t>CO</w:t>
      </w:r>
      <w:r w:rsidRPr="0047272A">
        <w:rPr>
          <w:b/>
          <w:i w:val="0"/>
          <w:color w:val="auto"/>
          <w:sz w:val="20"/>
          <w:vertAlign w:val="subscript"/>
        </w:rPr>
        <w:t>2</w:t>
      </w:r>
      <w:r w:rsidRPr="0047272A">
        <w:rPr>
          <w:b/>
          <w:i w:val="0"/>
          <w:color w:val="auto"/>
          <w:sz w:val="20"/>
        </w:rPr>
        <w:t>-eq.</w:t>
      </w:r>
      <w:r w:rsidRPr="0047272A">
        <w:rPr>
          <w:i w:val="0"/>
          <w:color w:val="auto"/>
          <w:sz w:val="20"/>
        </w:rPr>
        <w:t xml:space="preserve"> A negative avoidance cost (shaded region) implies that it is possible to reduce costs and greenhouse gas (GHG) emissions simultaneously.</w:t>
      </w:r>
      <w:r w:rsidRPr="0047272A" w:rsidDel="007A5FF3">
        <w:t xml:space="preserve"> </w:t>
      </w:r>
      <w:r w:rsidRPr="0047272A">
        <w:rPr>
          <w:i w:val="0"/>
          <w:color w:val="auto"/>
          <w:sz w:val="20"/>
          <w:szCs w:val="20"/>
        </w:rPr>
        <w:t>Monthly analyses</w:t>
      </w:r>
      <w:r w:rsidR="0061661C">
        <w:rPr>
          <w:i w:val="0"/>
          <w:color w:val="auto"/>
          <w:sz w:val="20"/>
          <w:szCs w:val="20"/>
        </w:rPr>
        <w:t xml:space="preserve"> with error bars</w:t>
      </w:r>
      <w:r w:rsidRPr="0047272A">
        <w:rPr>
          <w:i w:val="0"/>
          <w:color w:val="auto"/>
          <w:sz w:val="20"/>
          <w:szCs w:val="20"/>
        </w:rPr>
        <w:t xml:space="preserve"> are available in </w:t>
      </w:r>
      <w:r w:rsidRPr="001E19F8">
        <w:rPr>
          <w:b/>
          <w:i w:val="0"/>
          <w:color w:val="auto"/>
          <w:sz w:val="20"/>
          <w:szCs w:val="20"/>
        </w:rPr>
        <w:t>Figure</w:t>
      </w:r>
      <w:r w:rsidR="00552D16">
        <w:rPr>
          <w:b/>
          <w:i w:val="0"/>
          <w:color w:val="auto"/>
          <w:sz w:val="20"/>
          <w:szCs w:val="20"/>
        </w:rPr>
        <w:t> </w:t>
      </w:r>
      <w:r w:rsidRPr="001E19F8">
        <w:rPr>
          <w:b/>
          <w:i w:val="0"/>
          <w:color w:val="auto"/>
          <w:sz w:val="20"/>
          <w:szCs w:val="20"/>
        </w:rPr>
        <w:t>S1</w:t>
      </w:r>
      <w:r w:rsidR="00C32D3A">
        <w:rPr>
          <w:b/>
          <w:i w:val="0"/>
          <w:color w:val="auto"/>
          <w:sz w:val="20"/>
          <w:szCs w:val="20"/>
        </w:rPr>
        <w:t>2</w:t>
      </w:r>
      <w:r w:rsidRPr="0047272A">
        <w:rPr>
          <w:i w:val="0"/>
          <w:color w:val="auto"/>
          <w:sz w:val="20"/>
          <w:szCs w:val="20"/>
        </w:rPr>
        <w:t xml:space="preserve">. </w:t>
      </w:r>
    </w:p>
    <w:p w14:paraId="7707589A" w14:textId="77777777" w:rsidR="008A3579" w:rsidRPr="0047272A" w:rsidRDefault="008A3579" w:rsidP="008A3579">
      <w:pPr>
        <w:pStyle w:val="Heading2"/>
        <w:jc w:val="both"/>
      </w:pPr>
      <w:bookmarkStart w:id="8" w:name="_Hlk129852061"/>
      <w:r w:rsidRPr="0047272A">
        <w:t>References</w:t>
      </w:r>
    </w:p>
    <w:p w14:paraId="6FDF1297"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cstheme="minorHAnsi"/>
          <w:lang w:val="en-GB"/>
        </w:rPr>
        <w:fldChar w:fldCharType="begin"/>
      </w:r>
      <w:r w:rsidRPr="0047272A">
        <w:rPr>
          <w:rFonts w:cstheme="minorHAnsi"/>
          <w:lang w:val="en-GB"/>
        </w:rPr>
        <w:instrText xml:space="preserve"> ADDIN ZOTERO_BIBL {"uncited":[],"omitted":[],"custom":[]} CSL_BIBLIOGRAPHY </w:instrText>
      </w:r>
      <w:r w:rsidRPr="0047272A">
        <w:rPr>
          <w:rFonts w:cstheme="minorHAnsi"/>
          <w:lang w:val="en-GB"/>
        </w:rPr>
        <w:fldChar w:fldCharType="separate"/>
      </w:r>
      <w:r w:rsidRPr="0047272A">
        <w:rPr>
          <w:rFonts w:ascii="Calibri" w:hAnsi="Calibri" w:cs="Calibri"/>
          <w:lang w:val="en-GB"/>
        </w:rPr>
        <w:t xml:space="preserve">F. Bauer, J. P. Tilsted, S. Pfister, C. Oberschelp and V. Kulionis, </w:t>
      </w:r>
      <w:r w:rsidRPr="0047272A">
        <w:rPr>
          <w:rFonts w:ascii="Calibri" w:hAnsi="Calibri" w:cs="Calibri"/>
          <w:i/>
          <w:iCs/>
          <w:lang w:val="en-GB"/>
        </w:rPr>
        <w:t>Curr. Opin. Chem. Eng.</w:t>
      </w:r>
      <w:r w:rsidRPr="0047272A">
        <w:rPr>
          <w:rFonts w:ascii="Calibri" w:hAnsi="Calibri" w:cs="Calibri"/>
          <w:lang w:val="en-GB"/>
        </w:rPr>
        <w:t xml:space="preserve">, 2023, </w:t>
      </w:r>
      <w:r w:rsidRPr="0047272A">
        <w:rPr>
          <w:rFonts w:ascii="Calibri" w:hAnsi="Calibri" w:cs="Calibri"/>
          <w:b/>
          <w:bCs/>
          <w:lang w:val="en-GB"/>
        </w:rPr>
        <w:t>39</w:t>
      </w:r>
      <w:r w:rsidRPr="0047272A">
        <w:rPr>
          <w:rFonts w:ascii="Calibri" w:hAnsi="Calibri" w:cs="Calibri"/>
          <w:lang w:val="en-GB"/>
        </w:rPr>
        <w:t>, 100881.</w:t>
      </w:r>
    </w:p>
    <w:p w14:paraId="5BD9146E"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F. Bauer, V. Kulionis, C. Oberschelp, S. Pfister, J. P. Tilsted, G. D. Finkill and S. Fjäll, </w:t>
      </w:r>
      <w:r w:rsidRPr="0047272A">
        <w:rPr>
          <w:rFonts w:ascii="Calibri" w:hAnsi="Calibri" w:cs="Calibri"/>
          <w:i/>
          <w:iCs/>
          <w:lang w:val="en-GB"/>
        </w:rPr>
        <w:t>Petrochemicals and Climate Change: Tracing Globally Growing Emissions and Key Blind Spots in a Fossil-Based Industry</w:t>
      </w:r>
      <w:r w:rsidRPr="0047272A">
        <w:rPr>
          <w:rFonts w:ascii="Calibri" w:hAnsi="Calibri" w:cs="Calibri"/>
          <w:lang w:val="en-GB"/>
        </w:rPr>
        <w:t>, Lund University, 2022.</w:t>
      </w:r>
    </w:p>
    <w:p w14:paraId="31F19741"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J. W. Erisman, M. A. Sutton, J. Galloway, Z. Klimont and W. Winiwarter, </w:t>
      </w:r>
      <w:r w:rsidRPr="0047272A">
        <w:rPr>
          <w:rFonts w:ascii="Calibri" w:hAnsi="Calibri" w:cs="Calibri"/>
          <w:i/>
          <w:iCs/>
          <w:lang w:val="en-GB"/>
        </w:rPr>
        <w:t>Nat. Geosci.</w:t>
      </w:r>
      <w:r w:rsidRPr="0047272A">
        <w:rPr>
          <w:rFonts w:ascii="Calibri" w:hAnsi="Calibri" w:cs="Calibri"/>
          <w:lang w:val="en-GB"/>
        </w:rPr>
        <w:t xml:space="preserve">, 2008, </w:t>
      </w:r>
      <w:r w:rsidRPr="0047272A">
        <w:rPr>
          <w:rFonts w:ascii="Calibri" w:hAnsi="Calibri" w:cs="Calibri"/>
          <w:b/>
          <w:bCs/>
          <w:lang w:val="en-GB"/>
        </w:rPr>
        <w:t>1</w:t>
      </w:r>
      <w:r w:rsidRPr="0047272A">
        <w:rPr>
          <w:rFonts w:ascii="Calibri" w:hAnsi="Calibri" w:cs="Calibri"/>
          <w:lang w:val="en-GB"/>
        </w:rPr>
        <w:t>, 636–639.</w:t>
      </w:r>
    </w:p>
    <w:p w14:paraId="1C44638B"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L. Rosa and P. Gabrielli, </w:t>
      </w:r>
      <w:r w:rsidRPr="0047272A">
        <w:rPr>
          <w:rFonts w:ascii="Calibri" w:hAnsi="Calibri" w:cs="Calibri"/>
          <w:i/>
          <w:iCs/>
          <w:lang w:val="en-GB"/>
        </w:rPr>
        <w:t>Environ. Res. Lett.</w:t>
      </w:r>
      <w:r w:rsidRPr="0047272A">
        <w:rPr>
          <w:rFonts w:ascii="Calibri" w:hAnsi="Calibri" w:cs="Calibri"/>
          <w:lang w:val="en-GB"/>
        </w:rPr>
        <w:t xml:space="preserve">, 2022, </w:t>
      </w:r>
      <w:r w:rsidRPr="0047272A">
        <w:rPr>
          <w:rFonts w:ascii="Calibri" w:hAnsi="Calibri" w:cs="Calibri"/>
          <w:b/>
          <w:bCs/>
          <w:lang w:val="en-GB"/>
        </w:rPr>
        <w:t>18</w:t>
      </w:r>
      <w:r w:rsidRPr="0047272A">
        <w:rPr>
          <w:rFonts w:ascii="Calibri" w:hAnsi="Calibri" w:cs="Calibri"/>
          <w:lang w:val="en-GB"/>
        </w:rPr>
        <w:t>, 014008.</w:t>
      </w:r>
    </w:p>
    <w:p w14:paraId="06AB978D"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IEA, </w:t>
      </w:r>
      <w:r w:rsidRPr="0047272A">
        <w:rPr>
          <w:rFonts w:ascii="Calibri" w:hAnsi="Calibri" w:cs="Calibri"/>
          <w:i/>
          <w:iCs/>
          <w:lang w:val="en-GB"/>
        </w:rPr>
        <w:t>The Future of Petrochemicals: Towards more sustainable plastics and fertilisers</w:t>
      </w:r>
      <w:r w:rsidRPr="0047272A">
        <w:rPr>
          <w:rFonts w:ascii="Calibri" w:hAnsi="Calibri" w:cs="Calibri"/>
          <w:lang w:val="en-GB"/>
        </w:rPr>
        <w:t>, International Energy Agency, 2018.</w:t>
      </w:r>
    </w:p>
    <w:p w14:paraId="7FE1BDB5" w14:textId="51673412"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G. A. Olah, </w:t>
      </w:r>
      <w:r w:rsidRPr="0047272A">
        <w:rPr>
          <w:rFonts w:ascii="Calibri" w:hAnsi="Calibri" w:cs="Calibri"/>
          <w:i/>
          <w:iCs/>
          <w:lang w:val="en-GB"/>
        </w:rPr>
        <w:t>Angew. Chem., Int. Ed.</w:t>
      </w:r>
      <w:r w:rsidRPr="0047272A">
        <w:rPr>
          <w:rFonts w:ascii="Calibri" w:hAnsi="Calibri" w:cs="Calibri"/>
          <w:lang w:val="en-GB"/>
        </w:rPr>
        <w:t xml:space="preserve">, 2005, </w:t>
      </w:r>
      <w:r w:rsidRPr="0047272A">
        <w:rPr>
          <w:rFonts w:ascii="Calibri" w:hAnsi="Calibri" w:cs="Calibri"/>
          <w:b/>
          <w:bCs/>
          <w:lang w:val="en-GB"/>
        </w:rPr>
        <w:t>44</w:t>
      </w:r>
      <w:r w:rsidRPr="0047272A">
        <w:rPr>
          <w:rFonts w:ascii="Calibri" w:hAnsi="Calibri" w:cs="Calibri"/>
          <w:lang w:val="en-GB"/>
        </w:rPr>
        <w:t>, 2636–2639.</w:t>
      </w:r>
    </w:p>
    <w:p w14:paraId="1237BF85"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IRENA, </w:t>
      </w:r>
      <w:r w:rsidRPr="0047272A">
        <w:rPr>
          <w:rFonts w:ascii="Calibri" w:hAnsi="Calibri" w:cs="Calibri"/>
          <w:i/>
          <w:iCs/>
          <w:lang w:val="en-GB"/>
        </w:rPr>
        <w:t>Innovation Outlook: Renewable Methanol</w:t>
      </w:r>
      <w:r w:rsidRPr="0047272A">
        <w:rPr>
          <w:rFonts w:ascii="Calibri" w:hAnsi="Calibri" w:cs="Calibri"/>
          <w:lang w:val="en-GB"/>
        </w:rPr>
        <w:t>, International Renewable Energy Agency, Abu Dhabi, 2021.</w:t>
      </w:r>
    </w:p>
    <w:p w14:paraId="7FBB010B"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IEA, </w:t>
      </w:r>
      <w:r w:rsidRPr="0047272A">
        <w:rPr>
          <w:rFonts w:ascii="Calibri" w:hAnsi="Calibri" w:cs="Calibri"/>
          <w:i/>
          <w:iCs/>
          <w:lang w:val="en-GB"/>
        </w:rPr>
        <w:t>Ammonia Technology Roadmap: Towards more sustainable nitrogen fertiliser production</w:t>
      </w:r>
      <w:r w:rsidRPr="0047272A">
        <w:rPr>
          <w:rFonts w:ascii="Calibri" w:hAnsi="Calibri" w:cs="Calibri"/>
          <w:lang w:val="en-GB"/>
        </w:rPr>
        <w:t>, International Energy Agency, 2021.</w:t>
      </w:r>
    </w:p>
    <w:p w14:paraId="4423F7E2" w14:textId="477FA4ED"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J. Humphreys, R. Lan and S. Tao, </w:t>
      </w:r>
      <w:r w:rsidRPr="0047272A">
        <w:rPr>
          <w:rFonts w:ascii="Calibri" w:hAnsi="Calibri" w:cs="Calibri"/>
          <w:i/>
          <w:iCs/>
          <w:lang w:val="en-GB"/>
        </w:rPr>
        <w:t>Adv</w:t>
      </w:r>
      <w:r w:rsidR="001F1F26">
        <w:rPr>
          <w:rFonts w:ascii="Calibri" w:hAnsi="Calibri" w:cs="Calibri"/>
          <w:i/>
          <w:iCs/>
          <w:lang w:val="en-GB"/>
        </w:rPr>
        <w:t>.</w:t>
      </w:r>
      <w:r w:rsidRPr="0047272A">
        <w:rPr>
          <w:rFonts w:ascii="Calibri" w:hAnsi="Calibri" w:cs="Calibri"/>
          <w:i/>
          <w:iCs/>
          <w:lang w:val="en-GB"/>
        </w:rPr>
        <w:t xml:space="preserve"> Energy Sustainability Res</w:t>
      </w:r>
      <w:r w:rsidR="009B0151">
        <w:rPr>
          <w:rFonts w:ascii="Calibri" w:hAnsi="Calibri" w:cs="Calibri"/>
          <w:i/>
          <w:iCs/>
          <w:lang w:val="en-GB"/>
        </w:rPr>
        <w:t>.</w:t>
      </w:r>
      <w:r w:rsidRPr="0047272A">
        <w:rPr>
          <w:rFonts w:ascii="Calibri" w:hAnsi="Calibri" w:cs="Calibri"/>
          <w:lang w:val="en-GB"/>
        </w:rPr>
        <w:t xml:space="preserve">, 2021, </w:t>
      </w:r>
      <w:r w:rsidRPr="0047272A">
        <w:rPr>
          <w:rFonts w:ascii="Calibri" w:hAnsi="Calibri" w:cs="Calibri"/>
          <w:b/>
          <w:bCs/>
          <w:lang w:val="en-GB"/>
        </w:rPr>
        <w:t>2</w:t>
      </w:r>
      <w:r w:rsidRPr="0047272A">
        <w:rPr>
          <w:rFonts w:ascii="Calibri" w:hAnsi="Calibri" w:cs="Calibri"/>
          <w:lang w:val="en-GB"/>
        </w:rPr>
        <w:t>, 2000043.</w:t>
      </w:r>
    </w:p>
    <w:p w14:paraId="32E980BA"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O. Martin and J. Pérez-Ramírez, </w:t>
      </w:r>
      <w:r w:rsidRPr="0047272A">
        <w:rPr>
          <w:rFonts w:ascii="Calibri" w:hAnsi="Calibri" w:cs="Calibri"/>
          <w:i/>
          <w:iCs/>
          <w:lang w:val="en-GB"/>
        </w:rPr>
        <w:t>Catal. Sci. Technol.</w:t>
      </w:r>
      <w:r w:rsidRPr="0047272A">
        <w:rPr>
          <w:rFonts w:ascii="Calibri" w:hAnsi="Calibri" w:cs="Calibri"/>
          <w:lang w:val="en-GB"/>
        </w:rPr>
        <w:t xml:space="preserve">, 2013, </w:t>
      </w:r>
      <w:r w:rsidRPr="0047272A">
        <w:rPr>
          <w:rFonts w:ascii="Calibri" w:hAnsi="Calibri" w:cs="Calibri"/>
          <w:b/>
          <w:bCs/>
          <w:lang w:val="en-GB"/>
        </w:rPr>
        <w:t>3</w:t>
      </w:r>
      <w:r w:rsidRPr="0047272A">
        <w:rPr>
          <w:rFonts w:ascii="Calibri" w:hAnsi="Calibri" w:cs="Calibri"/>
          <w:lang w:val="en-GB"/>
        </w:rPr>
        <w:t>, 3343–3352.</w:t>
      </w:r>
    </w:p>
    <w:p w14:paraId="42FC416D"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F. Ausfelder, E. O. Herrman and L. F. López González, </w:t>
      </w:r>
      <w:r w:rsidRPr="0047272A">
        <w:rPr>
          <w:rFonts w:ascii="Calibri" w:hAnsi="Calibri" w:cs="Calibri"/>
          <w:i/>
          <w:iCs/>
          <w:lang w:val="en-GB"/>
        </w:rPr>
        <w:t>Technology options for CO</w:t>
      </w:r>
      <w:r w:rsidRPr="00777C05">
        <w:rPr>
          <w:rFonts w:ascii="Calibri" w:hAnsi="Calibri" w:cs="Calibri"/>
          <w:i/>
          <w:iCs/>
          <w:vertAlign w:val="subscript"/>
          <w:lang w:val="en-GB"/>
        </w:rPr>
        <w:t>2</w:t>
      </w:r>
      <w:r w:rsidRPr="0047272A">
        <w:rPr>
          <w:rFonts w:ascii="Calibri" w:hAnsi="Calibri" w:cs="Calibri"/>
          <w:i/>
          <w:iCs/>
          <w:lang w:val="en-GB"/>
        </w:rPr>
        <w:t>-emission reduction of hydrogen feedstock in ammonia production</w:t>
      </w:r>
      <w:r w:rsidRPr="0047272A">
        <w:rPr>
          <w:rFonts w:ascii="Calibri" w:hAnsi="Calibri" w:cs="Calibri"/>
          <w:lang w:val="en-GB"/>
        </w:rPr>
        <w:t>, DECHEMA Gesellschaft für Chemische Technik und Biotechnologie e.V, 2022.</w:t>
      </w:r>
    </w:p>
    <w:p w14:paraId="6266D4FA"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K. Smart, </w:t>
      </w:r>
      <w:r w:rsidRPr="0047272A">
        <w:rPr>
          <w:rFonts w:ascii="Calibri" w:hAnsi="Calibri" w:cs="Calibri"/>
          <w:i/>
          <w:iCs/>
          <w:lang w:val="en-GB"/>
        </w:rPr>
        <w:t>Johnson Matthey Technol. Rev.</w:t>
      </w:r>
      <w:r w:rsidRPr="0047272A">
        <w:rPr>
          <w:rFonts w:ascii="Calibri" w:hAnsi="Calibri" w:cs="Calibri"/>
          <w:lang w:val="en-GB"/>
        </w:rPr>
        <w:t xml:space="preserve">, 2022, </w:t>
      </w:r>
      <w:r w:rsidRPr="0047272A">
        <w:rPr>
          <w:rFonts w:ascii="Calibri" w:hAnsi="Calibri" w:cs="Calibri"/>
          <w:b/>
          <w:bCs/>
          <w:lang w:val="en-GB"/>
        </w:rPr>
        <w:t>66</w:t>
      </w:r>
      <w:r w:rsidRPr="0047272A">
        <w:rPr>
          <w:rFonts w:ascii="Calibri" w:hAnsi="Calibri" w:cs="Calibri"/>
          <w:lang w:val="en-GB"/>
        </w:rPr>
        <w:t>, 230–244.</w:t>
      </w:r>
    </w:p>
    <w:p w14:paraId="1E05679E"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IEA, </w:t>
      </w:r>
      <w:r w:rsidRPr="0047272A">
        <w:rPr>
          <w:rFonts w:ascii="Calibri" w:hAnsi="Calibri" w:cs="Calibri"/>
          <w:i/>
          <w:iCs/>
          <w:lang w:val="en-GB"/>
        </w:rPr>
        <w:t>Technology Roadmap Energy and GHG Reductions in the Chemical Industry via Catalytic Processes</w:t>
      </w:r>
      <w:r w:rsidRPr="0047272A">
        <w:rPr>
          <w:rFonts w:ascii="Calibri" w:hAnsi="Calibri" w:cs="Calibri"/>
          <w:lang w:val="en-GB"/>
        </w:rPr>
        <w:t>, International Energy Agency, 2013.</w:t>
      </w:r>
    </w:p>
    <w:p w14:paraId="5064E859"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J. Huo, Z. Wang, C. Oberschelp, G. Guillén-Gosálbez and S. Hellweg, </w:t>
      </w:r>
      <w:r w:rsidRPr="0047272A">
        <w:rPr>
          <w:rFonts w:ascii="Calibri" w:hAnsi="Calibri" w:cs="Calibri"/>
          <w:i/>
          <w:iCs/>
          <w:lang w:val="en-GB"/>
        </w:rPr>
        <w:t>Green Chem.</w:t>
      </w:r>
      <w:r w:rsidRPr="0047272A">
        <w:rPr>
          <w:rFonts w:ascii="Calibri" w:hAnsi="Calibri" w:cs="Calibri"/>
          <w:lang w:val="en-GB"/>
        </w:rPr>
        <w:t xml:space="preserve">, 2023, </w:t>
      </w:r>
      <w:r w:rsidRPr="0047272A">
        <w:rPr>
          <w:rFonts w:ascii="Calibri" w:hAnsi="Calibri" w:cs="Calibri"/>
          <w:b/>
          <w:bCs/>
          <w:lang w:val="en-GB"/>
        </w:rPr>
        <w:t>25</w:t>
      </w:r>
      <w:r w:rsidRPr="0047272A">
        <w:rPr>
          <w:rFonts w:ascii="Calibri" w:hAnsi="Calibri" w:cs="Calibri"/>
          <w:lang w:val="en-GB"/>
        </w:rPr>
        <w:t>, 415–430.</w:t>
      </w:r>
    </w:p>
    <w:p w14:paraId="4A3270E7"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S. C. D’Angelo, S. Cobo, V. Tulus, A. Nabera, A. J. Martín, J. Pérez-Ramírez and G. Guillén-Gosálbez, </w:t>
      </w:r>
      <w:r w:rsidRPr="0047272A">
        <w:rPr>
          <w:rFonts w:ascii="Calibri" w:hAnsi="Calibri" w:cs="Calibri"/>
          <w:i/>
          <w:iCs/>
          <w:lang w:val="en-GB"/>
        </w:rPr>
        <w:t>ACS Sustain. Chem. Eng.</w:t>
      </w:r>
      <w:r w:rsidRPr="0047272A">
        <w:rPr>
          <w:rFonts w:ascii="Calibri" w:hAnsi="Calibri" w:cs="Calibri"/>
          <w:lang w:val="en-GB"/>
        </w:rPr>
        <w:t xml:space="preserve">, 2021, </w:t>
      </w:r>
      <w:r w:rsidRPr="0047272A">
        <w:rPr>
          <w:rFonts w:ascii="Calibri" w:hAnsi="Calibri" w:cs="Calibri"/>
          <w:b/>
          <w:bCs/>
          <w:lang w:val="en-GB"/>
        </w:rPr>
        <w:t>9</w:t>
      </w:r>
      <w:r w:rsidRPr="0047272A">
        <w:rPr>
          <w:rFonts w:ascii="Calibri" w:hAnsi="Calibri" w:cs="Calibri"/>
          <w:lang w:val="en-GB"/>
        </w:rPr>
        <w:t>, 9740–9749.</w:t>
      </w:r>
    </w:p>
    <w:p w14:paraId="0C222E34"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Á. Galán-Martín, V. Tulus, I. Díaz, C. Pozo, J. Pérez-Ramírez and G. Guillén-Gosálbez, </w:t>
      </w:r>
      <w:r w:rsidRPr="0047272A">
        <w:rPr>
          <w:rFonts w:ascii="Calibri" w:hAnsi="Calibri" w:cs="Calibri"/>
          <w:i/>
          <w:iCs/>
          <w:lang w:val="en-GB"/>
        </w:rPr>
        <w:t>One Earth</w:t>
      </w:r>
      <w:r w:rsidRPr="0047272A">
        <w:rPr>
          <w:rFonts w:ascii="Calibri" w:hAnsi="Calibri" w:cs="Calibri"/>
          <w:lang w:val="en-GB"/>
        </w:rPr>
        <w:t xml:space="preserve">, 2021, </w:t>
      </w:r>
      <w:r w:rsidRPr="0047272A">
        <w:rPr>
          <w:rFonts w:ascii="Calibri" w:hAnsi="Calibri" w:cs="Calibri"/>
          <w:b/>
          <w:bCs/>
          <w:lang w:val="en-GB"/>
        </w:rPr>
        <w:t>4</w:t>
      </w:r>
      <w:r w:rsidRPr="0047272A">
        <w:rPr>
          <w:rFonts w:ascii="Calibri" w:hAnsi="Calibri" w:cs="Calibri"/>
          <w:lang w:val="en-GB"/>
        </w:rPr>
        <w:t>, 565–583.</w:t>
      </w:r>
    </w:p>
    <w:p w14:paraId="16534407"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I. Ioannou, Á. Galán-Martín, J. Pérez-Ramírez and G. Guillén-Gosálbez, </w:t>
      </w:r>
      <w:r w:rsidRPr="0047272A">
        <w:rPr>
          <w:rFonts w:ascii="Calibri" w:hAnsi="Calibri" w:cs="Calibri"/>
          <w:i/>
          <w:iCs/>
          <w:lang w:val="en-GB"/>
        </w:rPr>
        <w:t>Energy Environ. Sci.</w:t>
      </w:r>
      <w:r w:rsidRPr="0047272A">
        <w:rPr>
          <w:rFonts w:ascii="Calibri" w:hAnsi="Calibri" w:cs="Calibri"/>
          <w:lang w:val="en-GB"/>
        </w:rPr>
        <w:t xml:space="preserve">, 2023, </w:t>
      </w:r>
      <w:r w:rsidRPr="0047272A">
        <w:rPr>
          <w:rFonts w:ascii="Calibri" w:hAnsi="Calibri" w:cs="Calibri"/>
          <w:b/>
          <w:bCs/>
          <w:lang w:val="en-GB"/>
        </w:rPr>
        <w:t>16</w:t>
      </w:r>
      <w:r w:rsidRPr="0047272A">
        <w:rPr>
          <w:rFonts w:ascii="Calibri" w:hAnsi="Calibri" w:cs="Calibri"/>
          <w:lang w:val="en-GB"/>
        </w:rPr>
        <w:t>, 113–124.</w:t>
      </w:r>
    </w:p>
    <w:p w14:paraId="136590CB"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A. Kätelhön, R. Meys, S. Deutz, S. Suh and A. Bardow, </w:t>
      </w:r>
      <w:r w:rsidRPr="0047272A">
        <w:rPr>
          <w:rFonts w:ascii="Calibri" w:hAnsi="Calibri" w:cs="Calibri"/>
          <w:i/>
          <w:iCs/>
          <w:lang w:val="en-GB"/>
        </w:rPr>
        <w:t>Proc. Natl. Acad. Sci. U.S.A.</w:t>
      </w:r>
      <w:r w:rsidRPr="0047272A">
        <w:rPr>
          <w:rFonts w:ascii="Calibri" w:hAnsi="Calibri" w:cs="Calibri"/>
          <w:lang w:val="en-GB"/>
        </w:rPr>
        <w:t xml:space="preserve">, 2019, </w:t>
      </w:r>
      <w:r w:rsidRPr="0047272A">
        <w:rPr>
          <w:rFonts w:ascii="Calibri" w:hAnsi="Calibri" w:cs="Calibri"/>
          <w:b/>
          <w:bCs/>
          <w:lang w:val="en-GB"/>
        </w:rPr>
        <w:t>116</w:t>
      </w:r>
      <w:r w:rsidRPr="0047272A">
        <w:rPr>
          <w:rFonts w:ascii="Calibri" w:hAnsi="Calibri" w:cs="Calibri"/>
          <w:lang w:val="en-GB"/>
        </w:rPr>
        <w:t>, 11187–11194.</w:t>
      </w:r>
    </w:p>
    <w:p w14:paraId="3A7083D4"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lastRenderedPageBreak/>
        <w:t xml:space="preserve">C. Hepburn, E. Adlen, J. Beddington, E. A. Carter, S. Fuss, N. Mac Dowell, J. C. Minx, P. Smith and C. K. Williams, </w:t>
      </w:r>
      <w:r w:rsidRPr="0047272A">
        <w:rPr>
          <w:rFonts w:ascii="Calibri" w:hAnsi="Calibri" w:cs="Calibri"/>
          <w:i/>
          <w:iCs/>
          <w:lang w:val="en-GB"/>
        </w:rPr>
        <w:t>Nature</w:t>
      </w:r>
      <w:r w:rsidRPr="0047272A">
        <w:rPr>
          <w:rFonts w:ascii="Calibri" w:hAnsi="Calibri" w:cs="Calibri"/>
          <w:lang w:val="en-GB"/>
        </w:rPr>
        <w:t xml:space="preserve">, 2019, </w:t>
      </w:r>
      <w:r w:rsidRPr="0047272A">
        <w:rPr>
          <w:rFonts w:ascii="Calibri" w:hAnsi="Calibri" w:cs="Calibri"/>
          <w:b/>
          <w:bCs/>
          <w:lang w:val="en-GB"/>
        </w:rPr>
        <w:t>575</w:t>
      </w:r>
      <w:r w:rsidRPr="0047272A">
        <w:rPr>
          <w:rFonts w:ascii="Calibri" w:hAnsi="Calibri" w:cs="Calibri"/>
          <w:lang w:val="en-GB"/>
        </w:rPr>
        <w:t>, 87–97.</w:t>
      </w:r>
    </w:p>
    <w:p w14:paraId="097E2BD1"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A. González-Garay, M. S. Frei, A. Al-Qahtani, C. Mondelli, G. Guillén-Gosálbez and J. Pérez-Ramírez, </w:t>
      </w:r>
      <w:r w:rsidRPr="0047272A">
        <w:rPr>
          <w:rFonts w:ascii="Calibri" w:hAnsi="Calibri" w:cs="Calibri"/>
          <w:i/>
          <w:iCs/>
          <w:lang w:val="en-GB"/>
        </w:rPr>
        <w:t>Energy Environ. Sci.</w:t>
      </w:r>
      <w:r w:rsidRPr="0047272A">
        <w:rPr>
          <w:rFonts w:ascii="Calibri" w:hAnsi="Calibri" w:cs="Calibri"/>
          <w:lang w:val="en-GB"/>
        </w:rPr>
        <w:t xml:space="preserve">, 2019, </w:t>
      </w:r>
      <w:r w:rsidRPr="0047272A">
        <w:rPr>
          <w:rFonts w:ascii="Calibri" w:hAnsi="Calibri" w:cs="Calibri"/>
          <w:b/>
          <w:bCs/>
          <w:lang w:val="en-GB"/>
        </w:rPr>
        <w:t>12</w:t>
      </w:r>
      <w:r w:rsidRPr="0047272A">
        <w:rPr>
          <w:rFonts w:ascii="Calibri" w:hAnsi="Calibri" w:cs="Calibri"/>
          <w:lang w:val="en-GB"/>
        </w:rPr>
        <w:t>, 3425–3436.</w:t>
      </w:r>
    </w:p>
    <w:p w14:paraId="4863B58F"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A. Boulamanti and J. A. Moya, </w:t>
      </w:r>
      <w:r w:rsidRPr="0047272A">
        <w:rPr>
          <w:rFonts w:ascii="Calibri" w:hAnsi="Calibri" w:cs="Calibri"/>
          <w:i/>
          <w:iCs/>
          <w:lang w:val="en-GB"/>
        </w:rPr>
        <w:t>Renew. Sust. Energ. Rev.</w:t>
      </w:r>
      <w:r w:rsidRPr="0047272A">
        <w:rPr>
          <w:rFonts w:ascii="Calibri" w:hAnsi="Calibri" w:cs="Calibri"/>
          <w:lang w:val="en-GB"/>
        </w:rPr>
        <w:t xml:space="preserve">, 2017, </w:t>
      </w:r>
      <w:r w:rsidRPr="0047272A">
        <w:rPr>
          <w:rFonts w:ascii="Calibri" w:hAnsi="Calibri" w:cs="Calibri"/>
          <w:b/>
          <w:bCs/>
          <w:lang w:val="en-GB"/>
        </w:rPr>
        <w:t>68</w:t>
      </w:r>
      <w:r w:rsidRPr="0047272A">
        <w:rPr>
          <w:rFonts w:ascii="Calibri" w:hAnsi="Calibri" w:cs="Calibri"/>
          <w:lang w:val="en-GB"/>
        </w:rPr>
        <w:t>, 1205–1212.</w:t>
      </w:r>
    </w:p>
    <w:p w14:paraId="3439177A"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The World Bank, </w:t>
      </w:r>
      <w:r w:rsidRPr="0047272A">
        <w:rPr>
          <w:rFonts w:ascii="Calibri" w:hAnsi="Calibri" w:cs="Calibri"/>
          <w:i/>
          <w:iCs/>
          <w:lang w:val="en-GB"/>
        </w:rPr>
        <w:t>Commodity Markets Outlook: The Impact of the War in Ukraine on Commodity Markets</w:t>
      </w:r>
      <w:r w:rsidRPr="0047272A">
        <w:rPr>
          <w:rFonts w:ascii="Calibri" w:hAnsi="Calibri" w:cs="Calibri"/>
          <w:lang w:val="en-GB"/>
        </w:rPr>
        <w:t>, The World Bank Group, Washington DC, 2022.</w:t>
      </w:r>
    </w:p>
    <w:p w14:paraId="0D4665B6"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A. de Sousa, S. Gebre and S. Treloar, Europe’s Widening Fertilizer Crisis Threatens Food Supplies, https://www.bloomberg.com/news/articles/2022-08-25/yara-to-further-cut-european-ammonia-production-due-to-gas-spike, (accessed December 9, 2022).</w:t>
      </w:r>
    </w:p>
    <w:p w14:paraId="60B8A80B"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J. Lopez, EPCA ’22, https://www.icis.com/explore/resources/news/2022/10/04/10811649/epca-22-european-shut-ammonia-production-unlikely-to-return-analyst, (accessed December 9, 2022).</w:t>
      </w:r>
    </w:p>
    <w:p w14:paraId="27139F4A"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cefic, </w:t>
      </w:r>
      <w:r w:rsidRPr="0047272A">
        <w:rPr>
          <w:rFonts w:ascii="Calibri" w:hAnsi="Calibri" w:cs="Calibri"/>
          <w:i/>
          <w:iCs/>
          <w:lang w:val="en-GB"/>
        </w:rPr>
        <w:t>The European Chemical Industry - Facts &amp; Figures 2022</w:t>
      </w:r>
      <w:r w:rsidRPr="0047272A">
        <w:rPr>
          <w:rFonts w:ascii="Calibri" w:hAnsi="Calibri" w:cs="Calibri"/>
          <w:lang w:val="en-GB"/>
        </w:rPr>
        <w:t>, European Chemical Industry Council, 2022.</w:t>
      </w:r>
    </w:p>
    <w:p w14:paraId="36D2A5F0" w14:textId="77777777" w:rsidR="008A3579" w:rsidRPr="0047272A" w:rsidRDefault="008A3579" w:rsidP="008A3579">
      <w:pPr>
        <w:pStyle w:val="Bibliography"/>
        <w:numPr>
          <w:ilvl w:val="0"/>
          <w:numId w:val="1"/>
        </w:numPr>
        <w:spacing w:after="0"/>
        <w:ind w:left="360"/>
        <w:jc w:val="both"/>
        <w:rPr>
          <w:rFonts w:ascii="Calibri" w:hAnsi="Calibri" w:cs="Calibri"/>
          <w:lang w:val="en-GB"/>
        </w:rPr>
      </w:pPr>
      <w:r w:rsidRPr="0047272A">
        <w:rPr>
          <w:rFonts w:ascii="Calibri" w:hAnsi="Calibri" w:cs="Calibri"/>
          <w:lang w:val="en-GB"/>
        </w:rPr>
        <w:t xml:space="preserve">IRENA, </w:t>
      </w:r>
      <w:r w:rsidRPr="0047272A">
        <w:rPr>
          <w:rFonts w:ascii="Calibri" w:hAnsi="Calibri" w:cs="Calibri"/>
          <w:i/>
          <w:iCs/>
          <w:lang w:val="en-GB"/>
        </w:rPr>
        <w:t>Making the breakthrough: Green hydrogen policies and technology costs</w:t>
      </w:r>
      <w:r w:rsidRPr="0047272A">
        <w:rPr>
          <w:rFonts w:ascii="Calibri" w:hAnsi="Calibri" w:cs="Calibri"/>
          <w:lang w:val="en-GB"/>
        </w:rPr>
        <w:t>, International Renewable Energy Agency, Abu Dhabi, 2021.</w:t>
      </w:r>
    </w:p>
    <w:p w14:paraId="4A34A9AD"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B. Parkinson, P. Balcombe, J. F. Speirs, A. D. Hawkes and K. Hellgardt, </w:t>
      </w:r>
      <w:r w:rsidRPr="0047272A">
        <w:rPr>
          <w:rFonts w:ascii="Calibri" w:hAnsi="Calibri" w:cs="Calibri"/>
          <w:i/>
          <w:iCs/>
          <w:lang w:val="en-GB"/>
        </w:rPr>
        <w:t>Energy Environ. Sci.</w:t>
      </w:r>
      <w:r w:rsidRPr="0047272A">
        <w:rPr>
          <w:rFonts w:ascii="Calibri" w:hAnsi="Calibri" w:cs="Calibri"/>
          <w:lang w:val="en-GB"/>
        </w:rPr>
        <w:t xml:space="preserve">, 2019, </w:t>
      </w:r>
      <w:r w:rsidRPr="0047272A">
        <w:rPr>
          <w:rFonts w:ascii="Calibri" w:hAnsi="Calibri" w:cs="Calibri"/>
          <w:b/>
          <w:bCs/>
          <w:lang w:val="en-GB"/>
        </w:rPr>
        <w:t>12</w:t>
      </w:r>
      <w:r w:rsidRPr="0047272A">
        <w:rPr>
          <w:rFonts w:ascii="Calibri" w:hAnsi="Calibri" w:cs="Calibri"/>
          <w:lang w:val="en-GB"/>
        </w:rPr>
        <w:t>, 19–40.</w:t>
      </w:r>
    </w:p>
    <w:p w14:paraId="615E223E"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D. W. Keith, G. Holmes, D. St. Angelo and K. Heidel, </w:t>
      </w:r>
      <w:r w:rsidRPr="0047272A">
        <w:rPr>
          <w:rFonts w:ascii="Calibri" w:hAnsi="Calibri" w:cs="Calibri"/>
          <w:i/>
          <w:iCs/>
          <w:lang w:val="en-GB"/>
        </w:rPr>
        <w:t>Joule</w:t>
      </w:r>
      <w:r w:rsidRPr="0047272A">
        <w:rPr>
          <w:rFonts w:ascii="Calibri" w:hAnsi="Calibri" w:cs="Calibri"/>
          <w:lang w:val="en-GB"/>
        </w:rPr>
        <w:t xml:space="preserve">, 2018, </w:t>
      </w:r>
      <w:r w:rsidRPr="0047272A">
        <w:rPr>
          <w:rFonts w:ascii="Calibri" w:hAnsi="Calibri" w:cs="Calibri"/>
          <w:b/>
          <w:bCs/>
          <w:lang w:val="en-GB"/>
        </w:rPr>
        <w:t>2</w:t>
      </w:r>
      <w:r w:rsidRPr="0047272A">
        <w:rPr>
          <w:rFonts w:ascii="Calibri" w:hAnsi="Calibri" w:cs="Calibri"/>
          <w:lang w:val="en-GB"/>
        </w:rPr>
        <w:t>, 1573–1594.</w:t>
      </w:r>
    </w:p>
    <w:p w14:paraId="7354A0E7"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IEA, </w:t>
      </w:r>
      <w:r w:rsidRPr="0047272A">
        <w:rPr>
          <w:rFonts w:ascii="Calibri" w:hAnsi="Calibri" w:cs="Calibri"/>
          <w:i/>
          <w:iCs/>
          <w:lang w:val="en-GB"/>
        </w:rPr>
        <w:t>How to Avoid Gas Shortages in the European Union in 2023</w:t>
      </w:r>
      <w:r w:rsidRPr="0047272A">
        <w:rPr>
          <w:rFonts w:ascii="Calibri" w:hAnsi="Calibri" w:cs="Calibri"/>
          <w:lang w:val="en-GB"/>
        </w:rPr>
        <w:t>, International Energy Agency, 2022.</w:t>
      </w:r>
    </w:p>
    <w:p w14:paraId="10ADABD7"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R. Way, M. C. Ives, P. Mealy and J. D. Farmer, </w:t>
      </w:r>
      <w:r w:rsidRPr="0047272A">
        <w:rPr>
          <w:rFonts w:ascii="Calibri" w:hAnsi="Calibri" w:cs="Calibri"/>
          <w:i/>
          <w:iCs/>
          <w:lang w:val="en-GB"/>
        </w:rPr>
        <w:t>Joule</w:t>
      </w:r>
      <w:r w:rsidRPr="0047272A">
        <w:rPr>
          <w:rFonts w:ascii="Calibri" w:hAnsi="Calibri" w:cs="Calibri"/>
          <w:lang w:val="en-GB"/>
        </w:rPr>
        <w:t xml:space="preserve">, 2022, </w:t>
      </w:r>
      <w:r w:rsidRPr="0047272A">
        <w:rPr>
          <w:rFonts w:ascii="Calibri" w:hAnsi="Calibri" w:cs="Calibri"/>
          <w:b/>
          <w:bCs/>
          <w:lang w:val="en-GB"/>
        </w:rPr>
        <w:t>6</w:t>
      </w:r>
      <w:r w:rsidRPr="0047272A">
        <w:rPr>
          <w:rFonts w:ascii="Calibri" w:hAnsi="Calibri" w:cs="Calibri"/>
          <w:lang w:val="en-GB"/>
        </w:rPr>
        <w:t>, 2057–2082.</w:t>
      </w:r>
    </w:p>
    <w:p w14:paraId="71A61C90"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T. N. Do, C. You and J. Kim, </w:t>
      </w:r>
      <w:r w:rsidRPr="0047272A">
        <w:rPr>
          <w:rFonts w:ascii="Calibri" w:hAnsi="Calibri" w:cs="Calibri"/>
          <w:i/>
          <w:iCs/>
          <w:lang w:val="en-GB"/>
        </w:rPr>
        <w:t>Energy Environ. Sci.</w:t>
      </w:r>
      <w:r w:rsidRPr="0047272A">
        <w:rPr>
          <w:rFonts w:ascii="Calibri" w:hAnsi="Calibri" w:cs="Calibri"/>
          <w:lang w:val="en-GB"/>
        </w:rPr>
        <w:t xml:space="preserve">, 2022, </w:t>
      </w:r>
      <w:r w:rsidRPr="0047272A">
        <w:rPr>
          <w:rFonts w:ascii="Calibri" w:hAnsi="Calibri" w:cs="Calibri"/>
          <w:b/>
          <w:bCs/>
          <w:lang w:val="en-GB"/>
        </w:rPr>
        <w:t>15</w:t>
      </w:r>
      <w:r w:rsidRPr="0047272A">
        <w:rPr>
          <w:rFonts w:ascii="Calibri" w:hAnsi="Calibri" w:cs="Calibri"/>
          <w:lang w:val="en-GB"/>
        </w:rPr>
        <w:t>, 169–184.</w:t>
      </w:r>
    </w:p>
    <w:p w14:paraId="0CA2A8C4"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European Commission, </w:t>
      </w:r>
      <w:r w:rsidRPr="0047272A">
        <w:rPr>
          <w:rFonts w:ascii="Calibri" w:hAnsi="Calibri" w:cs="Calibri"/>
          <w:i/>
          <w:iCs/>
          <w:lang w:val="en-GB"/>
        </w:rPr>
        <w:t>“Fit for 55”: delivering the EU’s 2030 Climate Target on the way to climate neutrality</w:t>
      </w:r>
      <w:r w:rsidRPr="0047272A">
        <w:rPr>
          <w:rFonts w:ascii="Calibri" w:hAnsi="Calibri" w:cs="Calibri"/>
          <w:lang w:val="en-GB"/>
        </w:rPr>
        <w:t>, COM (2021) 550 final, Brussels, 2021.</w:t>
      </w:r>
    </w:p>
    <w:p w14:paraId="573122C5"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L. Klaaßen and B. Steffen, </w:t>
      </w:r>
      <w:r w:rsidRPr="0047272A">
        <w:rPr>
          <w:rFonts w:ascii="Calibri" w:hAnsi="Calibri" w:cs="Calibri"/>
          <w:i/>
          <w:iCs/>
          <w:lang w:val="en-GB"/>
        </w:rPr>
        <w:t>Nat. Clim. Chang.</w:t>
      </w:r>
      <w:r w:rsidRPr="0047272A">
        <w:rPr>
          <w:rFonts w:ascii="Calibri" w:hAnsi="Calibri" w:cs="Calibri"/>
          <w:lang w:val="en-GB"/>
        </w:rPr>
        <w:t xml:space="preserve">, 2023, </w:t>
      </w:r>
      <w:r w:rsidRPr="0047272A">
        <w:rPr>
          <w:rFonts w:ascii="Calibri" w:hAnsi="Calibri" w:cs="Calibri"/>
          <w:b/>
          <w:bCs/>
          <w:lang w:val="en-GB"/>
        </w:rPr>
        <w:t>13</w:t>
      </w:r>
      <w:r w:rsidRPr="0047272A">
        <w:rPr>
          <w:rFonts w:ascii="Calibri" w:hAnsi="Calibri" w:cs="Calibri"/>
          <w:lang w:val="en-GB"/>
        </w:rPr>
        <w:t>, 58–66.</w:t>
      </w:r>
    </w:p>
    <w:p w14:paraId="130FC8EB" w14:textId="058AAE83"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A. J. Shih, M. C. O. Monteiro, F. Dattila, D. Pavesi, M. Philips, A. H. M. da Silva, R. E. Vos, K. Ojha, S. Park, O. van der Heijden, G. Marcandalli, A. Goyal, M. Villalba, X. Chen, G. T. K. K. Gunasooriya, I. McCrum, R. Mom, N. López and M. T. M. Koper, </w:t>
      </w:r>
      <w:r w:rsidRPr="0047272A">
        <w:rPr>
          <w:rFonts w:ascii="Calibri" w:hAnsi="Calibri" w:cs="Calibri"/>
          <w:i/>
          <w:iCs/>
          <w:lang w:val="en-GB"/>
        </w:rPr>
        <w:t>Nat. Rev. Methods Prim</w:t>
      </w:r>
      <w:r w:rsidR="00105BA1">
        <w:rPr>
          <w:rFonts w:ascii="Calibri" w:hAnsi="Calibri" w:cs="Calibri"/>
          <w:i/>
          <w:iCs/>
          <w:lang w:val="en-GB"/>
        </w:rPr>
        <w:t>.</w:t>
      </w:r>
      <w:r w:rsidRPr="0047272A">
        <w:rPr>
          <w:rFonts w:ascii="Calibri" w:hAnsi="Calibri" w:cs="Calibri"/>
          <w:lang w:val="en-GB"/>
        </w:rPr>
        <w:t xml:space="preserve">, 2022, </w:t>
      </w:r>
      <w:r w:rsidRPr="0047272A">
        <w:rPr>
          <w:rFonts w:ascii="Calibri" w:hAnsi="Calibri" w:cs="Calibri"/>
          <w:b/>
          <w:bCs/>
          <w:lang w:val="en-GB"/>
        </w:rPr>
        <w:t>2</w:t>
      </w:r>
      <w:r w:rsidRPr="0047272A">
        <w:rPr>
          <w:rFonts w:ascii="Calibri" w:hAnsi="Calibri" w:cs="Calibri"/>
          <w:lang w:val="en-GB"/>
        </w:rPr>
        <w:t>, 1–19.</w:t>
      </w:r>
    </w:p>
    <w:p w14:paraId="5F9BA1AE"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M. Chatenet, B. G. Pollet, D. R. Dekel, F. Dionigi, J. Deseure, P. Millet, R. D. Braatz, M. Z. Bazant, M. Eikerling, I. Staffell, P. Balcombe, Y. Shao-Horn and H. Schäfer, </w:t>
      </w:r>
      <w:r w:rsidRPr="0047272A">
        <w:rPr>
          <w:rFonts w:ascii="Calibri" w:hAnsi="Calibri" w:cs="Calibri"/>
          <w:i/>
          <w:iCs/>
          <w:lang w:val="en-GB"/>
        </w:rPr>
        <w:t>Chem. Soc. Rev.</w:t>
      </w:r>
      <w:r w:rsidRPr="0047272A">
        <w:rPr>
          <w:rFonts w:ascii="Calibri" w:hAnsi="Calibri" w:cs="Calibri"/>
          <w:lang w:val="en-GB"/>
        </w:rPr>
        <w:t xml:space="preserve">, 2022, </w:t>
      </w:r>
      <w:r w:rsidRPr="0047272A">
        <w:rPr>
          <w:rFonts w:ascii="Calibri" w:hAnsi="Calibri" w:cs="Calibri"/>
          <w:b/>
          <w:bCs/>
          <w:lang w:val="en-GB"/>
        </w:rPr>
        <w:t>51</w:t>
      </w:r>
      <w:r w:rsidRPr="0047272A">
        <w:rPr>
          <w:rFonts w:ascii="Calibri" w:hAnsi="Calibri" w:cs="Calibri"/>
          <w:lang w:val="en-GB"/>
        </w:rPr>
        <w:t>, 4583–4762.</w:t>
      </w:r>
    </w:p>
    <w:p w14:paraId="709686E5"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A. J. Martín and J. Pérez-Ramírez, </w:t>
      </w:r>
      <w:r w:rsidRPr="0047272A">
        <w:rPr>
          <w:rFonts w:ascii="Calibri" w:hAnsi="Calibri" w:cs="Calibri"/>
          <w:i/>
          <w:iCs/>
          <w:lang w:val="en-GB"/>
        </w:rPr>
        <w:t>Joule</w:t>
      </w:r>
      <w:r w:rsidRPr="0047272A">
        <w:rPr>
          <w:rFonts w:ascii="Calibri" w:hAnsi="Calibri" w:cs="Calibri"/>
          <w:lang w:val="en-GB"/>
        </w:rPr>
        <w:t xml:space="preserve">, 2019, </w:t>
      </w:r>
      <w:r w:rsidRPr="0047272A">
        <w:rPr>
          <w:rFonts w:ascii="Calibri" w:hAnsi="Calibri" w:cs="Calibri"/>
          <w:b/>
          <w:bCs/>
          <w:lang w:val="en-GB"/>
        </w:rPr>
        <w:t>3</w:t>
      </w:r>
      <w:r w:rsidRPr="0047272A">
        <w:rPr>
          <w:rFonts w:ascii="Calibri" w:hAnsi="Calibri" w:cs="Calibri"/>
          <w:lang w:val="en-GB"/>
        </w:rPr>
        <w:t>, 2602–2621.</w:t>
      </w:r>
    </w:p>
    <w:p w14:paraId="59C1F49A" w14:textId="4B3E341E"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O. Martin, A. J. Martín, C. Mondelli, S. Mitchell, T. F. Segawa, R. Hauert, C. Drouilly, D. Curulla-Ferré and J. Pérez-Ramírez, </w:t>
      </w:r>
      <w:r w:rsidRPr="0047272A">
        <w:rPr>
          <w:rFonts w:ascii="Calibri" w:hAnsi="Calibri" w:cs="Calibri"/>
          <w:i/>
          <w:iCs/>
          <w:lang w:val="en-GB"/>
        </w:rPr>
        <w:t>Angew. Chem., Int. Ed.</w:t>
      </w:r>
      <w:r w:rsidRPr="0047272A">
        <w:rPr>
          <w:rFonts w:ascii="Calibri" w:hAnsi="Calibri" w:cs="Calibri"/>
          <w:lang w:val="en-GB"/>
        </w:rPr>
        <w:t xml:space="preserve">, 2016, </w:t>
      </w:r>
      <w:r w:rsidRPr="0047272A">
        <w:rPr>
          <w:rFonts w:ascii="Calibri" w:hAnsi="Calibri" w:cs="Calibri"/>
          <w:b/>
          <w:bCs/>
          <w:lang w:val="en-GB"/>
        </w:rPr>
        <w:t>55</w:t>
      </w:r>
      <w:r w:rsidRPr="0047272A">
        <w:rPr>
          <w:rFonts w:ascii="Calibri" w:hAnsi="Calibri" w:cs="Calibri"/>
          <w:lang w:val="en-GB"/>
        </w:rPr>
        <w:t>, 6261–6265.</w:t>
      </w:r>
    </w:p>
    <w:p w14:paraId="00D1AA11"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T. Pinheiro Araújo, C. Mondelli, M. Agrachev, T. Zou, P. O. Willi, K. M. Engel, R. N. Grass, W. J. Stark, O. V. Safonova, G. Jeschke, S. Mitchell and J. Pérez-Ramírez, </w:t>
      </w:r>
      <w:r w:rsidRPr="0047272A">
        <w:rPr>
          <w:rFonts w:ascii="Calibri" w:hAnsi="Calibri" w:cs="Calibri"/>
          <w:i/>
          <w:iCs/>
          <w:lang w:val="en-GB"/>
        </w:rPr>
        <w:t>Nat. Commun.</w:t>
      </w:r>
      <w:r w:rsidRPr="0047272A">
        <w:rPr>
          <w:rFonts w:ascii="Calibri" w:hAnsi="Calibri" w:cs="Calibri"/>
          <w:lang w:val="en-GB"/>
        </w:rPr>
        <w:t xml:space="preserve">, 2022, </w:t>
      </w:r>
      <w:r w:rsidRPr="0047272A">
        <w:rPr>
          <w:rFonts w:ascii="Calibri" w:hAnsi="Calibri" w:cs="Calibri"/>
          <w:b/>
          <w:bCs/>
          <w:lang w:val="en-GB"/>
        </w:rPr>
        <w:t>13</w:t>
      </w:r>
      <w:r w:rsidRPr="0047272A">
        <w:rPr>
          <w:rFonts w:ascii="Calibri" w:hAnsi="Calibri" w:cs="Calibri"/>
          <w:lang w:val="en-GB"/>
        </w:rPr>
        <w:t>, 5610.</w:t>
      </w:r>
    </w:p>
    <w:p w14:paraId="0675F3CB"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J. Wang, G. Li, Z. Li, C. Tang, Z. Feng, H. An, H. Liu, T. Liu and C. Li, </w:t>
      </w:r>
      <w:r w:rsidRPr="0047272A">
        <w:rPr>
          <w:rFonts w:ascii="Calibri" w:hAnsi="Calibri" w:cs="Calibri"/>
          <w:i/>
          <w:iCs/>
          <w:lang w:val="en-GB"/>
        </w:rPr>
        <w:t>Sci. Adv.</w:t>
      </w:r>
      <w:r w:rsidRPr="0047272A">
        <w:rPr>
          <w:rFonts w:ascii="Calibri" w:hAnsi="Calibri" w:cs="Calibri"/>
          <w:lang w:val="en-GB"/>
        </w:rPr>
        <w:t xml:space="preserve">, 2017, </w:t>
      </w:r>
      <w:r w:rsidRPr="0047272A">
        <w:rPr>
          <w:rFonts w:ascii="Calibri" w:hAnsi="Calibri" w:cs="Calibri"/>
          <w:b/>
          <w:bCs/>
          <w:lang w:val="en-GB"/>
        </w:rPr>
        <w:t>3</w:t>
      </w:r>
      <w:r w:rsidRPr="0047272A">
        <w:rPr>
          <w:rFonts w:ascii="Calibri" w:hAnsi="Calibri" w:cs="Calibri"/>
          <w:lang w:val="en-GB"/>
        </w:rPr>
        <w:t>, e1701290.</w:t>
      </w:r>
    </w:p>
    <w:p w14:paraId="76166D43"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T. Pinheiro Araújo, J. Morales-Vidal, T. Zou, R. García-Muelas, P. O. Willi, K. M. Engel, O. V. Safonova, D. Faust Akl, F. Krumeich, R. N. Grass, C. Mondelli, N. López and J. Pérez-Ramírez, </w:t>
      </w:r>
      <w:r w:rsidRPr="0047272A">
        <w:rPr>
          <w:rFonts w:ascii="Calibri" w:hAnsi="Calibri" w:cs="Calibri"/>
          <w:i/>
          <w:iCs/>
          <w:lang w:val="en-GB"/>
        </w:rPr>
        <w:t>Adv. Energy Mater.</w:t>
      </w:r>
      <w:r w:rsidRPr="0047272A">
        <w:rPr>
          <w:rFonts w:ascii="Calibri" w:hAnsi="Calibri" w:cs="Calibri"/>
          <w:lang w:val="en-GB"/>
        </w:rPr>
        <w:t xml:space="preserve">, 2022, </w:t>
      </w:r>
      <w:r w:rsidRPr="0047272A">
        <w:rPr>
          <w:rFonts w:ascii="Calibri" w:hAnsi="Calibri" w:cs="Calibri"/>
          <w:b/>
          <w:bCs/>
          <w:lang w:val="en-GB"/>
        </w:rPr>
        <w:t>12</w:t>
      </w:r>
      <w:r w:rsidRPr="0047272A">
        <w:rPr>
          <w:rFonts w:ascii="Calibri" w:hAnsi="Calibri" w:cs="Calibri"/>
          <w:lang w:val="en-GB"/>
        </w:rPr>
        <w:t>, 2270056.</w:t>
      </w:r>
    </w:p>
    <w:p w14:paraId="556AA9B8"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S. Nitopi, E. Bertheussen, S. B. Scott, X. Liu, A. K. Engstfeld, S. Horch, B. Seger, I. E. L. Stephens, K. Chan, C. Hahn, J. K. Nørskov, T. F. Jaramillo and I. Chorkendorff, </w:t>
      </w:r>
      <w:r w:rsidRPr="0047272A">
        <w:rPr>
          <w:rFonts w:ascii="Calibri" w:hAnsi="Calibri" w:cs="Calibri"/>
          <w:i/>
          <w:iCs/>
          <w:lang w:val="en-GB"/>
        </w:rPr>
        <w:t>Chem. Rev.</w:t>
      </w:r>
      <w:r w:rsidRPr="0047272A">
        <w:rPr>
          <w:rFonts w:ascii="Calibri" w:hAnsi="Calibri" w:cs="Calibri"/>
          <w:lang w:val="en-GB"/>
        </w:rPr>
        <w:t xml:space="preserve">, 2019, </w:t>
      </w:r>
      <w:r w:rsidRPr="0047272A">
        <w:rPr>
          <w:rFonts w:ascii="Calibri" w:hAnsi="Calibri" w:cs="Calibri"/>
          <w:b/>
          <w:bCs/>
          <w:lang w:val="en-GB"/>
        </w:rPr>
        <w:t>119</w:t>
      </w:r>
      <w:r w:rsidRPr="0047272A">
        <w:rPr>
          <w:rFonts w:ascii="Calibri" w:hAnsi="Calibri" w:cs="Calibri"/>
          <w:lang w:val="en-GB"/>
        </w:rPr>
        <w:t>, 7610–7672.</w:t>
      </w:r>
    </w:p>
    <w:p w14:paraId="77FDD487"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G. Zhang, T. Wang, M. Zhang, L. Li, D. Cheng, S. Zhen, Y. Wang, J. Qin, Z.-J. Zhao and J. Gong, </w:t>
      </w:r>
      <w:r w:rsidRPr="0047272A">
        <w:rPr>
          <w:rFonts w:ascii="Calibri" w:hAnsi="Calibri" w:cs="Calibri"/>
          <w:i/>
          <w:iCs/>
          <w:lang w:val="en-GB"/>
        </w:rPr>
        <w:t>Nat. Commun.</w:t>
      </w:r>
      <w:r w:rsidRPr="0047272A">
        <w:rPr>
          <w:rFonts w:ascii="Calibri" w:hAnsi="Calibri" w:cs="Calibri"/>
          <w:lang w:val="en-GB"/>
        </w:rPr>
        <w:t xml:space="preserve">, 2022, </w:t>
      </w:r>
      <w:r w:rsidRPr="0047272A">
        <w:rPr>
          <w:rFonts w:ascii="Calibri" w:hAnsi="Calibri" w:cs="Calibri"/>
          <w:b/>
          <w:bCs/>
          <w:lang w:val="en-GB"/>
        </w:rPr>
        <w:t>13</w:t>
      </w:r>
      <w:r w:rsidRPr="0047272A">
        <w:rPr>
          <w:rFonts w:ascii="Calibri" w:hAnsi="Calibri" w:cs="Calibri"/>
          <w:lang w:val="en-GB"/>
        </w:rPr>
        <w:t>, 7768.</w:t>
      </w:r>
    </w:p>
    <w:p w14:paraId="5FCF3354"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ISO 14040:2006, </w:t>
      </w:r>
      <w:r w:rsidRPr="0047272A">
        <w:rPr>
          <w:rFonts w:ascii="Calibri" w:hAnsi="Calibri" w:cs="Calibri"/>
          <w:i/>
          <w:iCs/>
          <w:lang w:val="en-GB"/>
        </w:rPr>
        <w:t>Environmental management — Life cycle assessment — Principles and framework</w:t>
      </w:r>
      <w:r w:rsidRPr="0047272A">
        <w:rPr>
          <w:rFonts w:ascii="Calibri" w:hAnsi="Calibri" w:cs="Calibri"/>
          <w:lang w:val="en-GB"/>
        </w:rPr>
        <w:t>, 2006.</w:t>
      </w:r>
    </w:p>
    <w:p w14:paraId="2AF11A1F"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ISO 14044:2006, </w:t>
      </w:r>
      <w:r w:rsidRPr="0047272A">
        <w:rPr>
          <w:rFonts w:ascii="Calibri" w:hAnsi="Calibri" w:cs="Calibri"/>
          <w:i/>
          <w:iCs/>
          <w:lang w:val="en-GB"/>
        </w:rPr>
        <w:t>Environmental management — Life cycle assessment — Requirements and guidelines</w:t>
      </w:r>
      <w:r w:rsidRPr="0047272A">
        <w:rPr>
          <w:rFonts w:ascii="Calibri" w:hAnsi="Calibri" w:cs="Calibri"/>
          <w:lang w:val="en-GB"/>
        </w:rPr>
        <w:t>, 2006.</w:t>
      </w:r>
    </w:p>
    <w:p w14:paraId="7E83F3B8"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S. Hellweg and L. Milà i Canals, </w:t>
      </w:r>
      <w:r w:rsidRPr="0047272A">
        <w:rPr>
          <w:rFonts w:ascii="Calibri" w:hAnsi="Calibri" w:cs="Calibri"/>
          <w:i/>
          <w:iCs/>
          <w:lang w:val="en-GB"/>
        </w:rPr>
        <w:t>Science</w:t>
      </w:r>
      <w:r w:rsidRPr="0047272A">
        <w:rPr>
          <w:rFonts w:ascii="Calibri" w:hAnsi="Calibri" w:cs="Calibri"/>
          <w:lang w:val="en-GB"/>
        </w:rPr>
        <w:t xml:space="preserve">, 2014, </w:t>
      </w:r>
      <w:r w:rsidRPr="0047272A">
        <w:rPr>
          <w:rFonts w:ascii="Calibri" w:hAnsi="Calibri" w:cs="Calibri"/>
          <w:b/>
          <w:bCs/>
          <w:lang w:val="en-GB"/>
        </w:rPr>
        <w:t>344</w:t>
      </w:r>
      <w:r w:rsidRPr="0047272A">
        <w:rPr>
          <w:rFonts w:ascii="Calibri" w:hAnsi="Calibri" w:cs="Calibri"/>
          <w:lang w:val="en-GB"/>
        </w:rPr>
        <w:t>, 1109–1113.</w:t>
      </w:r>
    </w:p>
    <w:p w14:paraId="2729DF98"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G. Wernet, C. Bauer, B. Steubing, J. Reinhard, E. Moreno-Ruiz and B. Weidema, </w:t>
      </w:r>
      <w:r w:rsidRPr="0047272A">
        <w:rPr>
          <w:rFonts w:ascii="Calibri" w:hAnsi="Calibri" w:cs="Calibri"/>
          <w:i/>
          <w:iCs/>
          <w:lang w:val="en-GB"/>
        </w:rPr>
        <w:t>Int. J. Life Cycle Assess.</w:t>
      </w:r>
      <w:r w:rsidRPr="0047272A">
        <w:rPr>
          <w:rFonts w:ascii="Calibri" w:hAnsi="Calibri" w:cs="Calibri"/>
          <w:lang w:val="en-GB"/>
        </w:rPr>
        <w:t xml:space="preserve">, 2016, </w:t>
      </w:r>
      <w:r w:rsidRPr="0047272A">
        <w:rPr>
          <w:rFonts w:ascii="Calibri" w:hAnsi="Calibri" w:cs="Calibri"/>
          <w:b/>
          <w:bCs/>
          <w:lang w:val="en-GB"/>
        </w:rPr>
        <w:t>21</w:t>
      </w:r>
      <w:r w:rsidRPr="0047272A">
        <w:rPr>
          <w:rFonts w:ascii="Calibri" w:hAnsi="Calibri" w:cs="Calibri"/>
          <w:lang w:val="en-GB"/>
        </w:rPr>
        <w:t>, 1218–1230.</w:t>
      </w:r>
    </w:p>
    <w:p w14:paraId="0C73868A" w14:textId="77777777" w:rsidR="008A3579" w:rsidRPr="0047272A" w:rsidRDefault="008A3579" w:rsidP="008A3579">
      <w:pPr>
        <w:pStyle w:val="Bibliography"/>
        <w:numPr>
          <w:ilvl w:val="0"/>
          <w:numId w:val="1"/>
        </w:numPr>
        <w:spacing w:after="0"/>
        <w:ind w:left="360"/>
        <w:rPr>
          <w:rFonts w:ascii="Calibri" w:hAnsi="Calibri" w:cs="Calibri"/>
          <w:lang w:val="en-GB"/>
        </w:rPr>
      </w:pPr>
      <w:r w:rsidRPr="0047272A">
        <w:rPr>
          <w:rFonts w:ascii="Calibri" w:hAnsi="Calibri" w:cs="Calibri"/>
          <w:lang w:val="en-GB"/>
        </w:rPr>
        <w:t xml:space="preserve">M. A. J. Huijbregts, Z. J. N. Steinmann, P. M. F. Elshout, G. Stam, F. Verones, M. Vieira, M. Zijp, A. Hollander and R. van Zelm, </w:t>
      </w:r>
      <w:r w:rsidRPr="0047272A">
        <w:rPr>
          <w:rFonts w:ascii="Calibri" w:hAnsi="Calibri" w:cs="Calibri"/>
          <w:i/>
          <w:iCs/>
          <w:lang w:val="en-GB"/>
        </w:rPr>
        <w:t>Int. J. Life Cycle Assess.</w:t>
      </w:r>
      <w:r w:rsidRPr="0047272A">
        <w:rPr>
          <w:rFonts w:ascii="Calibri" w:hAnsi="Calibri" w:cs="Calibri"/>
          <w:lang w:val="en-GB"/>
        </w:rPr>
        <w:t xml:space="preserve">, 2017, </w:t>
      </w:r>
      <w:r w:rsidRPr="0047272A">
        <w:rPr>
          <w:rFonts w:ascii="Calibri" w:hAnsi="Calibri" w:cs="Calibri"/>
          <w:b/>
          <w:bCs/>
          <w:lang w:val="en-GB"/>
        </w:rPr>
        <w:t>22</w:t>
      </w:r>
      <w:r w:rsidRPr="0047272A">
        <w:rPr>
          <w:rFonts w:ascii="Calibri" w:hAnsi="Calibri" w:cs="Calibri"/>
          <w:lang w:val="en-GB"/>
        </w:rPr>
        <w:t>, 138–147.</w:t>
      </w:r>
    </w:p>
    <w:p w14:paraId="46FD1813" w14:textId="77777777" w:rsidR="008A3579" w:rsidRPr="0047272A" w:rsidRDefault="008A3579" w:rsidP="008A3579">
      <w:pPr>
        <w:spacing w:after="0"/>
        <w:jc w:val="both"/>
        <w:rPr>
          <w:lang w:val="en-GB"/>
        </w:rPr>
      </w:pPr>
      <w:r w:rsidRPr="0047272A">
        <w:rPr>
          <w:rFonts w:cstheme="minorHAnsi"/>
          <w:lang w:val="en-GB"/>
        </w:rPr>
        <w:lastRenderedPageBreak/>
        <w:fldChar w:fldCharType="end"/>
      </w:r>
      <w:bookmarkEnd w:id="0"/>
      <w:bookmarkEnd w:id="1"/>
      <w:bookmarkEnd w:id="8"/>
    </w:p>
    <w:p w14:paraId="769176BA" w14:textId="77777777" w:rsidR="008A3579" w:rsidRPr="0047272A" w:rsidRDefault="008A3579" w:rsidP="008A3579">
      <w:pPr>
        <w:spacing w:after="0"/>
        <w:rPr>
          <w:lang w:val="en-GB"/>
        </w:rPr>
      </w:pPr>
    </w:p>
    <w:p w14:paraId="4584B801" w14:textId="77777777" w:rsidR="008A3579" w:rsidRPr="0047272A" w:rsidRDefault="008A3579" w:rsidP="008A3579">
      <w:pPr>
        <w:spacing w:after="0"/>
        <w:rPr>
          <w:lang w:val="en-GB"/>
        </w:rPr>
      </w:pPr>
    </w:p>
    <w:bookmarkEnd w:id="2"/>
    <w:p w14:paraId="0F93D0B6" w14:textId="77777777" w:rsidR="001247FE" w:rsidRPr="0047272A" w:rsidRDefault="001247FE" w:rsidP="008A3579">
      <w:pPr>
        <w:spacing w:after="0"/>
        <w:rPr>
          <w:lang w:val="en-GB"/>
        </w:rPr>
      </w:pPr>
    </w:p>
    <w:sectPr w:rsidR="001247FE" w:rsidRPr="0047272A" w:rsidSect="001247FE">
      <w:footerReference w:type="default" r:id="rId1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E0E18D" w14:textId="77777777" w:rsidR="00CA11A5" w:rsidRDefault="00CA11A5">
      <w:pPr>
        <w:spacing w:after="0" w:line="240" w:lineRule="auto"/>
      </w:pPr>
      <w:r>
        <w:separator/>
      </w:r>
    </w:p>
  </w:endnote>
  <w:endnote w:type="continuationSeparator" w:id="0">
    <w:p w14:paraId="3250F8B9" w14:textId="77777777" w:rsidR="00CA11A5" w:rsidRDefault="00CA1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96417495"/>
      <w:docPartObj>
        <w:docPartGallery w:val="Page Numbers (Bottom of Page)"/>
        <w:docPartUnique/>
      </w:docPartObj>
    </w:sdtPr>
    <w:sdtEndPr>
      <w:rPr>
        <w:noProof/>
      </w:rPr>
    </w:sdtEndPr>
    <w:sdtContent>
      <w:p w14:paraId="0EFFF434" w14:textId="77777777" w:rsidR="001247FE" w:rsidRDefault="001247FE">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0C481A0E" w14:textId="77777777" w:rsidR="001247FE" w:rsidRDefault="001247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23EC7A" w14:textId="77777777" w:rsidR="00CA11A5" w:rsidRDefault="00CA11A5">
      <w:pPr>
        <w:spacing w:after="0" w:line="240" w:lineRule="auto"/>
      </w:pPr>
      <w:r>
        <w:separator/>
      </w:r>
    </w:p>
  </w:footnote>
  <w:footnote w:type="continuationSeparator" w:id="0">
    <w:p w14:paraId="1D2D69A6" w14:textId="77777777" w:rsidR="00CA11A5" w:rsidRDefault="00CA11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A3C60B0"/>
    <w:multiLevelType w:val="hybridMultilevel"/>
    <w:tmpl w:val="1616D134"/>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proofState w:spelling="clean" w:grammar="clean"/>
  <w:documentProtection w:edit="trackedChanges" w:enforcement="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579"/>
    <w:rsid w:val="0001168C"/>
    <w:rsid w:val="000246AC"/>
    <w:rsid w:val="00032C70"/>
    <w:rsid w:val="00035625"/>
    <w:rsid w:val="00040273"/>
    <w:rsid w:val="000604E7"/>
    <w:rsid w:val="000653AE"/>
    <w:rsid w:val="0006761E"/>
    <w:rsid w:val="000831C0"/>
    <w:rsid w:val="00087047"/>
    <w:rsid w:val="000C1D09"/>
    <w:rsid w:val="000E6FA5"/>
    <w:rsid w:val="000F182C"/>
    <w:rsid w:val="000F6B56"/>
    <w:rsid w:val="00102A51"/>
    <w:rsid w:val="00105BA1"/>
    <w:rsid w:val="0012111D"/>
    <w:rsid w:val="001247FE"/>
    <w:rsid w:val="0012667D"/>
    <w:rsid w:val="0014665C"/>
    <w:rsid w:val="001641AE"/>
    <w:rsid w:val="00166588"/>
    <w:rsid w:val="00181B33"/>
    <w:rsid w:val="00182D93"/>
    <w:rsid w:val="001A0645"/>
    <w:rsid w:val="001A4E8B"/>
    <w:rsid w:val="001B23B5"/>
    <w:rsid w:val="001B29BD"/>
    <w:rsid w:val="001B516D"/>
    <w:rsid w:val="001C782A"/>
    <w:rsid w:val="001E19F8"/>
    <w:rsid w:val="001F1F26"/>
    <w:rsid w:val="00201F32"/>
    <w:rsid w:val="0020328A"/>
    <w:rsid w:val="002105A0"/>
    <w:rsid w:val="0023004D"/>
    <w:rsid w:val="00252064"/>
    <w:rsid w:val="00265A6F"/>
    <w:rsid w:val="0026672C"/>
    <w:rsid w:val="00273CBF"/>
    <w:rsid w:val="00287D92"/>
    <w:rsid w:val="00297C9C"/>
    <w:rsid w:val="002A5761"/>
    <w:rsid w:val="002C03AB"/>
    <w:rsid w:val="002C79A5"/>
    <w:rsid w:val="002D655D"/>
    <w:rsid w:val="002E5DC0"/>
    <w:rsid w:val="00303E52"/>
    <w:rsid w:val="00317054"/>
    <w:rsid w:val="003248E2"/>
    <w:rsid w:val="00340CE4"/>
    <w:rsid w:val="00342FD2"/>
    <w:rsid w:val="00354DFE"/>
    <w:rsid w:val="00367384"/>
    <w:rsid w:val="0037093E"/>
    <w:rsid w:val="003A6936"/>
    <w:rsid w:val="003B2D52"/>
    <w:rsid w:val="003B5D5A"/>
    <w:rsid w:val="003C2A78"/>
    <w:rsid w:val="003C4DE3"/>
    <w:rsid w:val="004017D0"/>
    <w:rsid w:val="004115C5"/>
    <w:rsid w:val="00414424"/>
    <w:rsid w:val="00421538"/>
    <w:rsid w:val="00421811"/>
    <w:rsid w:val="00434C13"/>
    <w:rsid w:val="00452F17"/>
    <w:rsid w:val="004538C8"/>
    <w:rsid w:val="004621F9"/>
    <w:rsid w:val="004723DE"/>
    <w:rsid w:val="0047272A"/>
    <w:rsid w:val="00473FA4"/>
    <w:rsid w:val="00483C0B"/>
    <w:rsid w:val="0049215D"/>
    <w:rsid w:val="004959C5"/>
    <w:rsid w:val="004A6DD1"/>
    <w:rsid w:val="004B7E57"/>
    <w:rsid w:val="004C06A5"/>
    <w:rsid w:val="004C0E7C"/>
    <w:rsid w:val="004C2C29"/>
    <w:rsid w:val="004D02FF"/>
    <w:rsid w:val="004F3039"/>
    <w:rsid w:val="004F3369"/>
    <w:rsid w:val="005028D5"/>
    <w:rsid w:val="00511164"/>
    <w:rsid w:val="0054008C"/>
    <w:rsid w:val="005437BA"/>
    <w:rsid w:val="00550978"/>
    <w:rsid w:val="00552D16"/>
    <w:rsid w:val="005534CB"/>
    <w:rsid w:val="00561AC6"/>
    <w:rsid w:val="005645CE"/>
    <w:rsid w:val="005760F1"/>
    <w:rsid w:val="00591B82"/>
    <w:rsid w:val="005B3FBE"/>
    <w:rsid w:val="005B7710"/>
    <w:rsid w:val="005C4C8F"/>
    <w:rsid w:val="005E3244"/>
    <w:rsid w:val="005E4BD8"/>
    <w:rsid w:val="005F0C06"/>
    <w:rsid w:val="005F1140"/>
    <w:rsid w:val="005F6D2A"/>
    <w:rsid w:val="00604B41"/>
    <w:rsid w:val="00605B66"/>
    <w:rsid w:val="00612E4C"/>
    <w:rsid w:val="0061661C"/>
    <w:rsid w:val="00622E3B"/>
    <w:rsid w:val="00662445"/>
    <w:rsid w:val="0067483D"/>
    <w:rsid w:val="00675934"/>
    <w:rsid w:val="00695DFB"/>
    <w:rsid w:val="006B1508"/>
    <w:rsid w:val="006D0B6D"/>
    <w:rsid w:val="006D182F"/>
    <w:rsid w:val="006D647D"/>
    <w:rsid w:val="006E3721"/>
    <w:rsid w:val="006F4C47"/>
    <w:rsid w:val="006F59DF"/>
    <w:rsid w:val="007035ED"/>
    <w:rsid w:val="00713948"/>
    <w:rsid w:val="00731AFA"/>
    <w:rsid w:val="00742B73"/>
    <w:rsid w:val="00745718"/>
    <w:rsid w:val="007602C4"/>
    <w:rsid w:val="00764E4C"/>
    <w:rsid w:val="00774B39"/>
    <w:rsid w:val="00777C05"/>
    <w:rsid w:val="007916F5"/>
    <w:rsid w:val="007B21A3"/>
    <w:rsid w:val="008063A4"/>
    <w:rsid w:val="00810C45"/>
    <w:rsid w:val="008147FA"/>
    <w:rsid w:val="00830F8D"/>
    <w:rsid w:val="00833DDB"/>
    <w:rsid w:val="008532F0"/>
    <w:rsid w:val="00854191"/>
    <w:rsid w:val="00856EB6"/>
    <w:rsid w:val="008A1237"/>
    <w:rsid w:val="008A3579"/>
    <w:rsid w:val="008A7377"/>
    <w:rsid w:val="008D5899"/>
    <w:rsid w:val="008D5DA9"/>
    <w:rsid w:val="008E701D"/>
    <w:rsid w:val="009130E9"/>
    <w:rsid w:val="00945BA1"/>
    <w:rsid w:val="00945F89"/>
    <w:rsid w:val="00953561"/>
    <w:rsid w:val="009649BA"/>
    <w:rsid w:val="0096504C"/>
    <w:rsid w:val="009866E5"/>
    <w:rsid w:val="009902C4"/>
    <w:rsid w:val="009A7D2D"/>
    <w:rsid w:val="009B0151"/>
    <w:rsid w:val="009D5C3E"/>
    <w:rsid w:val="009E14ED"/>
    <w:rsid w:val="009E4282"/>
    <w:rsid w:val="009E47FC"/>
    <w:rsid w:val="00A07CC4"/>
    <w:rsid w:val="00A166C5"/>
    <w:rsid w:val="00A354C2"/>
    <w:rsid w:val="00A8234D"/>
    <w:rsid w:val="00A83309"/>
    <w:rsid w:val="00AA0B97"/>
    <w:rsid w:val="00AA4E0B"/>
    <w:rsid w:val="00AA7E81"/>
    <w:rsid w:val="00AB3714"/>
    <w:rsid w:val="00AB5D88"/>
    <w:rsid w:val="00AC0606"/>
    <w:rsid w:val="00AD3107"/>
    <w:rsid w:val="00AD5FE2"/>
    <w:rsid w:val="00AE3C28"/>
    <w:rsid w:val="00AF5B55"/>
    <w:rsid w:val="00B06881"/>
    <w:rsid w:val="00B21C46"/>
    <w:rsid w:val="00B70BC7"/>
    <w:rsid w:val="00B727EA"/>
    <w:rsid w:val="00B91A55"/>
    <w:rsid w:val="00BA7FD4"/>
    <w:rsid w:val="00BB63DE"/>
    <w:rsid w:val="00BF0CDD"/>
    <w:rsid w:val="00BF2A49"/>
    <w:rsid w:val="00C20533"/>
    <w:rsid w:val="00C32D3A"/>
    <w:rsid w:val="00C340CC"/>
    <w:rsid w:val="00C42E71"/>
    <w:rsid w:val="00C45FD8"/>
    <w:rsid w:val="00C51528"/>
    <w:rsid w:val="00C53B57"/>
    <w:rsid w:val="00C74307"/>
    <w:rsid w:val="00C8061B"/>
    <w:rsid w:val="00CA11A5"/>
    <w:rsid w:val="00CA48AB"/>
    <w:rsid w:val="00CA563B"/>
    <w:rsid w:val="00CA7D24"/>
    <w:rsid w:val="00CB30A7"/>
    <w:rsid w:val="00CC5654"/>
    <w:rsid w:val="00CC5CB8"/>
    <w:rsid w:val="00CD0A58"/>
    <w:rsid w:val="00CD7D9D"/>
    <w:rsid w:val="00CF1D38"/>
    <w:rsid w:val="00D02932"/>
    <w:rsid w:val="00D02C55"/>
    <w:rsid w:val="00D1207D"/>
    <w:rsid w:val="00D1395E"/>
    <w:rsid w:val="00D20065"/>
    <w:rsid w:val="00D239E7"/>
    <w:rsid w:val="00D37431"/>
    <w:rsid w:val="00D57D0F"/>
    <w:rsid w:val="00D62296"/>
    <w:rsid w:val="00D766F6"/>
    <w:rsid w:val="00D82E66"/>
    <w:rsid w:val="00D95FFC"/>
    <w:rsid w:val="00D977A5"/>
    <w:rsid w:val="00DC0FF6"/>
    <w:rsid w:val="00DC3BC4"/>
    <w:rsid w:val="00DC6518"/>
    <w:rsid w:val="00DD5E55"/>
    <w:rsid w:val="00DE3301"/>
    <w:rsid w:val="00DE747F"/>
    <w:rsid w:val="00E453B6"/>
    <w:rsid w:val="00E6138B"/>
    <w:rsid w:val="00E634B6"/>
    <w:rsid w:val="00E825C8"/>
    <w:rsid w:val="00E83316"/>
    <w:rsid w:val="00ED126F"/>
    <w:rsid w:val="00EE119E"/>
    <w:rsid w:val="00EE324B"/>
    <w:rsid w:val="00F12E54"/>
    <w:rsid w:val="00F1501D"/>
    <w:rsid w:val="00F269E7"/>
    <w:rsid w:val="00F341F0"/>
    <w:rsid w:val="00F45114"/>
    <w:rsid w:val="00F6704B"/>
    <w:rsid w:val="00F90036"/>
    <w:rsid w:val="00FA18C9"/>
    <w:rsid w:val="00FB7765"/>
    <w:rsid w:val="00FC3614"/>
    <w:rsid w:val="00FC5075"/>
    <w:rsid w:val="00FF0FC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4DA86"/>
  <w15:chartTrackingRefBased/>
  <w15:docId w15:val="{A246349B-0B88-484E-AA6F-175F48F3F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579"/>
    <w:pPr>
      <w:keepNext/>
      <w:keepLines/>
      <w:spacing w:before="240" w:after="0"/>
      <w:jc w:val="both"/>
      <w:outlineLvl w:val="0"/>
    </w:pPr>
    <w:rPr>
      <w:rFonts w:ascii="Times New Roman" w:eastAsiaTheme="majorEastAsia" w:hAnsi="Times New Roman" w:cstheme="majorBidi"/>
      <w:b/>
      <w:sz w:val="28"/>
      <w:szCs w:val="32"/>
      <w:lang w:val="es-ES"/>
    </w:rPr>
  </w:style>
  <w:style w:type="paragraph" w:styleId="Heading2">
    <w:name w:val="heading 2"/>
    <w:basedOn w:val="Normal"/>
    <w:next w:val="Normal"/>
    <w:link w:val="Heading2Char"/>
    <w:uiPriority w:val="9"/>
    <w:unhideWhenUsed/>
    <w:qFormat/>
    <w:rsid w:val="008A3579"/>
    <w:pPr>
      <w:keepNext/>
      <w:keepLines/>
      <w:outlineLvl w:val="1"/>
    </w:pPr>
    <w:rPr>
      <w:rFonts w:eastAsiaTheme="majorEastAsia" w:cstheme="majorBidi"/>
      <w:b/>
      <w:szCs w:val="26"/>
      <w:u w:val="single"/>
      <w:lang w:val="en-GB"/>
    </w:rPr>
  </w:style>
  <w:style w:type="paragraph" w:styleId="Heading3">
    <w:name w:val="heading 3"/>
    <w:basedOn w:val="Normal"/>
    <w:next w:val="Normal"/>
    <w:link w:val="Heading3Char"/>
    <w:uiPriority w:val="9"/>
    <w:unhideWhenUsed/>
    <w:qFormat/>
    <w:rsid w:val="008A3579"/>
    <w:pPr>
      <w:keepNext/>
      <w:keepLines/>
      <w:spacing w:before="160" w:after="120"/>
      <w:outlineLvl w:val="2"/>
    </w:pPr>
    <w:rPr>
      <w:rFonts w:ascii="Calibri" w:eastAsiaTheme="majorEastAsia" w:hAnsi="Calibri" w:cstheme="majorBidi"/>
      <w:b/>
      <w:szCs w:val="24"/>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semiHidden/>
    <w:unhideWhenUsed/>
    <w:rsid w:val="008A3579"/>
  </w:style>
  <w:style w:type="character" w:customStyle="1" w:styleId="Heading1Char">
    <w:name w:val="Heading 1 Char"/>
    <w:basedOn w:val="DefaultParagraphFont"/>
    <w:link w:val="Heading1"/>
    <w:uiPriority w:val="9"/>
    <w:rsid w:val="008A3579"/>
    <w:rPr>
      <w:rFonts w:ascii="Times New Roman" w:eastAsiaTheme="majorEastAsia" w:hAnsi="Times New Roman" w:cstheme="majorBidi"/>
      <w:b/>
      <w:sz w:val="28"/>
      <w:szCs w:val="32"/>
      <w:lang w:val="es-ES"/>
    </w:rPr>
  </w:style>
  <w:style w:type="character" w:customStyle="1" w:styleId="Heading2Char">
    <w:name w:val="Heading 2 Char"/>
    <w:basedOn w:val="DefaultParagraphFont"/>
    <w:link w:val="Heading2"/>
    <w:uiPriority w:val="9"/>
    <w:rsid w:val="008A3579"/>
    <w:rPr>
      <w:rFonts w:eastAsiaTheme="majorEastAsia" w:cstheme="majorBidi"/>
      <w:b/>
      <w:szCs w:val="26"/>
      <w:u w:val="single"/>
      <w:lang w:val="en-GB"/>
    </w:rPr>
  </w:style>
  <w:style w:type="character" w:customStyle="1" w:styleId="Heading3Char">
    <w:name w:val="Heading 3 Char"/>
    <w:basedOn w:val="DefaultParagraphFont"/>
    <w:link w:val="Heading3"/>
    <w:uiPriority w:val="9"/>
    <w:rsid w:val="008A3579"/>
    <w:rPr>
      <w:rFonts w:ascii="Calibri" w:eastAsiaTheme="majorEastAsia" w:hAnsi="Calibri" w:cstheme="majorBidi"/>
      <w:b/>
      <w:szCs w:val="24"/>
      <w:lang w:val="en-GB"/>
    </w:rPr>
  </w:style>
  <w:style w:type="character" w:styleId="Hyperlink">
    <w:name w:val="Hyperlink"/>
    <w:basedOn w:val="DefaultParagraphFont"/>
    <w:uiPriority w:val="99"/>
    <w:unhideWhenUsed/>
    <w:rsid w:val="008A3579"/>
    <w:rPr>
      <w:color w:val="0563C1" w:themeColor="hyperlink"/>
      <w:u w:val="single"/>
    </w:rPr>
  </w:style>
  <w:style w:type="character" w:styleId="CommentReference">
    <w:name w:val="annotation reference"/>
    <w:basedOn w:val="DefaultParagraphFont"/>
    <w:uiPriority w:val="99"/>
    <w:semiHidden/>
    <w:unhideWhenUsed/>
    <w:rsid w:val="008A3579"/>
    <w:rPr>
      <w:sz w:val="16"/>
      <w:szCs w:val="16"/>
    </w:rPr>
  </w:style>
  <w:style w:type="paragraph" w:styleId="CommentText">
    <w:name w:val="annotation text"/>
    <w:basedOn w:val="Normal"/>
    <w:link w:val="CommentTextChar"/>
    <w:uiPriority w:val="99"/>
    <w:unhideWhenUsed/>
    <w:rsid w:val="008A3579"/>
    <w:pPr>
      <w:spacing w:line="240" w:lineRule="auto"/>
    </w:pPr>
    <w:rPr>
      <w:sz w:val="20"/>
      <w:szCs w:val="20"/>
      <w:lang w:val="en-GB"/>
    </w:rPr>
  </w:style>
  <w:style w:type="character" w:customStyle="1" w:styleId="CommentTextChar">
    <w:name w:val="Comment Text Char"/>
    <w:basedOn w:val="DefaultParagraphFont"/>
    <w:link w:val="CommentText"/>
    <w:uiPriority w:val="99"/>
    <w:rsid w:val="008A3579"/>
    <w:rPr>
      <w:sz w:val="20"/>
      <w:szCs w:val="20"/>
      <w:lang w:val="en-GB"/>
    </w:rPr>
  </w:style>
  <w:style w:type="paragraph" w:styleId="Footer">
    <w:name w:val="footer"/>
    <w:basedOn w:val="Normal"/>
    <w:link w:val="FooterChar"/>
    <w:uiPriority w:val="99"/>
    <w:unhideWhenUsed/>
    <w:rsid w:val="008A3579"/>
    <w:pPr>
      <w:tabs>
        <w:tab w:val="center" w:pos="4703"/>
        <w:tab w:val="right" w:pos="9406"/>
      </w:tabs>
      <w:spacing w:after="0" w:line="240" w:lineRule="auto"/>
    </w:pPr>
    <w:rPr>
      <w:lang w:val="en-GB"/>
    </w:rPr>
  </w:style>
  <w:style w:type="character" w:customStyle="1" w:styleId="FooterChar">
    <w:name w:val="Footer Char"/>
    <w:basedOn w:val="DefaultParagraphFont"/>
    <w:link w:val="Footer"/>
    <w:uiPriority w:val="99"/>
    <w:rsid w:val="008A3579"/>
    <w:rPr>
      <w:lang w:val="en-GB"/>
    </w:rPr>
  </w:style>
  <w:style w:type="paragraph" w:styleId="Caption">
    <w:name w:val="caption"/>
    <w:basedOn w:val="Normal"/>
    <w:next w:val="Normal"/>
    <w:uiPriority w:val="35"/>
    <w:unhideWhenUsed/>
    <w:qFormat/>
    <w:rsid w:val="008A3579"/>
    <w:pPr>
      <w:spacing w:after="200" w:line="240" w:lineRule="auto"/>
    </w:pPr>
    <w:rPr>
      <w:i/>
      <w:iCs/>
      <w:color w:val="44546A" w:themeColor="text2"/>
      <w:sz w:val="18"/>
      <w:szCs w:val="18"/>
      <w:lang w:val="en-GB"/>
    </w:rPr>
  </w:style>
  <w:style w:type="table" w:styleId="TableGrid">
    <w:name w:val="Table Grid"/>
    <w:basedOn w:val="TableNormal"/>
    <w:uiPriority w:val="39"/>
    <w:rsid w:val="008A35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EquationSection">
    <w:name w:val="MTEquationSection"/>
    <w:basedOn w:val="DefaultParagraphFont"/>
    <w:rsid w:val="008A3579"/>
    <w:rPr>
      <w:rFonts w:asciiTheme="minorHAnsi" w:hAnsiTheme="minorHAnsi" w:cstheme="minorHAnsi"/>
      <w:vanish/>
      <w:color w:val="FF0000"/>
      <w:lang w:val="en-GB"/>
    </w:rPr>
  </w:style>
  <w:style w:type="paragraph" w:styleId="BalloonText">
    <w:name w:val="Balloon Text"/>
    <w:basedOn w:val="Normal"/>
    <w:link w:val="BalloonTextChar"/>
    <w:uiPriority w:val="99"/>
    <w:semiHidden/>
    <w:unhideWhenUsed/>
    <w:rsid w:val="00273CB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3CB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onzalo.guillen.gosalbez@chem.ethz.ch"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484F28-06C3-4C16-8DC4-C118E9112C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17639</Words>
  <Characters>111132</Characters>
  <Application>Microsoft Office Word</Application>
  <DocSecurity>0</DocSecurity>
  <Lines>926</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394</cp:revision>
  <cp:lastPrinted>2023-03-17T09:24:00Z</cp:lastPrinted>
  <dcterms:created xsi:type="dcterms:W3CDTF">2023-03-16T08:38:00Z</dcterms:created>
  <dcterms:modified xsi:type="dcterms:W3CDTF">2023-03-17T10:32:00Z</dcterms:modified>
</cp:coreProperties>
</file>