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28129518"/>
    <w:bookmarkStart w:id="1" w:name="_Hlk129195373"/>
    <w:bookmarkStart w:id="2" w:name="_Hlk129851980"/>
    <w:p w14:paraId="25BFF9DF" w14:textId="01C6E4DF" w:rsidR="008A3579" w:rsidRPr="00B779BE" w:rsidRDefault="008A3579" w:rsidP="008A3579">
      <w:pPr>
        <w:pStyle w:val="Heading1"/>
        <w:spacing w:before="0" w:after="160"/>
        <w:rPr>
          <w:rFonts w:asciiTheme="minorHAnsi" w:hAnsiTheme="minorHAnsi" w:cstheme="minorHAnsi"/>
          <w:lang w:val="en-GB"/>
        </w:rPr>
      </w:pPr>
      <w:r w:rsidRPr="00B779BE">
        <w:rPr>
          <w:rFonts w:asciiTheme="minorHAnsi" w:hAnsiTheme="minorHAnsi" w:cstheme="minorHAnsi"/>
          <w:lang w:val="en-GB"/>
        </w:rPr>
        <w:fldChar w:fldCharType="begin"/>
      </w:r>
      <w:r w:rsidRPr="00B779BE">
        <w:rPr>
          <w:rFonts w:asciiTheme="minorHAnsi" w:hAnsiTheme="minorHAnsi" w:cstheme="minorHAnsi"/>
          <w:lang w:val="en-GB"/>
        </w:rPr>
        <w:instrText xml:space="preserve"> MACROBUTTON MTEditEquationSection2 </w:instrText>
      </w:r>
      <w:r w:rsidRPr="00B779BE">
        <w:rPr>
          <w:rStyle w:val="MTEquationSection"/>
        </w:rPr>
        <w:instrText>Equation Chapter 1 Section 1</w:instrText>
      </w:r>
      <w:r w:rsidRPr="00B779BE">
        <w:rPr>
          <w:rFonts w:asciiTheme="minorHAnsi" w:hAnsiTheme="minorHAnsi" w:cstheme="minorHAnsi"/>
          <w:lang w:val="en-GB"/>
        </w:rPr>
        <w:fldChar w:fldCharType="begin"/>
      </w:r>
      <w:r w:rsidRPr="00B779BE">
        <w:rPr>
          <w:rFonts w:asciiTheme="minorHAnsi" w:hAnsiTheme="minorHAnsi" w:cstheme="minorHAnsi"/>
          <w:lang w:val="en-GB"/>
        </w:rPr>
        <w:instrText xml:space="preserve"> SEQ MTEqn \r \h \* MERGEFORMAT </w:instrText>
      </w:r>
      <w:r w:rsidRPr="00B779BE">
        <w:rPr>
          <w:rFonts w:asciiTheme="minorHAnsi" w:hAnsiTheme="minorHAnsi" w:cstheme="minorHAnsi"/>
          <w:lang w:val="en-GB"/>
        </w:rPr>
        <w:fldChar w:fldCharType="end"/>
      </w:r>
      <w:r w:rsidRPr="00B779BE">
        <w:rPr>
          <w:rFonts w:asciiTheme="minorHAnsi" w:hAnsiTheme="minorHAnsi" w:cstheme="minorHAnsi"/>
          <w:lang w:val="en-GB"/>
        </w:rPr>
        <w:fldChar w:fldCharType="begin"/>
      </w:r>
      <w:r w:rsidRPr="00B779BE">
        <w:rPr>
          <w:rFonts w:asciiTheme="minorHAnsi" w:hAnsiTheme="minorHAnsi" w:cstheme="minorHAnsi"/>
          <w:lang w:val="en-GB"/>
        </w:rPr>
        <w:instrText xml:space="preserve"> SEQ MTSec \r 1 \h \* MERGEFORMAT </w:instrText>
      </w:r>
      <w:r w:rsidRPr="00B779BE">
        <w:rPr>
          <w:rFonts w:asciiTheme="minorHAnsi" w:hAnsiTheme="minorHAnsi" w:cstheme="minorHAnsi"/>
          <w:lang w:val="en-GB"/>
        </w:rPr>
        <w:fldChar w:fldCharType="end"/>
      </w:r>
      <w:r w:rsidRPr="00B779BE">
        <w:rPr>
          <w:rFonts w:asciiTheme="minorHAnsi" w:hAnsiTheme="minorHAnsi" w:cstheme="minorHAnsi"/>
          <w:lang w:val="en-GB"/>
        </w:rPr>
        <w:fldChar w:fldCharType="begin"/>
      </w:r>
      <w:r w:rsidRPr="00B779BE">
        <w:rPr>
          <w:rFonts w:asciiTheme="minorHAnsi" w:hAnsiTheme="minorHAnsi" w:cstheme="minorHAnsi"/>
          <w:lang w:val="en-GB"/>
        </w:rPr>
        <w:instrText xml:space="preserve"> SEQ MTChap \r 1 \h \* MERGEFORMAT </w:instrText>
      </w:r>
      <w:r w:rsidRPr="00B779BE">
        <w:rPr>
          <w:rFonts w:asciiTheme="minorHAnsi" w:hAnsiTheme="minorHAnsi" w:cstheme="minorHAnsi"/>
          <w:lang w:val="en-GB"/>
        </w:rPr>
        <w:fldChar w:fldCharType="end"/>
      </w:r>
      <w:r w:rsidRPr="00B779BE">
        <w:rPr>
          <w:rFonts w:asciiTheme="minorHAnsi" w:hAnsiTheme="minorHAnsi" w:cstheme="minorHAnsi"/>
          <w:lang w:val="en-GB"/>
        </w:rPr>
        <w:fldChar w:fldCharType="end"/>
      </w:r>
      <w:r w:rsidRPr="00B779BE">
        <w:rPr>
          <w:rFonts w:asciiTheme="minorHAnsi" w:hAnsiTheme="minorHAnsi" w:cstheme="minorHAnsi"/>
          <w:lang w:val="en-GB"/>
        </w:rPr>
        <w:t>Energy crisis in Europe revamps the economic competitiveness of green chemicals</w:t>
      </w:r>
    </w:p>
    <w:p w14:paraId="50E19762" w14:textId="629784D6" w:rsidR="008A3579" w:rsidRPr="00B779BE" w:rsidRDefault="008A3579" w:rsidP="008A3579">
      <w:pPr>
        <w:jc w:val="both"/>
        <w:rPr>
          <w:rFonts w:cstheme="minorHAnsi"/>
          <w:vertAlign w:val="superscript"/>
          <w:lang w:val="en-GB"/>
        </w:rPr>
      </w:pPr>
      <w:r w:rsidRPr="00B779BE">
        <w:rPr>
          <w:rFonts w:cstheme="minorHAnsi"/>
          <w:lang w:val="en-GB"/>
        </w:rPr>
        <w:t>Abhinandan Nabera,</w:t>
      </w:r>
      <w:r w:rsidR="008B6C29">
        <w:rPr>
          <w:rFonts w:cstheme="minorHAnsi"/>
          <w:lang w:val="en-GB"/>
        </w:rPr>
        <w:t xml:space="preserve"> </w:t>
      </w:r>
      <w:r w:rsidRPr="00B779BE">
        <w:rPr>
          <w:rFonts w:cstheme="minorHAnsi"/>
          <w:lang w:val="en-GB"/>
        </w:rPr>
        <w:t>Ioan</w:t>
      </w:r>
      <w:r w:rsidR="00B12530">
        <w:rPr>
          <w:rFonts w:cstheme="minorHAnsi"/>
          <w:lang w:val="en-GB"/>
        </w:rPr>
        <w:noBreakHyphen/>
      </w:r>
      <w:r w:rsidRPr="00B779BE">
        <w:rPr>
          <w:rFonts w:cstheme="minorHAnsi"/>
          <w:lang w:val="en-GB"/>
        </w:rPr>
        <w:t xml:space="preserve">Robert Istrate, </w:t>
      </w:r>
      <w:r w:rsidRPr="00B779BE">
        <w:rPr>
          <w:lang w:val="en-GB"/>
        </w:rPr>
        <w:t xml:space="preserve">Antonio José Martín, </w:t>
      </w:r>
      <w:r w:rsidRPr="00B779BE">
        <w:rPr>
          <w:rFonts w:cstheme="minorHAnsi"/>
          <w:lang w:val="en-GB"/>
        </w:rPr>
        <w:t>Javier Pérez</w:t>
      </w:r>
      <w:r w:rsidR="00B12530">
        <w:rPr>
          <w:rFonts w:cstheme="minorHAnsi"/>
          <w:lang w:val="en-GB"/>
        </w:rPr>
        <w:noBreakHyphen/>
      </w:r>
      <w:r w:rsidRPr="00B779BE">
        <w:rPr>
          <w:rFonts w:cstheme="minorHAnsi"/>
          <w:lang w:val="en-GB"/>
        </w:rPr>
        <w:t>Ramírez</w:t>
      </w:r>
      <w:r w:rsidRPr="00B779BE">
        <w:rPr>
          <w:rFonts w:cstheme="minorHAnsi"/>
          <w:sz w:val="20"/>
          <w:szCs w:val="20"/>
          <w:vertAlign w:val="superscript"/>
          <w:lang w:val="en-GB"/>
        </w:rPr>
        <w:t>*</w:t>
      </w:r>
      <w:r w:rsidRPr="00B779BE">
        <w:rPr>
          <w:rFonts w:cstheme="minorHAnsi"/>
          <w:lang w:val="en-GB"/>
        </w:rPr>
        <w:t xml:space="preserve"> and Gonzalo Guillén</w:t>
      </w:r>
      <w:r w:rsidR="00B12530">
        <w:rPr>
          <w:rFonts w:cstheme="minorHAnsi"/>
          <w:lang w:val="en-GB"/>
        </w:rPr>
        <w:noBreakHyphen/>
      </w:r>
      <w:r w:rsidRPr="00B779BE">
        <w:rPr>
          <w:rFonts w:cstheme="minorHAnsi"/>
          <w:lang w:val="en-GB"/>
        </w:rPr>
        <w:t>Gosálbez</w:t>
      </w:r>
      <w:r w:rsidRPr="00B779BE">
        <w:rPr>
          <w:rFonts w:cstheme="minorHAnsi"/>
          <w:sz w:val="20"/>
          <w:szCs w:val="20"/>
          <w:vertAlign w:val="superscript"/>
          <w:lang w:val="en-GB"/>
        </w:rPr>
        <w:t>*</w:t>
      </w:r>
    </w:p>
    <w:p w14:paraId="79796D5B" w14:textId="3CDD06A3" w:rsidR="008A3579" w:rsidRPr="00B779BE" w:rsidRDefault="008A3579" w:rsidP="008A3579">
      <w:pPr>
        <w:jc w:val="both"/>
        <w:rPr>
          <w:rFonts w:cstheme="minorHAnsi"/>
          <w:sz w:val="20"/>
          <w:szCs w:val="20"/>
          <w:lang w:val="en-GB"/>
        </w:rPr>
      </w:pPr>
      <w:r w:rsidRPr="00B779BE">
        <w:rPr>
          <w:rFonts w:cstheme="minorHAnsi"/>
          <w:sz w:val="20"/>
          <w:szCs w:val="20"/>
          <w:lang w:val="en-GB"/>
        </w:rPr>
        <w:t>Institute for Chemical and Bioengineering, Department of Chemistry and Applied Biosciences, ETH Zürich, Vladimir</w:t>
      </w:r>
      <w:r w:rsidR="00B12530">
        <w:rPr>
          <w:rFonts w:cstheme="minorHAnsi"/>
          <w:sz w:val="20"/>
          <w:szCs w:val="20"/>
          <w:lang w:val="en-GB"/>
        </w:rPr>
        <w:noBreakHyphen/>
      </w:r>
      <w:r w:rsidRPr="00B779BE">
        <w:rPr>
          <w:rFonts w:cstheme="minorHAnsi"/>
          <w:sz w:val="20"/>
          <w:szCs w:val="20"/>
          <w:lang w:val="en-GB"/>
        </w:rPr>
        <w:t>Prelog</w:t>
      </w:r>
      <w:r w:rsidR="00B12530">
        <w:rPr>
          <w:rFonts w:cstheme="minorHAnsi"/>
          <w:sz w:val="20"/>
          <w:szCs w:val="20"/>
          <w:lang w:val="en-GB"/>
        </w:rPr>
        <w:noBreakHyphen/>
      </w:r>
      <w:r w:rsidRPr="00B779BE">
        <w:rPr>
          <w:rFonts w:cstheme="minorHAnsi"/>
          <w:sz w:val="20"/>
          <w:szCs w:val="20"/>
          <w:lang w:val="en-GB"/>
        </w:rPr>
        <w:t>Weg 1, Zürich 8093, Switzerland</w:t>
      </w:r>
    </w:p>
    <w:p w14:paraId="42652555" w14:textId="56FCC1DB" w:rsidR="008A3579" w:rsidRPr="00B779BE" w:rsidRDefault="00E63D53" w:rsidP="008A3579">
      <w:pPr>
        <w:jc w:val="both"/>
        <w:rPr>
          <w:rFonts w:cstheme="minorHAnsi"/>
          <w:sz w:val="20"/>
          <w:szCs w:val="20"/>
          <w:lang w:val="en-GB"/>
        </w:rPr>
      </w:pPr>
      <w:r w:rsidRPr="00B779BE">
        <w:rPr>
          <w:rFonts w:cstheme="minorHAnsi"/>
          <w:sz w:val="20"/>
          <w:szCs w:val="20"/>
          <w:vertAlign w:val="superscript"/>
          <w:lang w:val="en-GB"/>
        </w:rPr>
        <w:t>*</w:t>
      </w:r>
      <w:r w:rsidR="008A3579" w:rsidRPr="00B779BE">
        <w:rPr>
          <w:rFonts w:cstheme="minorHAnsi"/>
          <w:sz w:val="20"/>
          <w:szCs w:val="20"/>
          <w:lang w:val="en-GB"/>
        </w:rPr>
        <w:t>Corresponding authors:</w:t>
      </w:r>
      <w:r w:rsidR="008A3579" w:rsidRPr="00B779BE">
        <w:rPr>
          <w:rStyle w:val="Hyperlink"/>
          <w:rFonts w:cstheme="minorHAnsi"/>
          <w:sz w:val="20"/>
          <w:szCs w:val="20"/>
          <w:lang w:val="en-GB"/>
        </w:rPr>
        <w:t xml:space="preserve"> jpr@chem.ethz.ch</w:t>
      </w:r>
      <w:r w:rsidR="008A3579" w:rsidRPr="00B779BE">
        <w:rPr>
          <w:rFonts w:cstheme="minorHAnsi"/>
          <w:sz w:val="20"/>
          <w:szCs w:val="20"/>
          <w:lang w:val="en-GB"/>
        </w:rPr>
        <w:t xml:space="preserve">; </w:t>
      </w:r>
      <w:hyperlink r:id="rId8" w:history="1">
        <w:r w:rsidR="008A3579" w:rsidRPr="00B779BE">
          <w:rPr>
            <w:rStyle w:val="Hyperlink"/>
            <w:rFonts w:cstheme="minorHAnsi"/>
            <w:sz w:val="20"/>
            <w:szCs w:val="20"/>
            <w:lang w:val="en-GB"/>
          </w:rPr>
          <w:t>gonzalo.guillen.gosalbez@chem.ethz.ch</w:t>
        </w:r>
      </w:hyperlink>
    </w:p>
    <w:p w14:paraId="3D560FA9" w14:textId="77777777" w:rsidR="008A3579" w:rsidRPr="00B779BE" w:rsidRDefault="008A3579" w:rsidP="008A3579">
      <w:pPr>
        <w:pStyle w:val="Heading2"/>
        <w:jc w:val="both"/>
        <w:rPr>
          <w:rFonts w:cstheme="minorHAnsi"/>
        </w:rPr>
      </w:pPr>
      <w:r w:rsidRPr="00B779BE">
        <w:rPr>
          <w:rFonts w:cstheme="minorHAnsi"/>
        </w:rPr>
        <w:t>Abstract</w:t>
      </w:r>
    </w:p>
    <w:p w14:paraId="29A3A1CF" w14:textId="6931E97B" w:rsidR="008A3579" w:rsidRPr="00B779BE" w:rsidRDefault="008A3579" w:rsidP="008A3579">
      <w:pPr>
        <w:jc w:val="both"/>
        <w:rPr>
          <w:lang w:val="en-GB"/>
        </w:rPr>
      </w:pPr>
      <w:r w:rsidRPr="00B779BE">
        <w:rPr>
          <w:lang w:val="en-GB"/>
        </w:rPr>
        <w:t>Ammonia and methanol are essential to modern societies, but their production has been heavily reliant on natural gas, which contributes to supply disruptions and significant CO</w:t>
      </w:r>
      <w:r w:rsidRPr="00B779BE">
        <w:rPr>
          <w:vertAlign w:val="subscript"/>
          <w:lang w:val="en-GB"/>
        </w:rPr>
        <w:t>2</w:t>
      </w:r>
      <w:r w:rsidRPr="00B779BE">
        <w:rPr>
          <w:lang w:val="en-GB"/>
        </w:rPr>
        <w:t xml:space="preserve"> emissions. While low</w:t>
      </w:r>
      <w:r w:rsidR="00FC0E97">
        <w:rPr>
          <w:lang w:val="en-GB"/>
        </w:rPr>
        <w:noBreakHyphen/>
      </w:r>
      <w:r w:rsidRPr="00B779BE">
        <w:rPr>
          <w:lang w:val="en-GB"/>
        </w:rPr>
        <w:t>carbon production routes have been extensively researched, their adoption has been hindered by higher costs. However, a recent energy crisis in Europe has created a unique opportunity to shift towards greener production methods. Green ammonia, produced through wind</w:t>
      </w:r>
      <w:r w:rsidR="00FC0E97">
        <w:rPr>
          <w:lang w:val="en-GB"/>
        </w:rPr>
        <w:noBreakHyphen/>
      </w:r>
      <w:r w:rsidRPr="00B779BE">
        <w:rPr>
          <w:lang w:val="en-GB"/>
        </w:rPr>
        <w:t>powered water electrolysis, has outperformed its fossil counterpart for six months as of December 2021, and methanol produced through CO</w:t>
      </w:r>
      <w:r w:rsidRPr="00B779BE">
        <w:rPr>
          <w:vertAlign w:val="subscript"/>
          <w:lang w:val="en-GB"/>
        </w:rPr>
        <w:t>2</w:t>
      </w:r>
      <w:r w:rsidRPr="00B779BE">
        <w:rPr>
          <w:lang w:val="en-GB"/>
        </w:rPr>
        <w:t xml:space="preserve"> capture and wind</w:t>
      </w:r>
      <w:r w:rsidR="00FC0E97">
        <w:rPr>
          <w:lang w:val="en-GB"/>
        </w:rPr>
        <w:noBreakHyphen/>
      </w:r>
      <w:r w:rsidRPr="00B779BE">
        <w:rPr>
          <w:lang w:val="en-GB"/>
        </w:rPr>
        <w:t>water electrolysis became an</w:t>
      </w:r>
      <w:r w:rsidR="00F1501D" w:rsidRPr="00B779BE">
        <w:rPr>
          <w:lang w:val="en-GB"/>
        </w:rPr>
        <w:t xml:space="preserve"> </w:t>
      </w:r>
      <w:r w:rsidRPr="00B779BE">
        <w:rPr>
          <w:lang w:val="en-GB"/>
        </w:rPr>
        <w:t xml:space="preserve">economically appealing alternative. With a coordinated effort from academia, industry, and policymakers, Europe can lead the </w:t>
      </w:r>
      <w:r w:rsidR="00C82E37" w:rsidRPr="00B779BE">
        <w:rPr>
          <w:lang w:val="en-GB"/>
        </w:rPr>
        <w:t>grand transition</w:t>
      </w:r>
      <w:r w:rsidRPr="00B779BE">
        <w:rPr>
          <w:lang w:val="en-GB"/>
        </w:rPr>
        <w:t xml:space="preserve"> towards more sustainable practices in the chemical industry.</w:t>
      </w:r>
    </w:p>
    <w:p w14:paraId="05834CC2" w14:textId="77777777" w:rsidR="008A3579" w:rsidRPr="00B779BE" w:rsidRDefault="008A3579" w:rsidP="008A3579">
      <w:pPr>
        <w:pStyle w:val="Heading2"/>
      </w:pPr>
      <w:r w:rsidRPr="00B779BE">
        <w:t>Introduction</w:t>
      </w:r>
    </w:p>
    <w:p w14:paraId="192457B1" w14:textId="63F56D3E" w:rsidR="008A3579" w:rsidRPr="00B779BE" w:rsidRDefault="008A3579" w:rsidP="008A3579">
      <w:pPr>
        <w:jc w:val="both"/>
        <w:rPr>
          <w:rFonts w:cstheme="minorHAnsi"/>
          <w:lang w:val="en-GB"/>
        </w:rPr>
      </w:pPr>
      <w:r w:rsidRPr="00B779BE">
        <w:rPr>
          <w:rFonts w:cstheme="minorHAnsi"/>
          <w:lang w:val="en-GB"/>
        </w:rPr>
        <w:t>The chemical industry heavily relies on fossil fuels, making it the origin of 5.6 Gt CO</w:t>
      </w:r>
      <w:r w:rsidRPr="00B779BE">
        <w:rPr>
          <w:rFonts w:cstheme="minorHAnsi"/>
          <w:vertAlign w:val="subscript"/>
          <w:lang w:val="en-GB"/>
        </w:rPr>
        <w:t>2</w:t>
      </w:r>
      <w:r w:rsidR="00FC0E97">
        <w:rPr>
          <w:rFonts w:cstheme="minorHAnsi"/>
          <w:lang w:val="en-GB"/>
        </w:rPr>
        <w:noBreakHyphen/>
      </w:r>
      <w:r w:rsidRPr="00B779BE">
        <w:rPr>
          <w:rFonts w:cstheme="minorHAnsi"/>
          <w:lang w:val="en-GB"/>
        </w:rPr>
        <w:t>eq yr</w:t>
      </w:r>
      <w:r w:rsidRPr="00B779BE">
        <w:rPr>
          <w:rFonts w:cstheme="minorHAnsi"/>
          <w:vertAlign w:val="superscript"/>
          <w:lang w:val="en-GB"/>
        </w:rPr>
        <w:t>−1</w:t>
      </w:r>
      <w:r w:rsidRPr="00B779BE">
        <w:rPr>
          <w:rFonts w:cstheme="minorHAnsi"/>
          <w:lang w:val="en-GB"/>
        </w:rPr>
        <w:t>, comparable to approximately 10% of global anthropogenic greenhouse gas (GHG) emissions</w:t>
      </w:r>
      <w:r w:rsidR="00E415D1" w:rsidRPr="00B779BE">
        <w:rPr>
          <w:rFonts w:cstheme="minorHAnsi"/>
          <w:lang w:val="en-GB"/>
        </w:rPr>
        <w:t>.</w:t>
      </w:r>
      <w:r w:rsidRPr="00B779BE">
        <w:rPr>
          <w:rFonts w:cstheme="minorHAnsi"/>
          <w:lang w:val="en-GB"/>
        </w:rPr>
        <w:fldChar w:fldCharType="begin"/>
      </w:r>
      <w:r w:rsidRPr="00B779BE">
        <w:rPr>
          <w:rFonts w:cstheme="minorHAnsi"/>
          <w:lang w:val="en-GB"/>
        </w:rPr>
        <w:instrText xml:space="preserve"> ADDIN ZOTERO_ITEM CSL_CITATION {"citationID":"y29xtEap","properties":{"formattedCitation":"\\super 1,2\\nosupersub{}","plainCitation":"1,2","noteIndex":0},"citationItems":[{"id":952,"uris":["http://zotero.org/users/9157291/items/PW4PTV2I"],"itemData":{"id":952,"type":"article-journal","abstract":"Chemicals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 Opin. Chem. Eng.","language":"en","page":"100881","source":"ScienceDirect","title":"Mapping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765,"uris":["http://zotero.org/users/9157291/items/8IVAJAL9"],"itemData":{"id":765,"type":"report","abstract":"With the risk of climate breakdown becoming ever more pressing as the world is on track for 2.7 degrees warming, pressure is increasing on all sectors of the economy to break with fossil fuel dependence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transition.","number":"IMES/EESS report; Vol. 126","publisher":"Lund University","source":"Lund University","title":"Petrochemicals and Climate Change: Tracing Globally Growing Emissions and Key Blind Spots in a Fossil-Based Industry","title-short":"Petrochemicals and Climate Change","URL":"https://lucris.lub.lu.se/ws/portalfiles/portal/117494791/Petrochemicals_climate_change_review_web.pdf","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1,2</w:t>
      </w:r>
      <w:r w:rsidRPr="00B779BE">
        <w:rPr>
          <w:rFonts w:cstheme="minorHAnsi"/>
          <w:lang w:val="en-GB"/>
        </w:rPr>
        <w:fldChar w:fldCharType="end"/>
      </w:r>
      <w:r w:rsidRPr="00B779BE">
        <w:rPr>
          <w:rFonts w:cstheme="minorHAnsi"/>
          <w:lang w:val="en-GB"/>
        </w:rPr>
        <w:t xml:space="preserve"> Ammonia and methanol are key components of the chemical industry, serving as building blocks for various valuable products. Ammonia plays a critical role in the production of nitrogen fertili</w:t>
      </w:r>
      <w:r w:rsidR="00CC44DD" w:rsidRPr="00B779BE">
        <w:rPr>
          <w:rFonts w:cstheme="minorHAnsi"/>
          <w:lang w:val="en-GB"/>
        </w:rPr>
        <w:t>s</w:t>
      </w:r>
      <w:r w:rsidRPr="00B779BE">
        <w:rPr>
          <w:rFonts w:cstheme="minorHAnsi"/>
          <w:lang w:val="en-GB"/>
        </w:rPr>
        <w:t xml:space="preserve">ers, which are essential for ensuring global </w:t>
      </w:r>
      <w:commentRangeStart w:id="3"/>
      <w:r w:rsidRPr="00B779BE">
        <w:rPr>
          <w:rFonts w:cstheme="minorHAnsi"/>
          <w:lang w:val="en-GB"/>
        </w:rPr>
        <w:t>food security</w:t>
      </w:r>
      <w:commentRangeEnd w:id="3"/>
      <w:r w:rsidR="00EA3B49">
        <w:rPr>
          <w:rStyle w:val="CommentReference"/>
          <w:lang w:val="en-GB"/>
        </w:rPr>
        <w:commentReference w:id="3"/>
      </w:r>
      <w:r w:rsidR="00E415D1" w:rsidRPr="00B779BE">
        <w:rPr>
          <w:rFonts w:cstheme="minorHAnsi"/>
          <w:lang w:val="en-GB"/>
        </w:rPr>
        <w:t>.</w:t>
      </w:r>
      <w:r w:rsidRPr="00B779BE">
        <w:rPr>
          <w:rFonts w:cstheme="minorHAnsi"/>
          <w:lang w:val="en-GB"/>
        </w:rPr>
        <w:fldChar w:fldCharType="begin"/>
      </w:r>
      <w:r w:rsidRPr="00B779BE">
        <w:rPr>
          <w:rFonts w:cstheme="minorHAnsi"/>
          <w:lang w:val="en-GB"/>
        </w:rPr>
        <w:instrText xml:space="preserve"> ADDIN ZOTERO_ITEM CSL_CITATION {"citationID":"yNeX2kju","properties":{"formattedCitation":"\\super 3,4\\nosupersub{}","plainCitation":"3,4","noteIndex":0},"citationItems":[{"id":934,"uris":["http://zotero.org/users/9157291/items/IIB456LG"],"itemData":{"id":934,"type":"article-journal","abstract":"On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id":891,"uris":["http://zotero.org/users/9157291/items/UV7GWX94"],"itemData":{"id":891,"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3,4</w:t>
      </w:r>
      <w:r w:rsidRPr="00B779BE">
        <w:rPr>
          <w:rFonts w:cstheme="minorHAnsi"/>
          <w:lang w:val="en-GB"/>
        </w:rPr>
        <w:fldChar w:fldCharType="end"/>
      </w:r>
      <w:r w:rsidRPr="00B779BE">
        <w:rPr>
          <w:rFonts w:cstheme="minorHAnsi"/>
          <w:lang w:val="en-GB"/>
        </w:rPr>
        <w:t xml:space="preserve"> Methanol serves as an intermediate to olefins and aromatics production and is used for manufacturing formic acid, dimethyl ether, or methylamine, </w:t>
      </w:r>
      <w:commentRangeStart w:id="4"/>
      <w:r w:rsidRPr="00B779BE">
        <w:rPr>
          <w:rFonts w:cstheme="minorHAnsi"/>
          <w:lang w:val="en-GB"/>
        </w:rPr>
        <w:t>among others</w:t>
      </w:r>
      <w:commentRangeEnd w:id="4"/>
      <w:r w:rsidR="008E1701">
        <w:rPr>
          <w:rStyle w:val="CommentReference"/>
          <w:lang w:val="en-GB"/>
        </w:rPr>
        <w:commentReference w:id="4"/>
      </w:r>
      <w:r w:rsidR="00E415D1" w:rsidRPr="00B779BE">
        <w:rPr>
          <w:rFonts w:cstheme="minorHAnsi"/>
          <w:lang w:val="en-GB"/>
        </w:rPr>
        <w:t>.</w:t>
      </w:r>
      <w:r w:rsidRPr="00B779BE">
        <w:rPr>
          <w:rFonts w:cstheme="minorHAnsi"/>
          <w:lang w:val="en-GB"/>
        </w:rPr>
        <w:fldChar w:fldCharType="begin"/>
      </w:r>
      <w:r w:rsidRPr="00B779BE">
        <w:rPr>
          <w:rFonts w:cstheme="minorHAnsi"/>
          <w:lang w:val="en-GB"/>
        </w:rPr>
        <w:instrText xml:space="preserve"> ADDIN ZOTERO_ITEM CSL_CITATION {"citationID":"HRf3s6LA","properties":{"formattedCitation":"\\super 5,6\\nosupersub{}","plainCitation":"5,6","noteIndex":0},"citationItems":[{"id":939,"uris":["http://zotero.org/users/9157291/items/T22NA9KH"],"itemData":{"id":939,"type":"report","language":"en","page":"132","publisher":"International Energy Agency","source":"Zotero","title":"The Future of Petrochemicals: Towards more sustainable plastics and fertilisers","URL":"www.iea.org","author":[{"family":"IEA","given":""}],"issued":{"date-parts":[["2018"]]}}},{"id":935,"uris":["http://zotero.org/users/9157291/items/RURRENJ6"],"itemData":{"id":935,"type":"article-journal","abstract":"Methanol,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Edition","DOI":"10.1002/anie.200462121","ISSN":"1521-3773","issue":"18","journalAbbreviation":"Angew. Chem., Int. Ed. Engl.","note":"_eprint: https://onlinelibrary.wiley.com/doi/pdf/10.1002/anie.200462121","page":"2636-2639","source":"Wiley Online Library","title":"Beyond Oil and Gas: The Methanol Economy","title-short":"Beyond Oil and Gas","volume":"44","author":[{"family":"Olah","given":"George A."}],"issued":{"date-parts":[["2005"]]}}}],"schema":"https://github.com/citation-style-language/schema/raw/master/csl-citation.json"}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5,6</w:t>
      </w:r>
      <w:r w:rsidRPr="00B779BE">
        <w:rPr>
          <w:rFonts w:cstheme="minorHAnsi"/>
          <w:lang w:val="en-GB"/>
        </w:rPr>
        <w:fldChar w:fldCharType="end"/>
      </w:r>
      <w:r w:rsidRPr="00B779BE">
        <w:rPr>
          <w:rFonts w:cstheme="minorHAnsi"/>
          <w:lang w:val="en-GB"/>
        </w:rPr>
        <w:t xml:space="preserve"> </w:t>
      </w:r>
    </w:p>
    <w:p w14:paraId="2244D108" w14:textId="5B765985" w:rsidR="008A3579" w:rsidRPr="00B779BE" w:rsidRDefault="008A3579" w:rsidP="008A3579">
      <w:pPr>
        <w:jc w:val="both"/>
        <w:rPr>
          <w:rFonts w:cstheme="minorHAnsi"/>
          <w:lang w:val="en-GB"/>
        </w:rPr>
      </w:pPr>
      <w:r w:rsidRPr="00B779BE">
        <w:rPr>
          <w:rFonts w:cstheme="minorHAnsi"/>
          <w:lang w:val="en-GB"/>
        </w:rPr>
        <w:t xml:space="preserve">Between 60 and 70% of ammonia and methanol are produced from syngas obtained by steam reforming of </w:t>
      </w:r>
      <w:commentRangeStart w:id="5"/>
      <w:r w:rsidRPr="00B779BE">
        <w:rPr>
          <w:rFonts w:cstheme="minorHAnsi"/>
          <w:lang w:val="en-GB"/>
        </w:rPr>
        <w:t>natural gas</w:t>
      </w:r>
      <w:commentRangeEnd w:id="5"/>
      <w:r w:rsidR="008E1701">
        <w:rPr>
          <w:rStyle w:val="CommentReference"/>
          <w:lang w:val="en-GB"/>
        </w:rPr>
        <w:commentReference w:id="5"/>
      </w:r>
      <w:r w:rsidR="00E415D1" w:rsidRPr="00B779BE">
        <w:rPr>
          <w:rFonts w:cstheme="minorHAnsi"/>
          <w:lang w:val="en-GB"/>
        </w:rPr>
        <w:t>.</w:t>
      </w:r>
      <w:r w:rsidRPr="00B779BE">
        <w:rPr>
          <w:rFonts w:cstheme="minorHAnsi"/>
          <w:lang w:val="en-GB"/>
        </w:rPr>
        <w:fldChar w:fldCharType="begin"/>
      </w:r>
      <w:r w:rsidRPr="00B779BE">
        <w:rPr>
          <w:rFonts w:cstheme="minorHAnsi"/>
          <w:lang w:val="en-GB"/>
        </w:rPr>
        <w:instrText xml:space="preserve"> ADDIN ZOTERO_ITEM CSL_CITATION {"citationID":"i1Yu5aBj","properties":{"formattedCitation":"\\super 7,8\\nosupersub{}","plainCitation":"7,8","noteIndex":0},"citationItems":[{"id":206,"uris":["http://zotero.org/users/9157291/items/897KTRXK"],"itemData":{"id":206,"type":"report","event-place":"Abu Dhabi","language":"en","page":"124","publisher":"International Renewable Energy Agency","publisher-place":"Abu Dhabi","source":"Zotero","title":"Innovation Outlook: Renewable Methanol","author":[{"family":"IRENA","given":""}],"issued":{"date-parts":[["2021"]]}}},{"id":901,"uris":["http://zotero.org/users/9157291/items/U2JU5DYJ"],"itemData":{"id":901,"type":"report","language":"en","note":"DOI: 10.1787/f6daa4a0-en","publisher":"International Energy Agency","source":"DOI.org (Crossref)","title":"Ammonia Technology Roadmap: Towards more sustainable nitrogen fertiliser production","title-short":"Ammonia Technology Roadmap","URL":"https://www.oecd-ilibrary.org/energy/ammonia-technology-roadmap_f6daa4a0-en","author":[{"literal":"IEA"}],"accessed":{"date-parts":[["2022",12,19]]},"issued":{"date-parts":[["2021",10,18]]}}}],"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7,8</w:t>
      </w:r>
      <w:r w:rsidRPr="00B779BE">
        <w:rPr>
          <w:rFonts w:cstheme="minorHAnsi"/>
          <w:lang w:val="en-GB"/>
        </w:rPr>
        <w:fldChar w:fldCharType="end"/>
      </w:r>
      <w:r w:rsidRPr="00B779BE">
        <w:rPr>
          <w:rFonts w:cstheme="minorHAnsi"/>
          <w:lang w:val="en-GB"/>
        </w:rPr>
        <w:t xml:space="preserve"> The Haber</w:t>
      </w:r>
      <w:r w:rsidR="00FC0E97">
        <w:rPr>
          <w:rFonts w:cstheme="minorHAnsi"/>
          <w:lang w:val="en-GB"/>
        </w:rPr>
        <w:noBreakHyphen/>
      </w:r>
      <w:r w:rsidRPr="00B779BE">
        <w:rPr>
          <w:rFonts w:cstheme="minorHAnsi"/>
          <w:lang w:val="en-GB"/>
        </w:rPr>
        <w:t>Bosch process</w:t>
      </w:r>
      <w:r w:rsidR="00605B66" w:rsidRPr="00B779BE">
        <w:rPr>
          <w:rFonts w:cstheme="minorHAnsi"/>
          <w:lang w:val="en-GB"/>
        </w:rPr>
        <w:t xml:space="preserve"> (</w:t>
      </w:r>
      <w:r w:rsidR="00C20533" w:rsidRPr="00B779BE">
        <w:rPr>
          <w:rFonts w:cstheme="minorHAnsi"/>
          <w:b/>
          <w:lang w:val="en-GB"/>
        </w:rPr>
        <w:t>Figure</w:t>
      </w:r>
      <w:r w:rsidR="003B2D52" w:rsidRPr="00B779BE">
        <w:rPr>
          <w:rFonts w:cstheme="minorHAnsi"/>
          <w:b/>
          <w:lang w:val="en-GB"/>
        </w:rPr>
        <w:t> </w:t>
      </w:r>
      <w:r w:rsidR="00C20533" w:rsidRPr="00B779BE">
        <w:rPr>
          <w:rFonts w:cstheme="minorHAnsi"/>
          <w:b/>
          <w:lang w:val="en-GB"/>
        </w:rPr>
        <w:t>S1</w:t>
      </w:r>
      <w:r w:rsidR="009130E9" w:rsidRPr="00B779BE">
        <w:rPr>
          <w:rFonts w:cstheme="minorHAnsi"/>
          <w:lang w:val="en-GB"/>
        </w:rPr>
        <w:t xml:space="preserve"> of the Electronic supplementary information - ESI</w:t>
      </w:r>
      <w:r w:rsidR="00605B66" w:rsidRPr="00B779BE">
        <w:rPr>
          <w:rFonts w:cstheme="minorHAnsi"/>
          <w:lang w:val="en-GB"/>
        </w:rPr>
        <w:t>)</w:t>
      </w:r>
      <w:r w:rsidRPr="00B779BE">
        <w:rPr>
          <w:rFonts w:cstheme="minorHAnsi"/>
          <w:lang w:val="en-GB"/>
        </w:rPr>
        <w:t>, which is energy</w:t>
      </w:r>
      <w:r w:rsidR="00FC0E97">
        <w:rPr>
          <w:rFonts w:cstheme="minorHAnsi"/>
          <w:lang w:val="en-GB"/>
        </w:rPr>
        <w:noBreakHyphen/>
      </w:r>
      <w:r w:rsidRPr="00B779BE">
        <w:rPr>
          <w:rFonts w:cstheme="minorHAnsi"/>
          <w:lang w:val="en-GB"/>
        </w:rPr>
        <w:t>intensive and operates at demanding conditions (&gt;200 bar and &gt;400 °C), is used to produce ammonia from a combination of hydrogen and nitrogen over an Fe</w:t>
      </w:r>
      <w:r w:rsidR="00165BB9">
        <w:rPr>
          <w:rFonts w:cstheme="minorHAnsi"/>
          <w:lang w:val="en-GB"/>
        </w:rPr>
        <w:noBreakHyphen/>
      </w:r>
      <w:r w:rsidRPr="00B779BE">
        <w:rPr>
          <w:rFonts w:cstheme="minorHAnsi"/>
          <w:lang w:val="en-GB"/>
        </w:rPr>
        <w:t>based catalyst</w:t>
      </w:r>
      <w:r w:rsidR="00E415D1" w:rsidRPr="00B779BE">
        <w:rPr>
          <w:rFonts w:cstheme="minorHAnsi"/>
          <w:lang w:val="en-GB"/>
        </w:rPr>
        <w:t>.</w:t>
      </w:r>
      <w:r w:rsidRPr="00B779BE">
        <w:rPr>
          <w:rFonts w:cstheme="minorHAnsi"/>
          <w:lang w:val="en-GB"/>
        </w:rPr>
        <w:fldChar w:fldCharType="begin"/>
      </w:r>
      <w:r w:rsidRPr="00B779BE">
        <w:rPr>
          <w:rFonts w:cstheme="minorHAnsi"/>
          <w:lang w:val="en-GB"/>
        </w:rPr>
        <w:instrText xml:space="preserve"> ADDIN ZOTERO_ITEM CSL_CITATION {"citationID":"S0Zv0Qse","properties":{"formattedCitation":"\\super 9\\nosupersub{}","plainCitation":"9","noteIndex":0},"citationItems":[{"id":1006,"uris":["http://zotero.org/users/9157291/items/A2US8TDS"],"itemData":{"id":1006,"type":"article-journal","abstract":"Due to its essential use as a fertilizer, ammonia synthesis from nitrogen and hydrogen is considered to be one of the most important chemical processes of the last 100 years. Since then, an enormous amount of work has been undertaken to investigate and develop effective catalysts for this process. Although the catalytic synthesis of ammonia has been extensively studied in the last century, many new catalysts are still currently being developed to reduce the operating temperature and pressure of the process and to improve the conversion of reactants to ammonia. New catalysts for the Haber–Bosch process are the key to achieving green ammonia production in the foreseeable future. Herein, the history of ammonia synthesis catalyst development is briefly described as well as recent progress in catalyst development with the aim of building an overview of the current state of ammonia synthesis catalysts for the Haber–Bosch process. The new emerging ammonia synthesis catalysts, including electride, hydride, amide, perovskite oxide hydride/oxynitride hydride, nitride, and oxide promoted metals such as Fe, Co, and Ni, are promising alternatives to the conventional fused-Fe and promoted-Ru catalysts for existing ammonia synthesis plants and future distributed green ammonia synthesis based on the Haber–Bosch process.","container-title":"Advanced Energy and Sustainability Research","DOI":"10.1002/aesr.202000043","ISSN":"2699-9412","issue":"1","language":"en","note":"_eprint: https://onlinelibrary.wiley.com/doi/pdf/10.1002/aesr.202000043","page":"2000043","source":"Wiley Online Library","title":"Development and Recent Progress on Ammonia Synthesis Catalysts for Haber–Bosch Process","volume":"2","author":[{"family":"Humphreys","given":"John"},{"family":"Lan","given":"Rong"},{"family":"Tao","given":"Shanwen"}],"issued":{"date-parts":[["2021"]]}}}],"schema":"https://github.com/citation-style-language/schema/raw/master/csl-citation.json"}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9</w:t>
      </w:r>
      <w:r w:rsidRPr="00B779BE">
        <w:rPr>
          <w:rFonts w:cstheme="minorHAnsi"/>
          <w:lang w:val="en-GB"/>
        </w:rPr>
        <w:fldChar w:fldCharType="end"/>
      </w:r>
      <w:r w:rsidRPr="00B779BE">
        <w:rPr>
          <w:rFonts w:cstheme="minorHAnsi"/>
          <w:lang w:val="en-GB"/>
        </w:rPr>
        <w:t xml:space="preserve"> Methanol production </w:t>
      </w:r>
      <w:r w:rsidR="002E5DC0" w:rsidRPr="00B779BE">
        <w:rPr>
          <w:rFonts w:cstheme="minorHAnsi"/>
          <w:lang w:val="en-GB"/>
        </w:rPr>
        <w:t>(</w:t>
      </w:r>
      <w:r w:rsidR="003B2D52" w:rsidRPr="00B779BE">
        <w:rPr>
          <w:rFonts w:cstheme="minorHAnsi"/>
          <w:b/>
          <w:lang w:val="en-GB"/>
        </w:rPr>
        <w:t>Figure S2</w:t>
      </w:r>
      <w:r w:rsidR="002E5DC0" w:rsidRPr="00B779BE">
        <w:rPr>
          <w:rFonts w:cstheme="minorHAnsi"/>
          <w:lang w:val="en-GB"/>
        </w:rPr>
        <w:t xml:space="preserve">) </w:t>
      </w:r>
      <w:r w:rsidRPr="00B779BE">
        <w:rPr>
          <w:rFonts w:cstheme="minorHAnsi"/>
          <w:lang w:val="en-GB"/>
        </w:rPr>
        <w:t>requires hydrogenation of CO over a Cu</w:t>
      </w:r>
      <w:r w:rsidR="00165BB9">
        <w:rPr>
          <w:rFonts w:cstheme="minorHAnsi"/>
          <w:lang w:val="en-GB"/>
        </w:rPr>
        <w:noBreakHyphen/>
      </w:r>
      <w:r w:rsidRPr="00B779BE">
        <w:rPr>
          <w:rFonts w:cstheme="minorHAnsi"/>
          <w:lang w:val="en-GB"/>
        </w:rPr>
        <w:t>Zn</w:t>
      </w:r>
      <w:r w:rsidR="00165BB9">
        <w:rPr>
          <w:rFonts w:cstheme="minorHAnsi"/>
          <w:lang w:val="en-GB"/>
        </w:rPr>
        <w:noBreakHyphen/>
      </w:r>
      <w:r w:rsidRPr="00B779BE">
        <w:rPr>
          <w:rFonts w:cstheme="minorHAnsi"/>
          <w:lang w:val="en-GB"/>
        </w:rPr>
        <w:t>Al catalyst at high pressure and mild temperature (&gt;35 bar and &gt;200 °C)</w:t>
      </w:r>
      <w:r w:rsidR="00E415D1" w:rsidRPr="00B779BE">
        <w:rPr>
          <w:rFonts w:cstheme="minorHAnsi"/>
          <w:lang w:val="en-GB"/>
        </w:rPr>
        <w:t>.</w:t>
      </w:r>
      <w:r w:rsidRPr="00B779BE">
        <w:rPr>
          <w:rFonts w:cstheme="minorHAnsi"/>
          <w:lang w:val="en-GB"/>
        </w:rPr>
        <w:fldChar w:fldCharType="begin"/>
      </w:r>
      <w:r w:rsidRPr="00B779BE">
        <w:rPr>
          <w:rFonts w:cstheme="minorHAnsi"/>
          <w:lang w:val="en-GB"/>
        </w:rPr>
        <w:instrText xml:space="preserve"> ADDIN ZOTERO_ITEM CSL_CITATION {"citationID":"yD0gL3Xb","properties":{"formattedCitation":"\\super 10\\nosupersub{}","plainCitation":"10","noteIndex":0},"citationItems":[{"id":1005,"uris":["http://zotero.org/users/9157291/items/DPZPTWUU"],"itemData":{"id":1005,"type":"article-journal","abstract":"CO hydrogenation, CO2 hydrogenation, and water–gas shift (WGS) reactions have been simultaneously investigated over industry-like catalysts based on Cu–ZnO–Al2O3, under methanol synthesis conditions (513 K, 5.0 MPa). For this, a novel methodology has been applied: the concentration of carbon dioxide in the syngas feed was consecutively increased (R = CO2:(CO + CO2) = 0–100) resulting in a volcano-type plot of the rate of methanol formation and forming a hysteresis loop when decreasing the CO2 concentration again. H2O co-feeding experiments revealed that the enhancement of activity can be correlated with the WGS activity linking both hydrogenation paths of CO and CO2. On the other hand, excessive amounts of surface hydroxyls seem to inhibit methanol production, explaining the drop in activity at high CO2 concentrations. An investigation of the catalytic performance was accompanied by an extensive characterisation of the fresh and used catalytic materials by X-ray diffraction, temperature-programmed reduction by H2, N2O pulse chemisorption, X-ray photoelectron spectroscopy, and Auger electron spectroscopy. It was shown that the copper surface area affects the CO2 hydrogenation; however, this parameter is unambiguously not the key descriptor for CO2-promoted methanol synthesis, which is a consequence of the synergistic interaction of zinc oxide and copper. This structural feature is further promoted by Al2O3 through stabilisation of the surface. The position of the activity maximum is determined by the surface ratio Cu : Zn. The hysteresis behaviour is a result of the continuous decrease of Cu dispersion and the fixation of copper species in its monovalent oxidation state, both detrimental for CO2 hydrogenation. CO hydrogenation is strongly affected by the Cu : Zn bulk ratio and thus the reducibility of the catalyst. These facts could be substantiated by the use of impregnated model catalysts.","container-title":"Catalysis Science &amp; Technology","DOI":"10.1039/C3CY00573A","ISSN":"2044-4761","issue":"12","journalAbbreviation":"Catal. Sci. Technol.","language":"en","note":"publisher: The Royal Society of Chemistry","page":"3343-3352","source":"pubs.rsc.org","title":"New and revisited insights into the promotion of methanol synthesis catalysts by CO2","volume":"3","author":[{"family":"Martin","given":"Oliver"},{"family":"Pérez-Ramírez","given":"Javier"}],"issued":{"date-parts":[["2013",11,12]]}}}],"schema":"https://github.com/citation-style-language/schema/raw/master/csl-citation.json"}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10</w:t>
      </w:r>
      <w:r w:rsidRPr="00B779BE">
        <w:rPr>
          <w:rFonts w:cstheme="minorHAnsi"/>
          <w:lang w:val="en-GB"/>
        </w:rPr>
        <w:fldChar w:fldCharType="end"/>
      </w:r>
      <w:r w:rsidRPr="00B779BE">
        <w:rPr>
          <w:rFonts w:cstheme="minorHAnsi"/>
          <w:lang w:val="en-GB"/>
        </w:rPr>
        <w:t xml:space="preserve"> Sustainable ammonia production is achievable through the green Haber</w:t>
      </w:r>
      <w:r w:rsidR="00FA1AC5">
        <w:rPr>
          <w:rFonts w:cstheme="minorHAnsi"/>
          <w:lang w:val="en-GB"/>
        </w:rPr>
        <w:noBreakHyphen/>
      </w:r>
      <w:r w:rsidRPr="00B779BE">
        <w:rPr>
          <w:rFonts w:cstheme="minorHAnsi"/>
          <w:lang w:val="en-GB"/>
        </w:rPr>
        <w:t>Bosch process, which involves using hydrogen generated from water electrolysis powered by renewable sources such as wind or solar</w:t>
      </w:r>
      <w:r w:rsidR="00E415D1" w:rsidRPr="00B779BE">
        <w:rPr>
          <w:rFonts w:cstheme="minorHAnsi"/>
          <w:lang w:val="en-GB"/>
        </w:rPr>
        <w:t>.</w:t>
      </w:r>
      <w:r w:rsidRPr="00B779BE">
        <w:rPr>
          <w:rFonts w:cstheme="minorHAnsi"/>
          <w:lang w:val="en-GB"/>
        </w:rPr>
        <w:fldChar w:fldCharType="begin"/>
      </w:r>
      <w:r w:rsidRPr="00B779BE">
        <w:rPr>
          <w:rFonts w:cstheme="minorHAnsi"/>
          <w:lang w:val="en-GB"/>
        </w:rPr>
        <w:instrText xml:space="preserve"> ADDIN ZOTERO_ITEM CSL_CITATION {"citationID":"zsRcaa2G","properties":{"formattedCitation":"\\super 8,15\\nosupersub{}","plainCitation":"8,15","dontUpdate":true,"noteIndex":0},"citationItems":[{"id":901,"uris":["http://zotero.org/users/9157291/items/U2JU5DYJ"],"itemData":{"id":901,"type":"report","language":"en","note":"DOI: 10.1787/f6daa4a0-en","publisher":"International Energy Agency","source":"DOI.org (Crossref)","title":"Ammonia Technology Roadmap: Towards more sustainable nitrogen fertiliser production","title-short":"Ammonia Technology Roadmap","URL":"https://www.oecd-ilibrary.org/energy/ammonia-technology-roadmap_f6daa4a0-en","author":[{"literal":"IEA"}],"accessed":{"date-parts":[["2022",12,19]]},"issued":{"date-parts":[["2021",10,18]]}}},{"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8,11</w:t>
      </w:r>
      <w:r w:rsidRPr="00B779BE">
        <w:rPr>
          <w:rFonts w:cstheme="minorHAnsi"/>
          <w:lang w:val="en-GB"/>
        </w:rPr>
        <w:fldChar w:fldCharType="end"/>
      </w:r>
      <w:r w:rsidRPr="00B779BE">
        <w:rPr>
          <w:rFonts w:cstheme="minorHAnsi"/>
          <w:lang w:val="en-GB"/>
        </w:rPr>
        <w:t xml:space="preserve"> This hybrid electro- and thermo</w:t>
      </w:r>
      <w:r w:rsidR="008B2C71">
        <w:rPr>
          <w:rFonts w:cstheme="minorHAnsi"/>
          <w:lang w:val="en-GB"/>
        </w:rPr>
        <w:noBreakHyphen/>
      </w:r>
      <w:r w:rsidRPr="00B779BE">
        <w:rPr>
          <w:rFonts w:cstheme="minorHAnsi"/>
          <w:lang w:val="en-GB"/>
        </w:rPr>
        <w:t>catalytic scheme is currently in intense development and has been proposed as the first feasible low-emission alternative</w:t>
      </w:r>
      <w:r w:rsidR="00E415D1" w:rsidRPr="00B779BE">
        <w:rPr>
          <w:rFonts w:cstheme="minorHAnsi"/>
          <w:lang w:val="en-GB"/>
        </w:rPr>
        <w:t>.</w:t>
      </w:r>
      <w:r w:rsidRPr="00B779BE">
        <w:rPr>
          <w:rFonts w:cstheme="minorHAnsi"/>
          <w:lang w:val="en-GB"/>
        </w:rPr>
        <w:fldChar w:fldCharType="begin"/>
      </w:r>
      <w:r w:rsidRPr="00B779BE">
        <w:rPr>
          <w:rFonts w:cstheme="minorHAnsi"/>
          <w:lang w:val="en-GB"/>
        </w:rPr>
        <w:instrText xml:space="preserve"> ADDIN ZOTERO_ITEM CSL_CITATION {"citationID":"ex5E9pap","properties":{"formattedCitation":"\\super 12\\nosupersub{}","plainCitation":"12","noteIndex":0},"citationItems":[{"id":1004,"uris":["http://zotero.org/users/9157291/items/DLIJZIUV"],"itemData":{"id":1004,"type":"article-journal","abstract":"Most of the global production of ammonia requires fossil fuels and is associated with considerable greenhouse gas emissions. Replacing fossil fuel ammonia with green or zero-carbon ammonia is a major focus for academia, industry and governments. Ammonia is a key component in fertiliser\nbut is also attracting increasing interest as a carbon-free fuel for the maritime sector and as a hydrogen vector. This review describes the use of green (electrolysed) hydrogen in conventional Haber-Bosch plants and predicts adoption of the technology by 2030. Further into the future, direct\ngreen ammonia synthesis by electrocatalytic and photocatalytic means may present a cost-effective alternative to the Haber-Bosch process. Electrocatalytic and photocatalytic routes to ammonia are reviewed, the catalytic systems are compared and their potential for meeting the likely demand\nand cost for ammonia considered.","container-title":"Johnson Matthey Technology Review","DOI":"10.1595/205651322X16334238659301","issue":"3","journalAbbreviation":"Johnson Matthey Technol. Rev.","page":"230-244","source":"IngentaConnect","title":"Review of Recent Progress in Green Ammonia Synthesis: Decarbonisation of fertiliser and fuels via green synthesis","title-short":"Review of Recent Progress in Green Ammonia Synthesis","volume":"66","author":[{"family":"Smart","given":"Katie"}],"issued":{"date-parts":[["2022",7,12]]}}}],"schema":"https://github.com/citation-style-language/schema/raw/master/csl-citation.json"}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12</w:t>
      </w:r>
      <w:r w:rsidRPr="00B779BE">
        <w:rPr>
          <w:rFonts w:cstheme="minorHAnsi"/>
          <w:lang w:val="en-GB"/>
        </w:rPr>
        <w:fldChar w:fldCharType="end"/>
      </w:r>
      <w:r w:rsidRPr="00B779BE">
        <w:rPr>
          <w:rFonts w:cstheme="minorHAnsi"/>
          <w:lang w:val="en-GB"/>
        </w:rPr>
        <w:t xml:space="preserve"> To enhance the sustainability of methanol production, the current CO hydrogenation process can incorporate CO</w:t>
      </w:r>
      <w:r w:rsidRPr="00B779BE">
        <w:rPr>
          <w:rFonts w:cstheme="minorHAnsi"/>
          <w:vertAlign w:val="subscript"/>
          <w:lang w:val="en-GB"/>
        </w:rPr>
        <w:t>2</w:t>
      </w:r>
      <w:r w:rsidRPr="00B779BE">
        <w:rPr>
          <w:rFonts w:cstheme="minorHAnsi"/>
          <w:lang w:val="en-GB"/>
        </w:rPr>
        <w:t xml:space="preserve"> as a source via the optimi</w:t>
      </w:r>
      <w:r w:rsidR="008458F7" w:rsidRPr="00B779BE">
        <w:rPr>
          <w:rFonts w:cstheme="minorHAnsi"/>
          <w:lang w:val="en-GB"/>
        </w:rPr>
        <w:t>s</w:t>
      </w:r>
      <w:r w:rsidRPr="00B779BE">
        <w:rPr>
          <w:rFonts w:cstheme="minorHAnsi"/>
          <w:lang w:val="en-GB"/>
        </w:rPr>
        <w:t>ed reverse water gas shift reaction, along with low</w:t>
      </w:r>
      <w:r w:rsidR="002A1DF7">
        <w:rPr>
          <w:rFonts w:cstheme="minorHAnsi"/>
          <w:lang w:val="en-GB"/>
        </w:rPr>
        <w:noBreakHyphen/>
      </w:r>
      <w:r w:rsidRPr="00B779BE">
        <w:rPr>
          <w:rFonts w:cstheme="minorHAnsi"/>
          <w:lang w:val="en-GB"/>
        </w:rPr>
        <w:t>carbon hydrogen sources</w:t>
      </w:r>
      <w:r w:rsidR="00E415D1" w:rsidRPr="00B779BE">
        <w:rPr>
          <w:rFonts w:cstheme="minorHAnsi"/>
          <w:lang w:val="en-GB"/>
        </w:rPr>
        <w:t>.</w:t>
      </w:r>
      <w:r w:rsidRPr="00B779BE">
        <w:rPr>
          <w:rFonts w:cstheme="minorHAnsi"/>
          <w:lang w:val="en-GB"/>
        </w:rPr>
        <w:fldChar w:fldCharType="begin"/>
      </w:r>
      <w:r w:rsidRPr="00B779BE">
        <w:rPr>
          <w:rFonts w:cstheme="minorHAnsi"/>
          <w:lang w:val="en-GB"/>
        </w:rPr>
        <w:instrText xml:space="preserve"> ADDIN ZOTERO_ITEM CSL_CITATION {"citationID":"xE4lTznH","properties":{"formattedCitation":"\\super 7\\nosupersub{}","plainCitation":"7","noteIndex":0},"citationItems":[{"id":206,"uris":["http://zotero.org/users/9157291/items/897KTRXK"],"itemData":{"id":206,"type":"report","event-place":"Abu Dhabi","language":"en","page":"124","publisher":"International Renewable Energy Agency","publisher-place":"Abu Dhabi","source":"Zotero","title":"Innovation Outlook: Renewable Methanol","author":[{"family":"IRENA","given":""}],"issued":{"date-parts":[["2021"]]}}}],"schema":"https://github.com/citation-style-language/schema/raw/master/csl-citation.json"}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7</w:t>
      </w:r>
      <w:r w:rsidRPr="00B779BE">
        <w:rPr>
          <w:rFonts w:cstheme="minorHAnsi"/>
          <w:lang w:val="en-GB"/>
        </w:rPr>
        <w:fldChar w:fldCharType="end"/>
      </w:r>
      <w:r w:rsidRPr="00B779BE">
        <w:rPr>
          <w:rFonts w:cstheme="minorHAnsi"/>
          <w:lang w:val="en-GB"/>
        </w:rPr>
        <w:t xml:space="preserve"> </w:t>
      </w:r>
    </w:p>
    <w:p w14:paraId="4513EE6E" w14:textId="1FAA8A83" w:rsidR="008A3579" w:rsidRPr="00B779BE" w:rsidRDefault="008A3579" w:rsidP="008A3579">
      <w:pPr>
        <w:jc w:val="both"/>
        <w:rPr>
          <w:rFonts w:cstheme="minorHAnsi"/>
          <w:lang w:val="en-GB"/>
        </w:rPr>
      </w:pPr>
      <w:r w:rsidRPr="00B779BE">
        <w:rPr>
          <w:rFonts w:cstheme="minorHAnsi"/>
          <w:lang w:val="en-GB"/>
        </w:rPr>
        <w:t xml:space="preserve">Previous studies have demonstrated the technical </w:t>
      </w:r>
      <w:commentRangeStart w:id="6"/>
      <w:r w:rsidRPr="00B779BE">
        <w:rPr>
          <w:rFonts w:cstheme="minorHAnsi"/>
          <w:lang w:val="en-GB"/>
        </w:rPr>
        <w:t>feasibility</w:t>
      </w:r>
      <w:commentRangeEnd w:id="6"/>
      <w:r w:rsidR="00EA3B49">
        <w:rPr>
          <w:rStyle w:val="CommentReference"/>
          <w:lang w:val="en-GB"/>
        </w:rPr>
        <w:commentReference w:id="6"/>
      </w:r>
      <w:r w:rsidRPr="00B779BE">
        <w:rPr>
          <w:rFonts w:cstheme="minorHAnsi"/>
          <w:lang w:val="en-GB"/>
        </w:rPr>
        <w:fldChar w:fldCharType="begin"/>
      </w:r>
      <w:r w:rsidRPr="00B779BE">
        <w:rPr>
          <w:rFonts w:cstheme="minorHAnsi"/>
          <w:lang w:val="en-GB"/>
        </w:rPr>
        <w:instrText xml:space="preserve"> ADDIN ZOTERO_ITEM CSL_CITATION {"citationID":"WRVksAsW","properties":{"formattedCitation":"\\super 8,11,13,14\\nosupersub{}","plainCitation":"8,11,13,14","noteIndex":0},"citationItems":[{"id":901,"uris":["http://zotero.org/users/9157291/items/U2JU5DYJ"],"itemData":{"id":901,"type":"report","language":"en","note":"DOI: 10.1787/f6daa4a0-en","publisher":"International Energy Agency","source":"DOI.org (Crossref)","title":"Ammonia Technology Roadmap: Towards more sustainable nitrogen fertiliser production","title-short":"Ammonia Technology Roadmap","URL":"https://www.oecd-ilibrary.org/energy/ammonia-technology-roadmap_f6daa4a0-en","author":[{"literal":"IEA"}],"accessed":{"date-parts":[["2022",12,19]]},"issued":{"date-parts":[["2021",10,18]]}}},{"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Fernanda"}],"accessed":{"date-parts":[["2022",12,9]]},"issued":{"date-parts":[["2022"]]}}},{"id":938,"uris":["http://zotero.org/users/9157291/items/VCI52L9Z"],"itemData":{"id":938,"type":"report","language":"en","page":"60","publisher":"International Energy Agency","source":"Zotero","title":"Technology Roadmap Energy and GHG Reductions in the Chemical Industry via Catalytic Processes","author":[{"family":"IEA","given":""}],"issued":{"date-parts":[["2013"]]}}},{"id":807,"uris":["http://zotero.org/users/9157291/items/27ZU9RRM"],"itemData":{"id":807,"type":"article-journal","abstract":"Carbon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8,11,13,14</w:t>
      </w:r>
      <w:r w:rsidRPr="00B779BE">
        <w:rPr>
          <w:rFonts w:cstheme="minorHAnsi"/>
          <w:lang w:val="en-GB"/>
        </w:rPr>
        <w:fldChar w:fldCharType="end"/>
      </w:r>
      <w:r w:rsidRPr="00B779BE">
        <w:rPr>
          <w:rFonts w:cstheme="minorHAnsi"/>
          <w:lang w:val="en-GB"/>
        </w:rPr>
        <w:t xml:space="preserve"> and potential climate benefits</w:t>
      </w:r>
      <w:r w:rsidRPr="00B779BE">
        <w:rPr>
          <w:rFonts w:cstheme="minorHAnsi"/>
          <w:lang w:val="en-GB"/>
        </w:rPr>
        <w:fldChar w:fldCharType="begin"/>
      </w:r>
      <w:r w:rsidRPr="00B779BE">
        <w:rPr>
          <w:rFonts w:cstheme="minorHAnsi"/>
          <w:lang w:val="en-GB"/>
        </w:rPr>
        <w:instrText xml:space="preserve"> ADDIN ZOTERO_ITEM CSL_CITATION {"citationID":"4uxQQGaL","properties":{"formattedCitation":"\\super 15\\uc0\\u8211{}18\\nosupersub{}","plainCitation":"15–18","noteIndex":0},"citationItems":[{"id":684,"uris":["http://zotero.org/users/9157291/items/AFKW7KRC"],"itemData":{"id":684,"type":"article-journal","abstract":"At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José"},{"family":"Pérez-Ramírez","given":"Javier"},{"family":"Guillén-Gosálbez","given":"Gonzalo"}],"issued":{"date-parts":[["2021",7,26]]}}},{"id":704,"uris":["http://zotero.org/users/9157291/items/VK4IQBHF"],"itemData":{"id":704,"type":"article-journal","abstract":"The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708,"uris":["http://zotero.org/users/9157291/items/9MFRQVYI"],"itemData":{"id":708,"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Chemistry","page":"113-124","source":"pubs.rsc.org","title":"Trade-offs between Sustainable Development Goals in carbon capture and utilisation","volume":"16","author":[{"family":"Ioannou","given":"Iasonas"},{"family":"Galán-Martín","given":"Ángel"},{"family":"Pérez-Ramírez","given":"Javier"},{"family":"Guillén-Gosálbez","given":"Gonzalo"}],"issued":{"date-parts":[["2023"]]}}},{"id":699,"uris":["http://zotero.org/users/9157291/items/F2TCR293"],"itemData":{"id":699,"type":"article-journal","container-title":"Proceedings of the National Academy of Sciences","DOI":"10.1073/pnas.1821029116","issue":"23","journalAbbreviation":"Proc. Natl. Acad. Sci. U.S.A.","note":"publisher: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15–18</w:t>
      </w:r>
      <w:r w:rsidRPr="00B779BE">
        <w:rPr>
          <w:rFonts w:cstheme="minorHAnsi"/>
          <w:lang w:val="en-GB"/>
        </w:rPr>
        <w:fldChar w:fldCharType="end"/>
      </w:r>
      <w:r w:rsidRPr="00B779BE">
        <w:rPr>
          <w:rFonts w:cstheme="minorHAnsi"/>
          <w:lang w:val="en-GB"/>
        </w:rPr>
        <w:t xml:space="preserve"> of green production of chemicals, but the common challenge is the high production costs compared to fossil-based methods</w:t>
      </w:r>
      <w:r w:rsidR="00E415D1" w:rsidRPr="00B779BE">
        <w:rPr>
          <w:rFonts w:cstheme="minorHAnsi"/>
          <w:lang w:val="en-GB"/>
        </w:rPr>
        <w:t>.</w:t>
      </w:r>
      <w:r w:rsidRPr="00B779BE">
        <w:rPr>
          <w:rFonts w:cstheme="minorHAnsi"/>
          <w:lang w:val="en-GB"/>
        </w:rPr>
        <w:fldChar w:fldCharType="begin"/>
      </w:r>
      <w:r w:rsidRPr="00B779BE">
        <w:rPr>
          <w:rFonts w:cstheme="minorHAnsi"/>
          <w:lang w:val="en-GB"/>
        </w:rPr>
        <w:instrText xml:space="preserve"> ADDIN ZOTERO_ITEM CSL_CITATION {"citationID":"sPb4ycfd","properties":{"formattedCitation":"\\super 15,19,20\\nosupersub{}","plainCitation":"15,19,20","noteIndex":0},"citationItems":[{"id":361,"uris":["http://zotero.org/users/9157291/items/69SKN82T"],"itemData":{"id":361,"type":"article-journal","abstract":"The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K."}],"issued":{"date-parts":[["2019",11]]}}},{"id":684,"uris":["http://zotero.org/users/9157291/items/AFKW7KRC"],"itemData":{"id":684,"type":"article-journal","abstract":"At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José"},{"family":"Pérez-Ramírez","given":"Javier"},{"family":"Guillén-Gosálbez","given":"Gonzalo"}],"issued":{"date-parts":[["2021",7,26]]}}},{"id":681,"uris":["http://zotero.org/users/9157291/items/GTFADUPK"],"itemData":{"id":681,"type":"article-journal","abstract":"The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15,19,20</w:t>
      </w:r>
      <w:r w:rsidRPr="00B779BE">
        <w:rPr>
          <w:rFonts w:cstheme="minorHAnsi"/>
          <w:lang w:val="en-GB"/>
        </w:rPr>
        <w:fldChar w:fldCharType="end"/>
      </w:r>
      <w:r w:rsidRPr="00B779BE">
        <w:rPr>
          <w:rFonts w:cstheme="minorHAnsi"/>
          <w:lang w:val="en-GB"/>
        </w:rPr>
        <w:t xml:space="preserve"> Historically, Europe has experienced higher production costs for chemicals due to elevated labour and feedstock expenses</w:t>
      </w:r>
      <w:r w:rsidR="00E415D1" w:rsidRPr="00B779BE">
        <w:rPr>
          <w:rFonts w:cstheme="minorHAnsi"/>
          <w:lang w:val="en-GB"/>
        </w:rPr>
        <w:t>.</w:t>
      </w:r>
      <w:r w:rsidRPr="00B779BE">
        <w:rPr>
          <w:rFonts w:cstheme="minorHAnsi"/>
          <w:lang w:val="en-GB"/>
        </w:rPr>
        <w:fldChar w:fldCharType="begin"/>
      </w:r>
      <w:r w:rsidRPr="00B779BE">
        <w:rPr>
          <w:rFonts w:cstheme="minorHAnsi"/>
          <w:lang w:val="en-GB"/>
        </w:rPr>
        <w:instrText xml:space="preserve"> ADDIN ZOTERO_ITEM CSL_CITATION {"citationID":"qowpZTcy","properties":{"formattedCitation":"\\super 21\\nosupersub{}","plainCitation":"21","noteIndex":0},"citationItems":[{"id":638,"uris":["http://zotero.org/users/9157291/items/97IRYBPV"],"itemData":{"id":638,"type":"article-journal","abstract":"Our study compares chemical production costs in the European Union (EU) and other countries in order to understand whether these costs are higher in the case of Europe than in other countries. Our analysis focuses on ammonia, methanol and light olefins (ethylene and propylene), as all of them are considered chemical compounds produced in large scale. The countries selected for comparison are USA, Russia, Ukraine and Saudi Arabia, since they have high shares of extra-EU28 trade and/or the global installed capacity of the selected products. A bottom-up approach (based on information at facility level) has been followed, including 116, 29, 122 and 224 facilities producing ammonia, methanol, ethylene and propylene respectively. Taking into consideration the complex differences in technologies and co-products between operators, costs are broken down to six components: (1) feedstock, (2) credits (due to co-products), (3) electricity, (4) thermal energy 5) other materials (chemicals, catalysts etc.) and (6) labour and other costs (salaries, overheads etc.). Our findings suggest that it is not easy to reach a common conclusion about the whole chemical industry. Overall costs compare more favourably among countries than initially thought in the case of processes producing co-products, but maybe less favourably when processes are without co-products. The European industry has lower production costs than the industries in the other countries in the case of ethylene and propylene, but higher in the case of ammonia and methanol. Feedstock costs play the most important role in the total production costs of all four products, but the presence of credits due to by-products could change the behaviour of the total costs.","container-title":"Renewable and Sustainable Energy Reviews","DOI":"10.1016/j.rser.2016.02.021","ISSN":"1364-0321","issue":"Part 2","journalAbbreviation":"Renew. Sust. Energ. Rev.","language":"en","page":"1205-1212","source":"ScienceDirect","title":"Production costs of the chemical industry in the EU and other countries: Ammonia, methanol and light olefins","title-short":"Production costs of the chemical industry in the EU and other countries","volume":"68","author":[{"family":"Boulamanti","given":"Aikaterini"},{"family":"Moya","given":"Jose A."}],"issued":{"date-parts":[["2017",2,1]]}}}],"schema":"https://github.com/citation-style-language/schema/raw/master/csl-citation.json"}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21</w:t>
      </w:r>
      <w:r w:rsidRPr="00B779BE">
        <w:rPr>
          <w:rFonts w:cstheme="minorHAnsi"/>
          <w:lang w:val="en-GB"/>
        </w:rPr>
        <w:fldChar w:fldCharType="end"/>
      </w:r>
      <w:r w:rsidRPr="00B779BE">
        <w:rPr>
          <w:rFonts w:cstheme="minorHAnsi"/>
          <w:lang w:val="en-GB"/>
        </w:rPr>
        <w:t xml:space="preserve"> The global energy market disruption has further amplified this gap. For example, between 2020 and 2022, natural gas prices increased by a factor of 1.6 in the US compared to 9.6 in Europe</w:t>
      </w:r>
      <w:r w:rsidRPr="00B779BE">
        <w:rPr>
          <w:rFonts w:cstheme="minorHAnsi"/>
          <w:lang w:val="en-GB"/>
        </w:rPr>
        <w:fldChar w:fldCharType="begin"/>
      </w:r>
      <w:r w:rsidRPr="00B779BE">
        <w:rPr>
          <w:rFonts w:cstheme="minorHAnsi"/>
          <w:lang w:val="en-GB"/>
        </w:rPr>
        <w:instrText xml:space="preserve"> ADDIN ZOTERO_ITEM CSL_CITATION {"citationID":"I7dOfOej","properties":{"formattedCitation":"\\super 22\\nosupersub{}","plainCitation":"22","noteIndex":0},"citationItems":[{"id":932,"uris":["http://zotero.org/users/9157291/items/ASL4MQPD"],"itemData":{"id":932,"type":"report","event-place":"Washington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22</w:t>
      </w:r>
      <w:r w:rsidRPr="00B779BE">
        <w:rPr>
          <w:rFonts w:cstheme="minorHAnsi"/>
          <w:lang w:val="en-GB"/>
        </w:rPr>
        <w:fldChar w:fldCharType="end"/>
      </w:r>
      <w:r w:rsidRPr="00B779BE">
        <w:rPr>
          <w:rFonts w:cstheme="minorHAnsi"/>
          <w:lang w:val="en-GB"/>
        </w:rPr>
        <w:t xml:space="preserve">, </w:t>
      </w:r>
      <w:r w:rsidRPr="00B779BE">
        <w:rPr>
          <w:rFonts w:cstheme="minorHAnsi"/>
          <w:lang w:val="en-GB"/>
        </w:rPr>
        <w:lastRenderedPageBreak/>
        <w:t>halting more than half of Europe's ammonia production capacity (around 8% of global production</w:t>
      </w:r>
      <w:r w:rsidRPr="00B779BE">
        <w:rPr>
          <w:rFonts w:cstheme="minorHAnsi"/>
          <w:lang w:val="en-GB"/>
        </w:rPr>
        <w:fldChar w:fldCharType="begin"/>
      </w:r>
      <w:r w:rsidRPr="00B779BE">
        <w:rPr>
          <w:rFonts w:cstheme="minorHAnsi"/>
          <w:lang w:val="en-GB"/>
        </w:rPr>
        <w:instrText xml:space="preserve"> ADDIN ZOTERO_ITEM CSL_CITATION {"citationID":"oeRqOW4i","properties":{"formattedCitation":"\\super 11\\nosupersub{}","plainCitation":"11","noteIndex":0},"citationItems":[{"id":810,"uris":["http://zotero.org/users/9157291/items/86IUUBD4"],"itemData":{"id":810,"type":"report","publisher":"DECHEMA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11</w:t>
      </w:r>
      <w:r w:rsidRPr="00B779BE">
        <w:rPr>
          <w:rFonts w:cstheme="minorHAnsi"/>
          <w:lang w:val="en-GB"/>
        </w:rPr>
        <w:fldChar w:fldCharType="end"/>
      </w:r>
      <w:r w:rsidRPr="00B779BE">
        <w:rPr>
          <w:rFonts w:cstheme="minorHAnsi"/>
          <w:lang w:val="en-GB"/>
        </w:rPr>
        <w:t>) in 2022</w:t>
      </w:r>
      <w:r w:rsidR="00E415D1" w:rsidRPr="00B779BE">
        <w:rPr>
          <w:rFonts w:cstheme="minorHAnsi"/>
          <w:lang w:val="en-GB"/>
        </w:rPr>
        <w:t>.</w:t>
      </w:r>
      <w:r w:rsidRPr="00B779BE">
        <w:rPr>
          <w:rFonts w:cstheme="minorHAnsi"/>
          <w:lang w:val="en-GB"/>
        </w:rPr>
        <w:fldChar w:fldCharType="begin"/>
      </w:r>
      <w:r w:rsidRPr="00B779BE">
        <w:rPr>
          <w:rFonts w:cstheme="minorHAnsi"/>
          <w:lang w:val="en-GB"/>
        </w:rPr>
        <w:instrText xml:space="preserve"> ADDIN ZOTERO_ITEM CSL_CITATION {"citationID":"OFI4q7zf","properties":{"formattedCitation":"\\super 23,24\\nosupersub{}","plainCitation":"23,24","noteIndex":0},"citationItems":[{"id":931,"uris":["http://zotero.org/users/9157291/items/ZNIINMHR"],"itemData":{"id":931,"type":"webpage","abstract":"Europe’s fertilizer crunch tightened after Yara International ASA cut output in the face of soaring gas prices, putting more pressure on food supplies as a cost-of-living crisis intensifies.","container-title":"Bloomberg.com","language":"en","title":"Europe’s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930,"uris":["http://zotero.org/users/9157291/items/J9GLHR82"],"itemData":{"id":930,"type":"webpage","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23,24</w:t>
      </w:r>
      <w:r w:rsidRPr="00B779BE">
        <w:rPr>
          <w:rFonts w:cstheme="minorHAnsi"/>
          <w:lang w:val="en-GB"/>
        </w:rPr>
        <w:fldChar w:fldCharType="end"/>
      </w:r>
      <w:r w:rsidR="00803A8A">
        <w:rPr>
          <w:rFonts w:cstheme="minorHAnsi"/>
          <w:lang w:val="en-GB"/>
        </w:rPr>
        <w:t xml:space="preserve"> </w:t>
      </w:r>
      <w:r w:rsidRPr="00B779BE">
        <w:rPr>
          <w:rFonts w:cstheme="minorHAnsi"/>
          <w:lang w:val="en-GB"/>
        </w:rPr>
        <w:t>As a result, the chemical industry may consider relocating production to regions with lower costs rather than implementing domestic green production strategies. However, this could have detrimental socio-economic effects and undermine Europe's leadership in chemical production while increasing its susceptibility to supply disruptions. Furthermore, this sector employs approximately 1.2 million people across the continent</w:t>
      </w:r>
      <w:r w:rsidRPr="00B779BE">
        <w:rPr>
          <w:rFonts w:cstheme="minorHAnsi"/>
          <w:lang w:val="en-GB"/>
        </w:rPr>
        <w:fldChar w:fldCharType="begin"/>
      </w:r>
      <w:r w:rsidRPr="00B779BE">
        <w:rPr>
          <w:rFonts w:cstheme="minorHAnsi"/>
          <w:lang w:val="en-GB"/>
        </w:rPr>
        <w:instrText xml:space="preserve"> ADDIN ZOTERO_ITEM CSL_CITATION {"citationID":"pJ4R1O14","properties":{"formattedCitation":"\\super 25\\nosupersub{}","plainCitation":"25","noteIndex":0},"citationItems":[{"id":156,"uris":["http://zotero.org/users/9157291/items/44HGAMH3"],"itemData":{"id":156,"type":"report","publisher":"European Chemical Industry Council","title":"The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25</w:t>
      </w:r>
      <w:r w:rsidRPr="00B779BE">
        <w:rPr>
          <w:rFonts w:cstheme="minorHAnsi"/>
          <w:lang w:val="en-GB"/>
        </w:rPr>
        <w:fldChar w:fldCharType="end"/>
      </w:r>
      <w:r w:rsidRPr="00B779BE">
        <w:rPr>
          <w:rFonts w:cstheme="minorHAnsi"/>
          <w:lang w:val="en-GB"/>
        </w:rPr>
        <w:t>, who would be at risk in such an uncertain scenario.</w:t>
      </w:r>
    </w:p>
    <w:p w14:paraId="5EC5A560" w14:textId="78A7AAEB" w:rsidR="00550978" w:rsidRPr="00B779BE" w:rsidRDefault="008A3579" w:rsidP="00E825C8">
      <w:pPr>
        <w:jc w:val="both"/>
        <w:rPr>
          <w:rFonts w:cstheme="minorHAnsi"/>
          <w:lang w:val="en-GB"/>
        </w:rPr>
      </w:pPr>
      <w:r w:rsidRPr="00B779BE">
        <w:rPr>
          <w:rFonts w:cstheme="minorHAnsi"/>
          <w:lang w:val="en-GB"/>
        </w:rPr>
        <w:t>However, this unexpected situation may present an opportunity to enhance the economic competitiveness of green chemicals and accelerate the shift to renewable sources. It is yet to be determined whether green chemicals can demonstrate economic competitiveness in addition to their environmental dominance in the current situation. To bridge this crucial research gap, we conduct a monthly techno-economic assessment of Europe's production costs for green and fossil ammonia and methanol.</w:t>
      </w:r>
      <w:r w:rsidR="00452F17" w:rsidRPr="00B779BE">
        <w:rPr>
          <w:rFonts w:cstheme="minorHAnsi"/>
          <w:lang w:val="en-GB"/>
        </w:rPr>
        <w:t xml:space="preserve"> Graphical representations for the techno-economic calculations are shown in </w:t>
      </w:r>
      <w:r w:rsidR="00452F17" w:rsidRPr="00B779BE">
        <w:rPr>
          <w:rFonts w:cstheme="minorHAnsi"/>
          <w:b/>
          <w:lang w:val="en-GB"/>
        </w:rPr>
        <w:t>Figure</w:t>
      </w:r>
      <w:r w:rsidR="00D02C55" w:rsidRPr="00B779BE">
        <w:rPr>
          <w:rFonts w:cstheme="minorHAnsi"/>
          <w:b/>
          <w:lang w:val="en-GB"/>
        </w:rPr>
        <w:t> </w:t>
      </w:r>
      <w:r w:rsidR="00452F17" w:rsidRPr="00B779BE">
        <w:rPr>
          <w:rFonts w:cstheme="minorHAnsi"/>
          <w:b/>
          <w:lang w:val="en-GB"/>
        </w:rPr>
        <w:t>S3</w:t>
      </w:r>
      <w:r w:rsidR="00452F17" w:rsidRPr="00B779BE">
        <w:rPr>
          <w:rFonts w:cstheme="minorHAnsi"/>
          <w:lang w:val="en-GB"/>
        </w:rPr>
        <w:t xml:space="preserve"> for ammonia and </w:t>
      </w:r>
      <w:r w:rsidR="00452F17" w:rsidRPr="00B779BE">
        <w:rPr>
          <w:rFonts w:cstheme="minorHAnsi"/>
          <w:b/>
          <w:lang w:val="en-GB"/>
        </w:rPr>
        <w:t>Figure</w:t>
      </w:r>
      <w:r w:rsidR="00D02C55" w:rsidRPr="00B779BE">
        <w:rPr>
          <w:rFonts w:cstheme="minorHAnsi"/>
          <w:b/>
          <w:lang w:val="en-GB"/>
        </w:rPr>
        <w:t> </w:t>
      </w:r>
      <w:r w:rsidR="00452F17" w:rsidRPr="00B779BE">
        <w:rPr>
          <w:rFonts w:cstheme="minorHAnsi"/>
          <w:b/>
          <w:lang w:val="en-GB"/>
        </w:rPr>
        <w:t>S4</w:t>
      </w:r>
      <w:r w:rsidR="00452F17" w:rsidRPr="00B779BE">
        <w:rPr>
          <w:rFonts w:cstheme="minorHAnsi"/>
          <w:lang w:val="en-GB"/>
        </w:rPr>
        <w:t xml:space="preserve"> for methanol, respectively.</w:t>
      </w:r>
    </w:p>
    <w:p w14:paraId="56DE3159" w14:textId="62F0EEDC" w:rsidR="008A3579" w:rsidRPr="00B779BE" w:rsidRDefault="008A3579" w:rsidP="008A3579">
      <w:pPr>
        <w:pStyle w:val="Heading2"/>
      </w:pPr>
      <w:r w:rsidRPr="00B779BE">
        <w:t>Results</w:t>
      </w:r>
    </w:p>
    <w:p w14:paraId="251805B7" w14:textId="77777777" w:rsidR="008A3579" w:rsidRPr="00B779BE" w:rsidRDefault="008A3579" w:rsidP="008A3579">
      <w:pPr>
        <w:pStyle w:val="Heading3"/>
      </w:pPr>
      <w:r w:rsidRPr="00B779BE">
        <w:t>Surging natural gas prices highlight the need for low-carbon alternatives</w:t>
      </w:r>
    </w:p>
    <w:p w14:paraId="25A003EA" w14:textId="5F17EC05" w:rsidR="008A3579" w:rsidRPr="00B779BE" w:rsidRDefault="008A3579" w:rsidP="008A3579">
      <w:pPr>
        <w:jc w:val="both"/>
        <w:rPr>
          <w:rFonts w:cstheme="minorHAnsi"/>
          <w:lang w:val="en-GB"/>
        </w:rPr>
      </w:pPr>
      <w:r w:rsidRPr="00B779BE">
        <w:rPr>
          <w:lang w:val="en-GB"/>
        </w:rPr>
        <w:t>We use natural gas spot prices at the reference Dutch TTF trading hub as a benchmark, but acknowledge that ongoing long-term confidential contracts signed by companies may affect actual production costs. We validated our estimates by comparing them to actual market prices during a stable period before the 2022 disruption, and our results align well with ammonia and methanol market prices over the past few years</w:t>
      </w:r>
      <w:r w:rsidRPr="00B779BE">
        <w:rPr>
          <w:rFonts w:cstheme="minorHAnsi"/>
          <w:lang w:val="en-GB"/>
        </w:rPr>
        <w:t xml:space="preserve"> as shown in </w:t>
      </w:r>
      <w:r w:rsidRPr="00B779BE">
        <w:rPr>
          <w:rFonts w:cstheme="minorHAnsi"/>
          <w:b/>
          <w:lang w:val="en-GB"/>
        </w:rPr>
        <w:t>Figure</w:t>
      </w:r>
      <w:r w:rsidR="007035ED" w:rsidRPr="00B779BE">
        <w:rPr>
          <w:rFonts w:cstheme="minorHAnsi"/>
          <w:b/>
          <w:lang w:val="en-GB"/>
        </w:rPr>
        <w:t>s</w:t>
      </w:r>
      <w:r w:rsidR="007B21A3" w:rsidRPr="00B779BE">
        <w:rPr>
          <w:rFonts w:cstheme="minorHAnsi"/>
          <w:b/>
          <w:lang w:val="en-GB"/>
        </w:rPr>
        <w:t> </w:t>
      </w:r>
      <w:r w:rsidR="0026672C" w:rsidRPr="00B779BE">
        <w:rPr>
          <w:rFonts w:cstheme="minorHAnsi"/>
          <w:b/>
          <w:lang w:val="en-GB"/>
        </w:rPr>
        <w:t>S</w:t>
      </w:r>
      <w:r w:rsidR="001B516D" w:rsidRPr="00B779BE">
        <w:rPr>
          <w:rFonts w:cstheme="minorHAnsi"/>
          <w:b/>
          <w:lang w:val="en-GB"/>
        </w:rPr>
        <w:t>7</w:t>
      </w:r>
      <w:r w:rsidR="00D239E7" w:rsidRPr="00B779BE">
        <w:rPr>
          <w:rFonts w:cstheme="minorHAnsi"/>
          <w:lang w:val="en-GB"/>
        </w:rPr>
        <w:t xml:space="preserve"> </w:t>
      </w:r>
      <w:r w:rsidRPr="00B779BE">
        <w:rPr>
          <w:rFonts w:cstheme="minorHAnsi"/>
          <w:lang w:val="en-GB"/>
        </w:rPr>
        <w:t>and</w:t>
      </w:r>
      <w:r w:rsidR="007B21A3" w:rsidRPr="00B779BE">
        <w:rPr>
          <w:rFonts w:cstheme="minorHAnsi"/>
          <w:b/>
          <w:lang w:val="en-GB"/>
        </w:rPr>
        <w:t> </w:t>
      </w:r>
      <w:r w:rsidR="0026672C" w:rsidRPr="00B779BE">
        <w:rPr>
          <w:rFonts w:cstheme="minorHAnsi"/>
          <w:b/>
          <w:lang w:val="en-GB"/>
        </w:rPr>
        <w:t>S</w:t>
      </w:r>
      <w:r w:rsidR="001B516D" w:rsidRPr="00B779BE">
        <w:rPr>
          <w:rFonts w:cstheme="minorHAnsi"/>
          <w:b/>
          <w:lang w:val="en-GB"/>
        </w:rPr>
        <w:t>8</w:t>
      </w:r>
      <w:r w:rsidR="009130E9" w:rsidRPr="00B779BE">
        <w:rPr>
          <w:rFonts w:cstheme="minorHAnsi"/>
          <w:b/>
          <w:lang w:val="en-GB"/>
        </w:rPr>
        <w:t xml:space="preserve"> </w:t>
      </w:r>
      <w:r w:rsidRPr="00B779BE">
        <w:rPr>
          <w:rFonts w:cstheme="minorHAnsi"/>
          <w:lang w:val="en-GB"/>
        </w:rPr>
        <w:t>respectively</w:t>
      </w:r>
      <w:r w:rsidRPr="00B779BE">
        <w:rPr>
          <w:lang w:val="en-GB"/>
        </w:rPr>
        <w:t xml:space="preserve">. </w:t>
      </w:r>
      <w:r w:rsidRPr="00B779BE">
        <w:rPr>
          <w:rFonts w:cstheme="minorHAnsi"/>
          <w:lang w:val="en-GB"/>
        </w:rPr>
        <w:t>The so-evaluated production cost assuming the use of natural gas sold at current European market prices for fossil ammonia surged from 0.4 USD kg</w:t>
      </w:r>
      <w:r w:rsidRPr="00B779BE">
        <w:rPr>
          <w:rFonts w:cstheme="minorHAnsi"/>
          <w:vertAlign w:val="superscript"/>
          <w:lang w:val="en-GB"/>
        </w:rPr>
        <w:t>−1</w:t>
      </w:r>
      <w:r w:rsidRPr="00B779BE">
        <w:rPr>
          <w:rFonts w:cstheme="minorHAnsi"/>
          <w:lang w:val="en-GB"/>
        </w:rPr>
        <w:t xml:space="preserve"> (averaged value in 2019-2020) to 1.3 USD kg</w:t>
      </w:r>
      <w:r w:rsidRPr="00B779BE">
        <w:rPr>
          <w:rFonts w:cstheme="minorHAnsi"/>
          <w:vertAlign w:val="superscript"/>
          <w:lang w:val="en-GB"/>
        </w:rPr>
        <w:t>−1</w:t>
      </w:r>
      <w:r w:rsidRPr="00B779BE">
        <w:rPr>
          <w:rFonts w:cstheme="minorHAnsi"/>
          <w:lang w:val="en-GB"/>
        </w:rPr>
        <w:t xml:space="preserve"> in November 2022 (</w:t>
      </w:r>
      <w:r w:rsidR="00D239E7" w:rsidRPr="00B779BE">
        <w:rPr>
          <w:rFonts w:cstheme="minorHAnsi"/>
          <w:b/>
          <w:bCs/>
          <w:lang w:val="en-GB"/>
        </w:rPr>
        <w:t>Figure 1a</w:t>
      </w:r>
      <w:r w:rsidRPr="00B779BE">
        <w:rPr>
          <w:rFonts w:cstheme="minorHAnsi"/>
          <w:lang w:val="en-GB"/>
        </w:rPr>
        <w:t>), while fossil methanol costs evolved from 0.2 to 1.2 USD kg</w:t>
      </w:r>
      <w:r w:rsidRPr="00B779BE">
        <w:rPr>
          <w:rFonts w:cstheme="minorHAnsi"/>
          <w:vertAlign w:val="superscript"/>
          <w:lang w:val="en-GB"/>
        </w:rPr>
        <w:t>−1</w:t>
      </w:r>
      <w:r w:rsidRPr="00B779BE">
        <w:rPr>
          <w:rFonts w:cstheme="minorHAnsi"/>
          <w:lang w:val="en-GB"/>
        </w:rPr>
        <w:t xml:space="preserve"> during the same period (</w:t>
      </w:r>
      <w:r w:rsidR="00953561" w:rsidRPr="00B779BE">
        <w:rPr>
          <w:rFonts w:cstheme="minorHAnsi"/>
          <w:b/>
          <w:bCs/>
          <w:lang w:val="en-GB"/>
        </w:rPr>
        <w:t>Figure 1b</w:t>
      </w:r>
      <w:r w:rsidRPr="00B779BE">
        <w:rPr>
          <w:rFonts w:cstheme="minorHAnsi"/>
          <w:lang w:val="en-GB"/>
        </w:rPr>
        <w:t>). These increases are directly connected to steadily rising natural gas spot prices due to the COVID-19 pandemic and later to the Russian-Ukraine conflict in February 2022, when volatility increased. Over this unstable period, prices fluctuated considerably and peaked in August 2022 at 2.4 USD kg</w:t>
      </w:r>
      <w:r w:rsidRPr="00B779BE">
        <w:rPr>
          <w:rFonts w:cstheme="minorHAnsi"/>
          <w:vertAlign w:val="superscript"/>
          <w:lang w:val="en-GB"/>
        </w:rPr>
        <w:t>−1</w:t>
      </w:r>
      <w:r w:rsidRPr="00B779BE">
        <w:rPr>
          <w:rFonts w:cstheme="minorHAnsi"/>
          <w:lang w:val="en-GB"/>
        </w:rPr>
        <w:t xml:space="preserve"> for ammonia and 2.2 USD kg</w:t>
      </w:r>
      <w:r w:rsidRPr="00B779BE">
        <w:rPr>
          <w:rFonts w:cstheme="minorHAnsi"/>
          <w:vertAlign w:val="superscript"/>
          <w:lang w:val="en-GB"/>
        </w:rPr>
        <w:t>−1</w:t>
      </w:r>
      <w:r w:rsidRPr="00B779BE">
        <w:rPr>
          <w:rFonts w:cstheme="minorHAnsi"/>
          <w:lang w:val="en-GB"/>
        </w:rPr>
        <w:t xml:space="preserve"> for methanol. </w:t>
      </w:r>
    </w:p>
    <w:p w14:paraId="5EE69BAF" w14:textId="77777777" w:rsidR="008A3579" w:rsidRPr="00B779BE" w:rsidRDefault="008A3579" w:rsidP="008A3579">
      <w:pPr>
        <w:pStyle w:val="Heading3"/>
      </w:pPr>
      <w:r w:rsidRPr="00B779BE">
        <w:t>Cost-competitiveness of green ammonia and methanol production routes</w:t>
      </w:r>
    </w:p>
    <w:p w14:paraId="4FEF7213" w14:textId="5659F73A" w:rsidR="008A3579" w:rsidRPr="00B779BE" w:rsidRDefault="008A3579" w:rsidP="008A3579">
      <w:pPr>
        <w:jc w:val="both"/>
        <w:rPr>
          <w:rFonts w:cstheme="minorHAnsi"/>
          <w:lang w:val="en-GB"/>
        </w:rPr>
      </w:pPr>
      <w:r w:rsidRPr="00B779BE">
        <w:rPr>
          <w:rFonts w:cstheme="minorHAnsi"/>
          <w:lang w:val="en-GB"/>
        </w:rPr>
        <w:t>We subsequently investigate the economic competitiveness of alternative production routes for ammonia and methanol in Europe, accounting for monthly fluctuations in energy prices. For ammonia, we analysed the Haber</w:t>
      </w:r>
      <w:r w:rsidR="00FC6420">
        <w:rPr>
          <w:rFonts w:cstheme="minorHAnsi"/>
          <w:lang w:val="en-GB"/>
        </w:rPr>
        <w:noBreakHyphen/>
      </w:r>
      <w:r w:rsidRPr="00B779BE">
        <w:rPr>
          <w:rFonts w:cstheme="minorHAnsi"/>
          <w:lang w:val="en-GB"/>
        </w:rPr>
        <w:t>Bosch process using four typical hydrogen sources</w:t>
      </w:r>
      <w:r w:rsidRPr="00B779BE">
        <w:rPr>
          <w:rFonts w:cstheme="minorHAnsi"/>
          <w:lang w:val="en-GB"/>
        </w:rPr>
        <w:fldChar w:fldCharType="begin"/>
      </w:r>
      <w:r w:rsidRPr="00B779BE">
        <w:rPr>
          <w:rFonts w:cstheme="minorHAnsi"/>
          <w:lang w:val="en-GB"/>
        </w:rPr>
        <w:instrText xml:space="preserve"> ADDIN ZOTERO_ITEM CSL_CITATION {"citationID":"WotvQdaP","properties":{"formattedCitation":"\\super 11\\nosupersub{}","plainCitation":"11","noteIndex":0},"citationItems":[{"id":810,"uris":["http://zotero.org/users/9157291/items/86IUUBD4"],"itemData":{"id":810,"type":"report","publisher":"DECHEMA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11</w:t>
      </w:r>
      <w:r w:rsidRPr="00B779BE">
        <w:rPr>
          <w:rFonts w:cstheme="minorHAnsi"/>
          <w:lang w:val="en-GB"/>
        </w:rPr>
        <w:fldChar w:fldCharType="end"/>
      </w:r>
      <w:r w:rsidRPr="00B779BE">
        <w:rPr>
          <w:rFonts w:cstheme="minorHAnsi"/>
          <w:lang w:val="en-GB"/>
        </w:rPr>
        <w:t>: grey hydrogen from steam methane reforming (SMR), blue hydrogen from SMR coupled with carbon capture and storage (CCS), green hydrogen from water electrolysis using solar photovoltaic (PV) electricity, and green hydrogen from water electrolysis using on-shore wind electricity. Similarly, we compared four alternative production routes for methanol: conventional synthesis from natural gas, synthesis from CO</w:t>
      </w:r>
      <w:r w:rsidRPr="00B779BE">
        <w:rPr>
          <w:rFonts w:cstheme="minorHAnsi"/>
          <w:vertAlign w:val="subscript"/>
          <w:lang w:val="en-GB"/>
        </w:rPr>
        <w:t>2</w:t>
      </w:r>
      <w:r w:rsidRPr="00B779BE">
        <w:rPr>
          <w:rFonts w:cstheme="minorHAnsi"/>
          <w:lang w:val="en-GB"/>
        </w:rPr>
        <w:t xml:space="preserve"> and blue hydrogen, solar PV</w:t>
      </w:r>
      <w:r w:rsidRPr="00B779BE">
        <w:rPr>
          <w:rFonts w:cstheme="minorHAnsi"/>
          <w:lang w:val="en-GB"/>
        </w:rPr>
        <w:noBreakHyphen/>
        <w:t>based electrolytic hydrogen, and wind-based electrolytic hydrogen, all using CO</w:t>
      </w:r>
      <w:r w:rsidRPr="00B779BE">
        <w:rPr>
          <w:rFonts w:cstheme="minorHAnsi"/>
          <w:vertAlign w:val="subscript"/>
          <w:lang w:val="en-GB"/>
        </w:rPr>
        <w:t>2</w:t>
      </w:r>
      <w:r w:rsidRPr="00B779BE">
        <w:rPr>
          <w:rFonts w:cstheme="minorHAnsi"/>
          <w:lang w:val="en-GB"/>
        </w:rPr>
        <w:t xml:space="preserve"> from direct air capture (DAC) to reduce GHG emissions and remove the risk of burden shifting</w:t>
      </w:r>
      <w:r w:rsidR="00E415D1" w:rsidRPr="00B779BE">
        <w:rPr>
          <w:rFonts w:cstheme="minorHAnsi"/>
          <w:lang w:val="en-GB"/>
        </w:rPr>
        <w:t>.</w:t>
      </w:r>
      <w:r w:rsidRPr="00B779BE">
        <w:rPr>
          <w:rFonts w:cstheme="minorHAnsi"/>
          <w:lang w:val="en-GB"/>
        </w:rPr>
        <w:fldChar w:fldCharType="begin"/>
      </w:r>
      <w:r w:rsidRPr="00B779BE">
        <w:rPr>
          <w:rFonts w:cstheme="minorHAnsi"/>
          <w:lang w:val="en-GB"/>
        </w:rPr>
        <w:instrText xml:space="preserve"> ADDIN ZOTERO_ITEM CSL_CITATION {"citationID":"flt1PZ4A","properties":{"formattedCitation":"\\super 16\\nosupersub{}","plainCitation":"16","noteIndex":0},"citationItems":[{"id":704,"uris":["http://zotero.org/users/9157291/items/VK4IQBHF"],"itemData":{"id":704,"type":"article-journal","abstract":"The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16</w:t>
      </w:r>
      <w:r w:rsidRPr="00B779BE">
        <w:rPr>
          <w:rFonts w:cstheme="minorHAnsi"/>
          <w:lang w:val="en-GB"/>
        </w:rPr>
        <w:fldChar w:fldCharType="end"/>
      </w:r>
      <w:r w:rsidRPr="00B779BE">
        <w:rPr>
          <w:rFonts w:cstheme="minorHAnsi"/>
          <w:lang w:val="en-GB"/>
        </w:rPr>
        <w:t xml:space="preserve"> See </w:t>
      </w:r>
      <w:r w:rsidR="008A7377" w:rsidRPr="00B779BE">
        <w:rPr>
          <w:rFonts w:cstheme="minorHAnsi"/>
          <w:lang w:val="en-GB"/>
        </w:rPr>
        <w:t>s</w:t>
      </w:r>
      <w:r w:rsidRPr="00B779BE">
        <w:rPr>
          <w:rFonts w:cstheme="minorHAnsi"/>
          <w:lang w:val="en-GB"/>
        </w:rPr>
        <w:t>ection </w:t>
      </w:r>
      <w:r w:rsidR="008A7377" w:rsidRPr="00B779BE">
        <w:rPr>
          <w:rFonts w:cstheme="minorHAnsi"/>
          <w:lang w:val="en-GB"/>
        </w:rPr>
        <w:t>1</w:t>
      </w:r>
      <w:r w:rsidRPr="00B779BE">
        <w:rPr>
          <w:rFonts w:cstheme="minorHAnsi"/>
          <w:lang w:val="en-GB"/>
        </w:rPr>
        <w:t xml:space="preserve"> of the ESI for more details on production routes.</w:t>
      </w:r>
    </w:p>
    <w:p w14:paraId="2FF81E9E" w14:textId="1CB0EDD4" w:rsidR="008A3579" w:rsidRPr="00B779BE" w:rsidRDefault="00731AFA" w:rsidP="008A3579">
      <w:pPr>
        <w:jc w:val="both"/>
        <w:rPr>
          <w:rFonts w:cstheme="minorHAnsi"/>
          <w:lang w:val="en-GB"/>
        </w:rPr>
      </w:pPr>
      <w:r w:rsidRPr="00B779BE">
        <w:rPr>
          <w:rFonts w:cstheme="minorHAnsi"/>
          <w:b/>
          <w:bCs/>
          <w:lang w:val="en-GB"/>
        </w:rPr>
        <w:t>Figure 2</w:t>
      </w:r>
      <w:r w:rsidR="004C2C29" w:rsidRPr="00B779BE">
        <w:rPr>
          <w:rFonts w:cstheme="minorHAnsi"/>
          <w:b/>
          <w:bCs/>
          <w:lang w:val="en-GB"/>
        </w:rPr>
        <w:t xml:space="preserve"> </w:t>
      </w:r>
      <w:r w:rsidR="008A3579" w:rsidRPr="00B779BE">
        <w:rPr>
          <w:rFonts w:cstheme="minorHAnsi"/>
          <w:lang w:val="en-GB"/>
        </w:rPr>
        <w:t>illustrates the cost-competitiveness of green versus fossil counterparts. As for ammonia, blue hydrogen</w:t>
      </w:r>
      <w:r w:rsidR="008106D3">
        <w:rPr>
          <w:rFonts w:cstheme="minorHAnsi"/>
          <w:lang w:val="en-GB"/>
        </w:rPr>
        <w:noBreakHyphen/>
      </w:r>
      <w:r w:rsidR="008A3579" w:rsidRPr="00B779BE">
        <w:rPr>
          <w:rFonts w:cstheme="minorHAnsi"/>
          <w:lang w:val="en-GB"/>
        </w:rPr>
        <w:t>based production follows a similar pattern as fossil ammonia, with slightly higher costs due to CCS (</w:t>
      </w:r>
      <w:r w:rsidRPr="00B779BE">
        <w:rPr>
          <w:rFonts w:cstheme="minorHAnsi"/>
          <w:b/>
          <w:bCs/>
          <w:lang w:val="en-GB"/>
        </w:rPr>
        <w:t>Figure 2a</w:t>
      </w:r>
      <w:r w:rsidR="008A3579" w:rsidRPr="00B779BE">
        <w:rPr>
          <w:rFonts w:cstheme="minorHAnsi"/>
          <w:lang w:val="en-GB"/>
        </w:rPr>
        <w:t>). However, green ammonia produced via solar PV-based electrolytic hydrogen has been a close competitor to fossil ammonia prices since matching them in August 2022 (</w:t>
      </w:r>
      <w:r w:rsidRPr="00B779BE">
        <w:rPr>
          <w:rFonts w:cstheme="minorHAnsi"/>
          <w:b/>
          <w:lang w:val="en-GB"/>
        </w:rPr>
        <w:t>Figure 2b</w:t>
      </w:r>
      <w:r w:rsidR="008A3579" w:rsidRPr="00B779BE">
        <w:rPr>
          <w:rFonts w:cstheme="minorHAnsi"/>
          <w:lang w:val="en-GB"/>
        </w:rPr>
        <w:t>). Even more remarkably, ammonia produced with hydrogen from water electrolysis using on-shore wind electricity became cheaper from December 2021 to October 2022 at natural gas prices around 1.7 USD kg</w:t>
      </w:r>
      <w:r w:rsidR="008A3579" w:rsidRPr="00B779BE">
        <w:rPr>
          <w:rFonts w:cstheme="minorHAnsi"/>
          <w:vertAlign w:val="superscript"/>
          <w:lang w:val="en-GB"/>
        </w:rPr>
        <w:t>−1</w:t>
      </w:r>
      <w:r w:rsidR="008A3579" w:rsidRPr="00B779BE">
        <w:rPr>
          <w:rFonts w:cstheme="minorHAnsi"/>
          <w:lang w:val="en-GB"/>
        </w:rPr>
        <w:t xml:space="preserve"> (</w:t>
      </w:r>
      <w:r w:rsidR="009E47FC" w:rsidRPr="00B779BE">
        <w:rPr>
          <w:rFonts w:cstheme="minorHAnsi"/>
          <w:b/>
          <w:bCs/>
          <w:lang w:val="en-GB"/>
        </w:rPr>
        <w:t>Figure 1</w:t>
      </w:r>
      <w:r w:rsidR="008A3579" w:rsidRPr="00B779BE">
        <w:rPr>
          <w:rFonts w:cstheme="minorHAnsi"/>
          <w:lang w:val="en-GB"/>
        </w:rPr>
        <w:t xml:space="preserve">) due to the higher capacity </w:t>
      </w:r>
      <w:r w:rsidR="008A3579" w:rsidRPr="00B779BE">
        <w:rPr>
          <w:rFonts w:cstheme="minorHAnsi"/>
          <w:lang w:val="en-GB"/>
        </w:rPr>
        <w:lastRenderedPageBreak/>
        <w:t>factor of wind- versus solar-powered water electrolysis (36–39% versus 16–18%)</w:t>
      </w:r>
      <w:r w:rsidR="00E415D1" w:rsidRPr="00B779BE">
        <w:rPr>
          <w:rFonts w:cstheme="minorHAnsi"/>
          <w:lang w:val="en-GB"/>
        </w:rPr>
        <w:t>.</w:t>
      </w:r>
      <w:r w:rsidR="008A3579" w:rsidRPr="00B779BE">
        <w:rPr>
          <w:rFonts w:cstheme="minorHAnsi"/>
          <w:lang w:val="en-GB"/>
        </w:rPr>
        <w:fldChar w:fldCharType="begin"/>
      </w:r>
      <w:r w:rsidR="008A3579" w:rsidRPr="00B779BE">
        <w:rPr>
          <w:rFonts w:cstheme="minorHAnsi"/>
          <w:lang w:val="en-GB"/>
        </w:rPr>
        <w:instrText xml:space="preserve"> ADDIN ZOTERO_ITEM CSL_CITATION {"citationID":"4WsfGQvU","properties":{"formattedCitation":"\\super 26\\nosupersub{}","plainCitation":"26","noteIndex":0},"citationItems":[{"id":920,"uris":["http://zotero.org/users/9157291/items/TXYNLTG5"],"itemData":{"id":920,"type":"report","event-place":"Abu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8A3579" w:rsidRPr="00B779BE">
        <w:rPr>
          <w:rFonts w:cstheme="minorHAnsi"/>
          <w:lang w:val="en-GB"/>
        </w:rPr>
        <w:fldChar w:fldCharType="separate"/>
      </w:r>
      <w:r w:rsidR="008A3579" w:rsidRPr="00B779BE">
        <w:rPr>
          <w:rFonts w:ascii="Calibri" w:hAnsi="Calibri" w:cs="Calibri"/>
          <w:szCs w:val="24"/>
          <w:vertAlign w:val="superscript"/>
          <w:lang w:val="en-GB"/>
        </w:rPr>
        <w:t>26</w:t>
      </w:r>
      <w:r w:rsidR="008A3579" w:rsidRPr="00B779BE">
        <w:rPr>
          <w:rFonts w:cstheme="minorHAnsi"/>
          <w:lang w:val="en-GB"/>
        </w:rPr>
        <w:fldChar w:fldCharType="end"/>
      </w:r>
      <w:r w:rsidR="008A3579" w:rsidRPr="00B779BE">
        <w:rPr>
          <w:rFonts w:cstheme="minorHAnsi"/>
          <w:lang w:val="en-GB"/>
        </w:rPr>
        <w:t xml:space="preserve"> Over this period, wind-based ammonia production costs ranged from 1.3 to 1.6 USD kg</w:t>
      </w:r>
      <w:r w:rsidR="008A3579" w:rsidRPr="00B779BE">
        <w:rPr>
          <w:rFonts w:cstheme="minorHAnsi"/>
          <w:vertAlign w:val="superscript"/>
          <w:lang w:val="en-GB"/>
        </w:rPr>
        <w:t>−1</w:t>
      </w:r>
      <w:r w:rsidR="008A3579" w:rsidRPr="00B779BE">
        <w:rPr>
          <w:rFonts w:cstheme="minorHAnsi"/>
          <w:lang w:val="en-GB"/>
        </w:rPr>
        <w:t xml:space="preserve"> (</w:t>
      </w:r>
      <w:r w:rsidR="003248E2" w:rsidRPr="00B779BE">
        <w:rPr>
          <w:rFonts w:cstheme="minorHAnsi"/>
          <w:b/>
          <w:bCs/>
          <w:lang w:val="en-GB"/>
        </w:rPr>
        <w:t>Figure 2c</w:t>
      </w:r>
      <w:r w:rsidR="008A3579" w:rsidRPr="00B779BE">
        <w:rPr>
          <w:rFonts w:cstheme="minorHAnsi"/>
          <w:b/>
          <w:bCs/>
          <w:lang w:val="en-GB"/>
        </w:rPr>
        <w:t xml:space="preserve">, </w:t>
      </w:r>
      <w:r w:rsidR="008A3579" w:rsidRPr="00B779BE">
        <w:rPr>
          <w:rFonts w:cstheme="minorHAnsi"/>
          <w:lang w:val="en-GB"/>
        </w:rPr>
        <w:t>see blue-highlighted area).</w:t>
      </w:r>
    </w:p>
    <w:p w14:paraId="48D731F6" w14:textId="12DD55E3" w:rsidR="00CA7D24" w:rsidRPr="00B779BE" w:rsidRDefault="008A3579" w:rsidP="008A3579">
      <w:pPr>
        <w:jc w:val="both"/>
        <w:rPr>
          <w:rFonts w:cstheme="minorHAnsi"/>
          <w:lang w:val="en-GB"/>
        </w:rPr>
      </w:pPr>
      <w:r w:rsidRPr="00B779BE">
        <w:rPr>
          <w:rFonts w:cstheme="minorHAnsi"/>
          <w:lang w:val="en-GB"/>
        </w:rPr>
        <w:t>The production cost of methanol from DAC CO</w:t>
      </w:r>
      <w:r w:rsidRPr="00B779BE">
        <w:rPr>
          <w:rFonts w:cstheme="minorHAnsi"/>
          <w:vertAlign w:val="subscript"/>
          <w:lang w:val="en-GB"/>
        </w:rPr>
        <w:t>2</w:t>
      </w:r>
      <w:r w:rsidRPr="00B779BE">
        <w:rPr>
          <w:rFonts w:cstheme="minorHAnsi"/>
          <w:lang w:val="en-GB"/>
        </w:rPr>
        <w:t xml:space="preserve"> and blue hydrogen was 182% higher than fossil methanol on average due to the added expenses of CCS and CO</w:t>
      </w:r>
      <w:r w:rsidRPr="00B779BE">
        <w:rPr>
          <w:rFonts w:cstheme="minorHAnsi"/>
          <w:vertAlign w:val="subscript"/>
          <w:lang w:val="en-GB"/>
        </w:rPr>
        <w:t>2</w:t>
      </w:r>
      <w:r w:rsidRPr="00B779BE">
        <w:rPr>
          <w:rFonts w:cstheme="minorHAnsi"/>
          <w:lang w:val="en-GB"/>
        </w:rPr>
        <w:t xml:space="preserve"> capture (</w:t>
      </w:r>
      <w:r w:rsidR="004C06A5" w:rsidRPr="00B779BE">
        <w:rPr>
          <w:rFonts w:cstheme="minorHAnsi"/>
          <w:b/>
          <w:bCs/>
          <w:lang w:val="en-GB"/>
        </w:rPr>
        <w:t>Figure 2d</w:t>
      </w:r>
      <w:r w:rsidRPr="00B779BE">
        <w:rPr>
          <w:rFonts w:cstheme="minorHAnsi"/>
          <w:lang w:val="en-GB"/>
        </w:rPr>
        <w:t xml:space="preserve">). </w:t>
      </w:r>
      <w:r w:rsidR="00201F32" w:rsidRPr="00B779BE">
        <w:rPr>
          <w:rFonts w:cstheme="minorHAnsi"/>
          <w:lang w:val="en-GB"/>
        </w:rPr>
        <w:t>Th</w:t>
      </w:r>
      <w:r w:rsidR="00A07CC4" w:rsidRPr="00B779BE">
        <w:rPr>
          <w:rFonts w:cstheme="minorHAnsi"/>
          <w:lang w:val="en-GB"/>
        </w:rPr>
        <w:t>e</w:t>
      </w:r>
      <w:r w:rsidRPr="00B779BE">
        <w:rPr>
          <w:rFonts w:cstheme="minorHAnsi"/>
          <w:lang w:val="en-GB"/>
        </w:rPr>
        <w:t xml:space="preserve"> solar PV-based method was never economically viable (</w:t>
      </w:r>
      <w:r w:rsidR="00DD5E55" w:rsidRPr="00B779BE">
        <w:rPr>
          <w:rFonts w:cstheme="minorHAnsi"/>
          <w:b/>
          <w:bCs/>
          <w:lang w:val="en-GB"/>
        </w:rPr>
        <w:t>Figure 2e</w:t>
      </w:r>
      <w:r w:rsidRPr="00B779BE">
        <w:rPr>
          <w:rFonts w:cstheme="minorHAnsi"/>
          <w:lang w:val="en-GB"/>
        </w:rPr>
        <w:t>). However, green methanol created with wind-based electrolytic hydrogen and DAC CO</w:t>
      </w:r>
      <w:r w:rsidRPr="00B779BE">
        <w:rPr>
          <w:rFonts w:cstheme="minorHAnsi"/>
          <w:vertAlign w:val="subscript"/>
          <w:lang w:val="en-GB"/>
        </w:rPr>
        <w:t>2</w:t>
      </w:r>
      <w:r w:rsidRPr="00B779BE">
        <w:rPr>
          <w:rFonts w:cstheme="minorHAnsi"/>
          <w:lang w:val="en-GB"/>
        </w:rPr>
        <w:t xml:space="preserve"> reached price parity with fossil methanol in August 2022 at peak natural gas prices of approximately 3.1 USD kg</w:t>
      </w:r>
      <w:r w:rsidRPr="00B779BE">
        <w:rPr>
          <w:rFonts w:cstheme="minorHAnsi"/>
          <w:vertAlign w:val="superscript"/>
          <w:lang w:val="en-GB"/>
        </w:rPr>
        <w:t>−1</w:t>
      </w:r>
      <w:r w:rsidRPr="00B779BE">
        <w:rPr>
          <w:rFonts w:cstheme="minorHAnsi"/>
          <w:lang w:val="en-GB"/>
        </w:rPr>
        <w:t xml:space="preserve"> (</w:t>
      </w:r>
      <w:r w:rsidR="00833DDB" w:rsidRPr="00B779BE">
        <w:rPr>
          <w:rFonts w:cstheme="minorHAnsi"/>
          <w:b/>
          <w:bCs/>
          <w:lang w:val="en-GB"/>
        </w:rPr>
        <w:t>Figure 2f</w:t>
      </w:r>
      <w:r w:rsidRPr="00B779BE">
        <w:rPr>
          <w:rFonts w:cstheme="minorHAnsi"/>
          <w:lang w:val="en-GB"/>
        </w:rPr>
        <w:t>) as the break</w:t>
      </w:r>
      <w:r w:rsidR="000246AC" w:rsidRPr="00B779BE">
        <w:rPr>
          <w:rFonts w:cstheme="minorHAnsi"/>
          <w:lang w:val="en-GB"/>
        </w:rPr>
        <w:noBreakHyphen/>
      </w:r>
      <w:r w:rsidRPr="00B779BE">
        <w:rPr>
          <w:rFonts w:cstheme="minorHAnsi"/>
          <w:lang w:val="en-GB"/>
        </w:rPr>
        <w:t>even natural gas price mostly depends on the levelised cost of hydrogen.</w:t>
      </w:r>
    </w:p>
    <w:p w14:paraId="544AA190" w14:textId="6724B2A9" w:rsidR="008A3579" w:rsidRPr="00B779BE" w:rsidRDefault="008A3579" w:rsidP="008A3579">
      <w:pPr>
        <w:jc w:val="both"/>
        <w:rPr>
          <w:rFonts w:cstheme="minorHAnsi"/>
          <w:lang w:val="en-GB"/>
        </w:rPr>
      </w:pPr>
      <w:r w:rsidRPr="00B779BE">
        <w:rPr>
          <w:lang w:val="en-GB"/>
        </w:rPr>
        <w:t xml:space="preserve">In </w:t>
      </w:r>
      <w:r w:rsidR="0001168C" w:rsidRPr="00B779BE">
        <w:rPr>
          <w:b/>
          <w:bCs/>
          <w:lang w:val="en-GB"/>
        </w:rPr>
        <w:t>Figure 3</w:t>
      </w:r>
      <w:r w:rsidRPr="00B779BE">
        <w:rPr>
          <w:lang w:val="en-GB"/>
        </w:rPr>
        <w:t xml:space="preserve">, we examine the production cost breakdown of fossil and green chemicals at various time points, with a particular focus on the most promising green routes that rely on wind-based electrolytic hydrogen. The results for other green routes can be found in </w:t>
      </w:r>
      <w:r w:rsidRPr="00B779BE">
        <w:rPr>
          <w:b/>
          <w:lang w:val="en-GB"/>
        </w:rPr>
        <w:t>Fig</w:t>
      </w:r>
      <w:r w:rsidR="00BA7FD4" w:rsidRPr="00B779BE">
        <w:rPr>
          <w:b/>
          <w:lang w:val="en-GB"/>
        </w:rPr>
        <w:t>ure</w:t>
      </w:r>
      <w:r w:rsidR="004D02FF" w:rsidRPr="00B779BE">
        <w:rPr>
          <w:b/>
          <w:lang w:val="en-GB"/>
        </w:rPr>
        <w:t> </w:t>
      </w:r>
      <w:r w:rsidR="00BA7FD4" w:rsidRPr="00B779BE">
        <w:rPr>
          <w:b/>
          <w:lang w:val="en-GB"/>
        </w:rPr>
        <w:t>S</w:t>
      </w:r>
      <w:r w:rsidR="00F341F0" w:rsidRPr="00B779BE">
        <w:rPr>
          <w:b/>
          <w:lang w:val="en-GB"/>
        </w:rPr>
        <w:t>1</w:t>
      </w:r>
      <w:r w:rsidR="00CC5654" w:rsidRPr="00B779BE">
        <w:rPr>
          <w:b/>
          <w:lang w:val="en-GB"/>
        </w:rPr>
        <w:t>0</w:t>
      </w:r>
      <w:r w:rsidRPr="00B779BE">
        <w:rPr>
          <w:lang w:val="en-GB"/>
        </w:rPr>
        <w:t>.</w:t>
      </w:r>
      <w:r w:rsidR="002105A0" w:rsidRPr="00B779BE">
        <w:rPr>
          <w:rFonts w:cstheme="minorHAnsi"/>
          <w:lang w:val="en-GB"/>
        </w:rPr>
        <w:t xml:space="preserve"> </w:t>
      </w:r>
      <w:r w:rsidRPr="00B779BE">
        <w:rPr>
          <w:lang w:val="en-GB"/>
        </w:rPr>
        <w:t>Our findings indicate that the percentage of natural gas in the production cost of fossil ammonia rose from 21% in 2020 to 63% in November 2022 (</w:t>
      </w:r>
      <w:r w:rsidR="00C74307" w:rsidRPr="00B779BE">
        <w:rPr>
          <w:b/>
          <w:bCs/>
          <w:lang w:val="en-GB"/>
        </w:rPr>
        <w:t>Figure 3a</w:t>
      </w:r>
      <w:r w:rsidRPr="00B779BE">
        <w:rPr>
          <w:lang w:val="en-GB"/>
        </w:rPr>
        <w:t>). Similarly, for fossil methanol production, its contribution increased from 48% to 88% (</w:t>
      </w:r>
      <w:r w:rsidR="00E634B6" w:rsidRPr="00B779BE">
        <w:rPr>
          <w:b/>
          <w:bCs/>
          <w:lang w:val="en-GB"/>
        </w:rPr>
        <w:t>Figure 3b</w:t>
      </w:r>
      <w:r w:rsidRPr="00B779BE">
        <w:rPr>
          <w:lang w:val="en-GB"/>
        </w:rPr>
        <w:t>). In contrast, for the green routes, hydrogen represented the highest share of the production cost, accounting for 69–85% for green ammonia and 61–67% for green methanol, depending on the timeframe. However, our analysis suggests that the average European levelised cost of wind-based electrolytic hydrogen steadily decreased. The reduction in on</w:t>
      </w:r>
      <w:r w:rsidRPr="00B779BE">
        <w:rPr>
          <w:lang w:val="en-GB"/>
        </w:rPr>
        <w:noBreakHyphen/>
        <w:t>shore wind electricity costs from 67 to 42 USD MWh</w:t>
      </w:r>
      <w:r w:rsidRPr="00B779BE">
        <w:rPr>
          <w:rFonts w:cstheme="minorHAnsi"/>
          <w:vertAlign w:val="superscript"/>
          <w:lang w:val="en-GB"/>
        </w:rPr>
        <w:t>−</w:t>
      </w:r>
      <w:r w:rsidRPr="00B779BE">
        <w:rPr>
          <w:vertAlign w:val="superscript"/>
          <w:lang w:val="en-GB"/>
        </w:rPr>
        <w:t>1</w:t>
      </w:r>
      <w:r w:rsidRPr="00B779BE">
        <w:rPr>
          <w:lang w:val="en-GB"/>
        </w:rPr>
        <w:t xml:space="preserve"> (ref.</w:t>
      </w:r>
      <w:r w:rsidRPr="00B779BE">
        <w:rPr>
          <w:lang w:val="en-GB"/>
        </w:rPr>
        <w:fldChar w:fldCharType="begin"/>
      </w:r>
      <w:r w:rsidRPr="00B779BE">
        <w:rPr>
          <w:lang w:val="en-GB"/>
        </w:rPr>
        <w:instrText xml:space="preserve"> ADDIN ZOTERO_ITEM CSL_CITATION {"citationID":"u41OseLy","properties":{"formattedCitation":"\\super 26\\nosupersub{}","plainCitation":"26","noteIndex":0},"citationItems":[{"id":920,"uris":["http://zotero.org/users/9157291/items/TXYNLTG5"],"itemData":{"id":920,"type":"report","event-place":"Abu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Pr="00B779BE">
        <w:rPr>
          <w:lang w:val="en-GB"/>
        </w:rPr>
        <w:fldChar w:fldCharType="separate"/>
      </w:r>
      <w:r w:rsidRPr="00B779BE">
        <w:rPr>
          <w:rFonts w:ascii="Calibri" w:hAnsi="Calibri" w:cs="Calibri"/>
          <w:szCs w:val="24"/>
          <w:vertAlign w:val="superscript"/>
          <w:lang w:val="en-GB"/>
        </w:rPr>
        <w:t>26</w:t>
      </w:r>
      <w:r w:rsidRPr="00B779BE">
        <w:rPr>
          <w:lang w:val="en-GB"/>
        </w:rPr>
        <w:fldChar w:fldCharType="end"/>
      </w:r>
      <w:r w:rsidRPr="00B779BE">
        <w:rPr>
          <w:lang w:val="en-GB"/>
        </w:rPr>
        <w:t>) drove a price decline from 5.2–8.5 USD kg</w:t>
      </w:r>
      <w:r w:rsidRPr="00B779BE">
        <w:rPr>
          <w:rFonts w:cstheme="minorHAnsi"/>
          <w:vertAlign w:val="superscript"/>
          <w:lang w:val="en-GB"/>
        </w:rPr>
        <w:t>−</w:t>
      </w:r>
      <w:r w:rsidRPr="00B779BE">
        <w:rPr>
          <w:vertAlign w:val="superscript"/>
          <w:lang w:val="en-GB"/>
        </w:rPr>
        <w:t>1</w:t>
      </w:r>
      <w:r w:rsidRPr="00B779BE">
        <w:rPr>
          <w:lang w:val="en-GB"/>
        </w:rPr>
        <w:t xml:space="preserve"> in 2019 to </w:t>
      </w:r>
      <w:r w:rsidR="00FD4096">
        <w:rPr>
          <w:lang w:val="en-GB"/>
        </w:rPr>
        <w:br/>
      </w:r>
      <w:bookmarkStart w:id="7" w:name="_GoBack"/>
      <w:bookmarkEnd w:id="7"/>
      <w:r w:rsidRPr="00B779BE">
        <w:rPr>
          <w:lang w:val="en-GB"/>
        </w:rPr>
        <w:t>5.2</w:t>
      </w:r>
      <w:r w:rsidR="00AC76AC">
        <w:rPr>
          <w:lang w:val="en-GB"/>
        </w:rPr>
        <w:t>–</w:t>
      </w:r>
      <w:r w:rsidRPr="00B779BE">
        <w:rPr>
          <w:lang w:val="en-GB"/>
        </w:rPr>
        <w:t>7.3 USD kg</w:t>
      </w:r>
      <w:r w:rsidRPr="00B779BE">
        <w:rPr>
          <w:rFonts w:cstheme="minorHAnsi"/>
          <w:vertAlign w:val="superscript"/>
          <w:lang w:val="en-GB"/>
        </w:rPr>
        <w:t>−</w:t>
      </w:r>
      <w:r w:rsidRPr="00B779BE">
        <w:rPr>
          <w:vertAlign w:val="superscript"/>
          <w:lang w:val="en-GB"/>
        </w:rPr>
        <w:t>1</w:t>
      </w:r>
      <w:r w:rsidRPr="00B779BE">
        <w:rPr>
          <w:lang w:val="en-GB"/>
        </w:rPr>
        <w:t xml:space="preserve"> in 2022 after considering inflation. We notice that the hydrogen cost we used in this study aligns well with the lower end of previous literature estimates (</w:t>
      </w:r>
      <w:r w:rsidRPr="00B779BE">
        <w:rPr>
          <w:i/>
          <w:lang w:val="en-GB"/>
        </w:rPr>
        <w:t>i.e</w:t>
      </w:r>
      <w:r w:rsidRPr="00B779BE">
        <w:rPr>
          <w:lang w:val="en-GB"/>
        </w:rPr>
        <w:t>., 4.6</w:t>
      </w:r>
      <w:r w:rsidR="00F12E54" w:rsidRPr="00B779BE">
        <w:rPr>
          <w:lang w:val="en-GB"/>
        </w:rPr>
        <w:t>–</w:t>
      </w:r>
      <w:r w:rsidRPr="00B779BE">
        <w:rPr>
          <w:lang w:val="en-GB"/>
        </w:rPr>
        <w:t>10 USD kg</w:t>
      </w:r>
      <w:r w:rsidRPr="00B779BE">
        <w:rPr>
          <w:rFonts w:cstheme="minorHAnsi"/>
          <w:vertAlign w:val="superscript"/>
          <w:lang w:val="en-GB"/>
        </w:rPr>
        <w:t>−</w:t>
      </w:r>
      <w:r w:rsidRPr="00B779BE">
        <w:rPr>
          <w:vertAlign w:val="superscript"/>
          <w:lang w:val="en-GB"/>
        </w:rPr>
        <w:t>1</w:t>
      </w:r>
      <w:r w:rsidRPr="00B779BE">
        <w:rPr>
          <w:lang w:val="en-GB"/>
        </w:rPr>
        <w:t xml:space="preserve"> based on ref.</w:t>
      </w:r>
      <w:r w:rsidRPr="00B779BE">
        <w:rPr>
          <w:lang w:val="en-GB"/>
        </w:rPr>
        <w:fldChar w:fldCharType="begin"/>
      </w:r>
      <w:r w:rsidRPr="00B779BE">
        <w:rPr>
          <w:lang w:val="en-GB"/>
        </w:rPr>
        <w:instrText xml:space="preserve"> ADDIN ZOTERO_ITEM CSL_CITATION {"citationID":"pejIi8CD","properties":{"formattedCitation":"\\super 27\\nosupersub{}","plainCitation":"27","noteIndex":0},"citationItems":[{"id":1015,"uris":["http://zotero.org/users/9157291/items/5Q9TNJYS"],"itemData":{"id":1015,"type":"article-journal","abstract":"Different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&amp; Environmental Science","DOI":"10.1039/C8EE02079E","ISSN":"1754-5706","issue":"1","journalAbbreviation":"Energy Environ. Sci.","language":"en","note":"publisher: The Royal Society of Chemistry","page":"19-40","source":"pubs.rsc.org","title":"Levelized cost of CO2 mitigation from hydrogen production routes","volume":"12","author":[{"family":"Parkinson","given":"B."},{"family":"Balcombe","given":"P."},{"family":"Speirs","given":"J. F."},{"family":"Hawkes","given":"A. D."},{"family":"Hellgardt","given":"K."}],"issued":{"date-parts":[["2019",1,16]]}}}],"schema":"https://github.com/citation-style-language/schema/raw/master/csl-citation.json"} </w:instrText>
      </w:r>
      <w:r w:rsidRPr="00B779BE">
        <w:rPr>
          <w:lang w:val="en-GB"/>
        </w:rPr>
        <w:fldChar w:fldCharType="separate"/>
      </w:r>
      <w:r w:rsidRPr="00B779BE">
        <w:rPr>
          <w:rFonts w:ascii="Calibri" w:hAnsi="Calibri" w:cs="Calibri"/>
          <w:szCs w:val="24"/>
          <w:vertAlign w:val="superscript"/>
          <w:lang w:val="en-GB"/>
        </w:rPr>
        <w:t>27</w:t>
      </w:r>
      <w:r w:rsidRPr="00B779BE">
        <w:rPr>
          <w:lang w:val="en-GB"/>
        </w:rPr>
        <w:fldChar w:fldCharType="end"/>
      </w:r>
      <w:r w:rsidRPr="00B779BE">
        <w:rPr>
          <w:lang w:val="en-GB"/>
        </w:rPr>
        <w:t>).</w:t>
      </w:r>
    </w:p>
    <w:p w14:paraId="4E24FAA9" w14:textId="44C711B8" w:rsidR="008A3579" w:rsidRPr="00B779BE" w:rsidRDefault="008A3579" w:rsidP="008A3579">
      <w:pPr>
        <w:jc w:val="both"/>
        <w:rPr>
          <w:rFonts w:cstheme="minorHAnsi"/>
          <w:lang w:val="en-GB"/>
        </w:rPr>
      </w:pPr>
      <w:r w:rsidRPr="00B779BE">
        <w:rPr>
          <w:lang w:val="en-GB"/>
        </w:rPr>
        <w:t>The cost of the CO</w:t>
      </w:r>
      <w:r w:rsidRPr="00B779BE">
        <w:rPr>
          <w:vertAlign w:val="subscript"/>
          <w:lang w:val="en-GB"/>
        </w:rPr>
        <w:t>2</w:t>
      </w:r>
      <w:r w:rsidRPr="00B779BE">
        <w:rPr>
          <w:lang w:val="en-GB"/>
        </w:rPr>
        <w:t xml:space="preserve"> feedstock captured from the atmosphere by DAC is a significant factor in the production cost of green methanol, accounting for up to 28% in November 2022. The rising cost of DAC, from an average of 0.2 USD kg</w:t>
      </w:r>
      <w:r w:rsidRPr="00B779BE">
        <w:rPr>
          <w:rFonts w:cstheme="minorHAnsi"/>
          <w:vertAlign w:val="superscript"/>
          <w:lang w:val="en-GB"/>
        </w:rPr>
        <w:t>−</w:t>
      </w:r>
      <w:r w:rsidRPr="00B779BE">
        <w:rPr>
          <w:vertAlign w:val="superscript"/>
          <w:lang w:val="en-GB"/>
        </w:rPr>
        <w:t>1</w:t>
      </w:r>
      <w:r w:rsidRPr="00B779BE">
        <w:rPr>
          <w:lang w:val="en-GB"/>
        </w:rPr>
        <w:t xml:space="preserve"> CO</w:t>
      </w:r>
      <w:r w:rsidRPr="00B779BE">
        <w:rPr>
          <w:vertAlign w:val="subscript"/>
          <w:lang w:val="en-GB"/>
        </w:rPr>
        <w:t>2</w:t>
      </w:r>
      <w:r w:rsidRPr="00B779BE">
        <w:rPr>
          <w:lang w:val="en-GB"/>
        </w:rPr>
        <w:t xml:space="preserve"> in 2019 to 0.8 USD kg</w:t>
      </w:r>
      <w:r w:rsidRPr="00B779BE">
        <w:rPr>
          <w:rFonts w:cstheme="minorHAnsi"/>
          <w:vertAlign w:val="superscript"/>
          <w:lang w:val="en-GB"/>
        </w:rPr>
        <w:t>−</w:t>
      </w:r>
      <w:r w:rsidRPr="00B779BE">
        <w:rPr>
          <w:vertAlign w:val="superscript"/>
          <w:lang w:val="en-GB"/>
        </w:rPr>
        <w:t>1</w:t>
      </w:r>
      <w:r w:rsidRPr="00B779BE">
        <w:rPr>
          <w:lang w:val="en-GB"/>
        </w:rPr>
        <w:t xml:space="preserve"> CO</w:t>
      </w:r>
      <w:r w:rsidRPr="00B779BE">
        <w:rPr>
          <w:vertAlign w:val="subscript"/>
          <w:lang w:val="en-GB"/>
        </w:rPr>
        <w:t>2</w:t>
      </w:r>
      <w:r w:rsidRPr="00B779BE">
        <w:rPr>
          <w:lang w:val="en-GB"/>
        </w:rPr>
        <w:t xml:space="preserve"> in August 2022, is behind this trend. We utili</w:t>
      </w:r>
      <w:r w:rsidR="00CC44DD" w:rsidRPr="00B779BE">
        <w:rPr>
          <w:lang w:val="en-GB"/>
        </w:rPr>
        <w:t>s</w:t>
      </w:r>
      <w:r w:rsidRPr="00B779BE">
        <w:rPr>
          <w:lang w:val="en-GB"/>
        </w:rPr>
        <w:t xml:space="preserve">ed a high-temperature solvent-based DAC technology, adapted from the work of Keith </w:t>
      </w:r>
      <w:r w:rsidRPr="00B779BE">
        <w:rPr>
          <w:rFonts w:cstheme="minorHAnsi"/>
          <w:i/>
          <w:lang w:val="en-GB"/>
        </w:rPr>
        <w:t>et al.</w:t>
      </w:r>
      <w:r w:rsidRPr="00B779BE">
        <w:rPr>
          <w:rFonts w:cstheme="minorHAnsi"/>
          <w:lang w:val="en-GB"/>
        </w:rPr>
        <w:fldChar w:fldCharType="begin"/>
      </w:r>
      <w:r w:rsidRPr="00B779BE">
        <w:rPr>
          <w:rFonts w:cstheme="minorHAnsi"/>
          <w:lang w:val="en-GB"/>
        </w:rPr>
        <w:instrText xml:space="preserve"> ADDIN ZOTERO_ITEM CSL_CITATION {"citationID":"buA3tSxp","properties":{"formattedCitation":"\\super 28\\nosupersub{}","plainCitation":"28","noteIndex":0},"citationItems":[{"id":459,"uris":["http://zotero.org/users/9157291/items/SHKUDHUW"],"itemData":{"id":459,"type":"article-journal","abstract":"We describe a process for capturing CO2 from the atmosphere in an industrial plant. The design captures </w:instrText>
      </w:r>
      <w:r w:rsidRPr="00B779BE">
        <w:rPr>
          <w:rFonts w:ascii="Cambria Math" w:hAnsi="Cambria Math" w:cs="Cambria Math"/>
          <w:lang w:val="en-GB"/>
        </w:rPr>
        <w:instrText>∼</w:instrText>
      </w:r>
      <w:r w:rsidRPr="00B779BE">
        <w:rPr>
          <w:rFonts w:cstheme="minorHAnsi"/>
          <w:lang w:val="en-GB"/>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28</w:t>
      </w:r>
      <w:r w:rsidRPr="00B779BE">
        <w:rPr>
          <w:rFonts w:cstheme="minorHAnsi"/>
          <w:lang w:val="en-GB"/>
        </w:rPr>
        <w:fldChar w:fldCharType="end"/>
      </w:r>
      <w:r w:rsidRPr="00B779BE">
        <w:rPr>
          <w:lang w:val="en-GB"/>
        </w:rPr>
        <w:t>, which requires around 0.1 kg of natural gas and 77 kWh of electric power per kg of CO</w:t>
      </w:r>
      <w:r w:rsidRPr="00B779BE">
        <w:rPr>
          <w:vertAlign w:val="subscript"/>
          <w:lang w:val="en-GB"/>
        </w:rPr>
        <w:t>2</w:t>
      </w:r>
      <w:r w:rsidRPr="00B779BE">
        <w:rPr>
          <w:lang w:val="en-GB"/>
        </w:rPr>
        <w:t xml:space="preserve"> captured, making the capture cost susceptible to fluctuations in natural gas and electricity prices (</w:t>
      </w:r>
      <w:r w:rsidR="00CC5CB8" w:rsidRPr="00B779BE">
        <w:rPr>
          <w:b/>
          <w:lang w:val="en-GB"/>
        </w:rPr>
        <w:t>Figure S</w:t>
      </w:r>
      <w:r w:rsidR="00C45FD8" w:rsidRPr="00B779BE">
        <w:rPr>
          <w:b/>
          <w:lang w:val="en-GB"/>
        </w:rPr>
        <w:t>11</w:t>
      </w:r>
      <w:r w:rsidRPr="00B779BE">
        <w:rPr>
          <w:lang w:val="en-GB"/>
        </w:rPr>
        <w:t>).</w:t>
      </w:r>
    </w:p>
    <w:p w14:paraId="676BA520" w14:textId="77777777" w:rsidR="008A3579" w:rsidRPr="00B779BE" w:rsidRDefault="008A3579" w:rsidP="008A3579">
      <w:pPr>
        <w:pStyle w:val="Heading3"/>
        <w:jc w:val="both"/>
      </w:pPr>
      <w:r w:rsidRPr="00B779BE">
        <w:t>Green ammonia and methanol become cost-competitive for CO</w:t>
      </w:r>
      <w:r w:rsidRPr="00B779BE">
        <w:rPr>
          <w:vertAlign w:val="subscript"/>
        </w:rPr>
        <w:t>2</w:t>
      </w:r>
      <w:r w:rsidRPr="00B779BE">
        <w:t xml:space="preserve"> mitigation </w:t>
      </w:r>
    </w:p>
    <w:p w14:paraId="27AABB1B" w14:textId="441CFD25" w:rsidR="008A3579" w:rsidRPr="00B779BE" w:rsidRDefault="008A3579" w:rsidP="008A3579">
      <w:pPr>
        <w:jc w:val="both"/>
        <w:rPr>
          <w:rFonts w:cstheme="minorHAnsi"/>
          <w:lang w:val="en-GB"/>
        </w:rPr>
      </w:pPr>
      <w:r w:rsidRPr="00B779BE">
        <w:rPr>
          <w:rFonts w:cstheme="minorHAnsi"/>
          <w:lang w:val="en-GB"/>
        </w:rPr>
        <w:t>This passage examines the cost of producing green ammonia and methanol in relation to their fossil-based counterparts, specifically looking at the cost per unit of CO</w:t>
      </w:r>
      <w:r w:rsidRPr="00B779BE">
        <w:rPr>
          <w:rFonts w:cstheme="minorHAnsi"/>
          <w:vertAlign w:val="subscript"/>
          <w:lang w:val="en-GB"/>
        </w:rPr>
        <w:t>2</w:t>
      </w:r>
      <w:r w:rsidRPr="00B779BE">
        <w:rPr>
          <w:rFonts w:cstheme="minorHAnsi"/>
          <w:lang w:val="en-GB"/>
        </w:rPr>
        <w:t xml:space="preserve"> avoided. In 2020, with an average natural gas price of 0.1 USD kg</w:t>
      </w:r>
      <w:r w:rsidRPr="00B779BE">
        <w:rPr>
          <w:rFonts w:cstheme="minorHAnsi"/>
          <w:vertAlign w:val="superscript"/>
          <w:lang w:val="en-GB"/>
        </w:rPr>
        <w:t>−1</w:t>
      </w:r>
      <w:r w:rsidRPr="00B779BE">
        <w:rPr>
          <w:rFonts w:cstheme="minorHAnsi"/>
          <w:lang w:val="en-GB"/>
        </w:rPr>
        <w:t>, the avoidance cost of wind- and solar-based ammonia was 0.6 and 1.4 USD kg</w:t>
      </w:r>
      <w:r w:rsidRPr="00B779BE">
        <w:rPr>
          <w:rFonts w:cstheme="minorHAnsi"/>
          <w:vertAlign w:val="superscript"/>
          <w:lang w:val="en-GB"/>
        </w:rPr>
        <w:t>−1</w:t>
      </w:r>
      <w:r w:rsidRPr="00B779BE">
        <w:rPr>
          <w:rFonts w:cstheme="minorHAnsi"/>
          <w:lang w:val="en-GB"/>
        </w:rPr>
        <w:t>CO</w:t>
      </w:r>
      <w:r w:rsidRPr="00B779BE">
        <w:rPr>
          <w:rFonts w:cstheme="minorHAnsi"/>
          <w:vertAlign w:val="subscript"/>
          <w:lang w:val="en-GB"/>
        </w:rPr>
        <w:t>2</w:t>
      </w:r>
      <w:r w:rsidRPr="00B779BE">
        <w:rPr>
          <w:rFonts w:cstheme="minorHAnsi"/>
          <w:lang w:val="en-GB"/>
        </w:rPr>
        <w:noBreakHyphen/>
        <w:t>eq, respectively (</w:t>
      </w:r>
      <w:r w:rsidR="001A0645" w:rsidRPr="00B779BE">
        <w:rPr>
          <w:rFonts w:cstheme="minorHAnsi"/>
          <w:b/>
          <w:bCs/>
          <w:lang w:val="en-GB"/>
        </w:rPr>
        <w:t>Figure 4a</w:t>
      </w:r>
      <w:r w:rsidRPr="00B779BE">
        <w:rPr>
          <w:rFonts w:cstheme="minorHAnsi"/>
          <w:lang w:val="en-GB"/>
        </w:rPr>
        <w:t>) and much higher for methanol (1.4 and 7.7 USD kg</w:t>
      </w:r>
      <w:r w:rsidRPr="00B779BE">
        <w:rPr>
          <w:rFonts w:cstheme="minorHAnsi"/>
          <w:vertAlign w:val="superscript"/>
          <w:lang w:val="en-GB"/>
        </w:rPr>
        <w:t>−1</w:t>
      </w:r>
      <w:r w:rsidRPr="00B779BE">
        <w:rPr>
          <w:rFonts w:cstheme="minorHAnsi"/>
          <w:lang w:val="en-GB"/>
        </w:rPr>
        <w:t>CO</w:t>
      </w:r>
      <w:r w:rsidRPr="00B779BE">
        <w:rPr>
          <w:rFonts w:cstheme="minorHAnsi"/>
          <w:vertAlign w:val="subscript"/>
          <w:lang w:val="en-GB"/>
        </w:rPr>
        <w:t>2</w:t>
      </w:r>
      <w:r w:rsidRPr="00B779BE">
        <w:rPr>
          <w:rFonts w:cstheme="minorHAnsi"/>
          <w:lang w:val="en-GB"/>
        </w:rPr>
        <w:noBreakHyphen/>
        <w:t xml:space="preserve">eq, </w:t>
      </w:r>
      <w:r w:rsidR="00181B33" w:rsidRPr="00B779BE">
        <w:rPr>
          <w:rFonts w:cstheme="minorHAnsi"/>
          <w:b/>
          <w:bCs/>
          <w:lang w:val="en-GB"/>
        </w:rPr>
        <w:t>Figure 4b</w:t>
      </w:r>
      <w:r w:rsidRPr="00B779BE">
        <w:rPr>
          <w:rFonts w:cstheme="minorHAnsi"/>
          <w:lang w:val="en-GB"/>
        </w:rPr>
        <w:t>), mainly due to the greater monetary gap between fossil and green methanol. While the avoidance cost for green ammonia and methanol in 2020 exceeded the removal cost of negative emissions technologies (NETs) such as bioenergy with carbon capture and storage (BECCS) and direct air capture with carbon capture and storage (DACCS), at the peak of natural gas prices in 2022, the avoidance cost of green ammonia and methanol became negative, making their use economically attractive for mitigating carbon emissions. A win-win scenario for economic and environmental competitiveness emerged in July 2021 for wind-based ammonia production, which resulted in potential savings of 0.1 to 0.6 USD kg</w:t>
      </w:r>
      <w:r w:rsidRPr="00B779BE">
        <w:rPr>
          <w:rFonts w:cstheme="minorHAnsi"/>
          <w:vertAlign w:val="superscript"/>
          <w:lang w:val="en-GB"/>
        </w:rPr>
        <w:t>−1</w:t>
      </w:r>
      <w:r w:rsidRPr="00B779BE">
        <w:rPr>
          <w:rFonts w:cstheme="minorHAnsi"/>
          <w:lang w:val="en-GB"/>
        </w:rPr>
        <w:t>CO</w:t>
      </w:r>
      <w:r w:rsidRPr="00B779BE">
        <w:rPr>
          <w:rFonts w:cstheme="minorHAnsi"/>
          <w:vertAlign w:val="subscript"/>
          <w:lang w:val="en-GB"/>
        </w:rPr>
        <w:t>2</w:t>
      </w:r>
      <w:r w:rsidRPr="00B779BE">
        <w:rPr>
          <w:rFonts w:cstheme="minorHAnsi"/>
          <w:lang w:val="en-GB"/>
        </w:rPr>
        <w:noBreakHyphen/>
        <w:t>eq avoided</w:t>
      </w:r>
      <w:r w:rsidR="001B23B5" w:rsidRPr="00B779BE">
        <w:rPr>
          <w:rFonts w:cstheme="minorHAnsi"/>
          <w:lang w:val="en-GB"/>
        </w:rPr>
        <w:t xml:space="preserve"> (see blue shaded area in </w:t>
      </w:r>
      <w:r w:rsidR="00421811" w:rsidRPr="00B779BE">
        <w:rPr>
          <w:rFonts w:cstheme="minorHAnsi"/>
          <w:b/>
          <w:lang w:val="en-GB"/>
        </w:rPr>
        <w:t>Figure</w:t>
      </w:r>
      <w:r w:rsidR="00421811" w:rsidRPr="00B779BE">
        <w:rPr>
          <w:lang w:val="en-GB"/>
        </w:rPr>
        <w:t> </w:t>
      </w:r>
      <w:r w:rsidR="00421811" w:rsidRPr="00B779BE">
        <w:rPr>
          <w:b/>
          <w:lang w:val="en-GB"/>
        </w:rPr>
        <w:t>4a</w:t>
      </w:r>
      <w:r w:rsidR="001B23B5" w:rsidRPr="00B779BE">
        <w:rPr>
          <w:rFonts w:cstheme="minorHAnsi"/>
          <w:lang w:val="en-GB"/>
        </w:rPr>
        <w:t>)</w:t>
      </w:r>
      <w:r w:rsidRPr="00B779BE">
        <w:rPr>
          <w:rFonts w:cstheme="minorHAnsi"/>
          <w:lang w:val="en-GB"/>
        </w:rPr>
        <w:t xml:space="preserve">. For methanol </w:t>
      </w:r>
      <w:r w:rsidRPr="00B779BE">
        <w:rPr>
          <w:rFonts w:cstheme="minorHAnsi"/>
          <w:i/>
          <w:iCs/>
          <w:lang w:val="en-GB"/>
        </w:rPr>
        <w:t>via</w:t>
      </w:r>
      <w:r w:rsidRPr="00B779BE">
        <w:rPr>
          <w:rFonts w:cstheme="minorHAnsi"/>
          <w:lang w:val="en-GB"/>
        </w:rPr>
        <w:t xml:space="preserve"> wind, the scenario emerged in August 2022 with </w:t>
      </w:r>
      <w:r w:rsidR="004F3039" w:rsidRPr="00B779BE">
        <w:rPr>
          <w:rFonts w:cstheme="minorHAnsi"/>
          <w:lang w:val="en-GB"/>
        </w:rPr>
        <w:t>avoidance costs close to zero (</w:t>
      </w:r>
      <w:r w:rsidR="00421811" w:rsidRPr="00B779BE">
        <w:rPr>
          <w:rFonts w:cstheme="minorHAnsi"/>
          <w:b/>
          <w:lang w:val="en-GB"/>
        </w:rPr>
        <w:t>Figure 4b</w:t>
      </w:r>
      <w:r w:rsidR="004F3039" w:rsidRPr="00B779BE">
        <w:rPr>
          <w:rFonts w:cstheme="minorHAnsi"/>
          <w:lang w:val="en-GB"/>
        </w:rPr>
        <w:t xml:space="preserve">) and </w:t>
      </w:r>
      <w:r w:rsidRPr="00B779BE">
        <w:rPr>
          <w:rFonts w:cstheme="minorHAnsi"/>
          <w:lang w:val="en-GB"/>
        </w:rPr>
        <w:t>savings of 0.3 USD kg</w:t>
      </w:r>
      <w:r w:rsidRPr="00B779BE">
        <w:rPr>
          <w:rFonts w:cstheme="minorHAnsi"/>
          <w:vertAlign w:val="superscript"/>
          <w:lang w:val="en-GB"/>
        </w:rPr>
        <w:t>−1</w:t>
      </w:r>
      <w:r w:rsidRPr="00B779BE">
        <w:rPr>
          <w:rFonts w:cstheme="minorHAnsi"/>
          <w:lang w:val="en-GB"/>
        </w:rPr>
        <w:t>CO</w:t>
      </w:r>
      <w:r w:rsidRPr="00B779BE">
        <w:rPr>
          <w:rFonts w:cstheme="minorHAnsi"/>
          <w:vertAlign w:val="subscript"/>
          <w:lang w:val="en-GB"/>
        </w:rPr>
        <w:t>2</w:t>
      </w:r>
      <w:r w:rsidRPr="00B779BE">
        <w:rPr>
          <w:rFonts w:cstheme="minorHAnsi"/>
          <w:lang w:val="en-GB"/>
        </w:rPr>
        <w:noBreakHyphen/>
        <w:t>eq avoided, considering the lower end of the hydrogen cost range</w:t>
      </w:r>
      <w:r w:rsidR="004F3039" w:rsidRPr="00B779BE">
        <w:rPr>
          <w:rFonts w:cstheme="minorHAnsi"/>
          <w:lang w:val="en-GB"/>
        </w:rPr>
        <w:t xml:space="preserve"> (</w:t>
      </w:r>
      <w:r w:rsidR="004F3039" w:rsidRPr="00B779BE">
        <w:rPr>
          <w:rFonts w:cstheme="minorHAnsi"/>
          <w:b/>
          <w:lang w:val="en-GB"/>
        </w:rPr>
        <w:t>Figure</w:t>
      </w:r>
      <w:r w:rsidR="001B29BD" w:rsidRPr="00B779BE">
        <w:rPr>
          <w:rFonts w:cstheme="minorHAnsi"/>
          <w:b/>
          <w:lang w:val="en-GB"/>
        </w:rPr>
        <w:t> </w:t>
      </w:r>
      <w:r w:rsidR="004F3039" w:rsidRPr="00B779BE">
        <w:rPr>
          <w:rFonts w:cstheme="minorHAnsi"/>
          <w:b/>
          <w:lang w:val="en-GB"/>
        </w:rPr>
        <w:t>S1</w:t>
      </w:r>
      <w:r w:rsidR="0067483D" w:rsidRPr="00B779BE">
        <w:rPr>
          <w:rFonts w:cstheme="minorHAnsi"/>
          <w:b/>
          <w:lang w:val="en-GB"/>
        </w:rPr>
        <w:t>2</w:t>
      </w:r>
      <w:r w:rsidR="004F3039" w:rsidRPr="00B779BE">
        <w:rPr>
          <w:rFonts w:cstheme="minorHAnsi"/>
          <w:lang w:val="en-GB"/>
        </w:rPr>
        <w:t>)</w:t>
      </w:r>
      <w:r w:rsidRPr="00B779BE">
        <w:rPr>
          <w:rFonts w:cstheme="minorHAnsi"/>
          <w:lang w:val="en-GB"/>
        </w:rPr>
        <w:t>.</w:t>
      </w:r>
    </w:p>
    <w:p w14:paraId="46E95714" w14:textId="77777777" w:rsidR="008A3579" w:rsidRPr="00B779BE" w:rsidRDefault="008A3579" w:rsidP="008A3579">
      <w:pPr>
        <w:pStyle w:val="Heading2"/>
        <w:jc w:val="both"/>
      </w:pPr>
      <w:r w:rsidRPr="00B779BE">
        <w:t>Discussion</w:t>
      </w:r>
    </w:p>
    <w:p w14:paraId="00BE6A4B" w14:textId="062D5AD4" w:rsidR="008A3579" w:rsidRPr="00B779BE" w:rsidRDefault="008A3579" w:rsidP="008A3579">
      <w:pPr>
        <w:jc w:val="both"/>
        <w:rPr>
          <w:lang w:val="en-GB"/>
        </w:rPr>
      </w:pPr>
      <w:r w:rsidRPr="00B779BE">
        <w:rPr>
          <w:lang w:val="en-GB"/>
        </w:rPr>
        <w:t xml:space="preserve">Our results indicate that the energy crisis in Europe has had a significant and lasting impact on the viability of the low-carbon chemicals industry. It is probable that geopolitical instabilities, weather volatility, and increasing </w:t>
      </w:r>
      <w:r w:rsidRPr="00B779BE">
        <w:rPr>
          <w:lang w:val="en-GB"/>
        </w:rPr>
        <w:lastRenderedPageBreak/>
        <w:t>competition for liquefied natural gas will continue to hinder a return to the previous situation</w:t>
      </w:r>
      <w:r w:rsidR="00AA485A" w:rsidRPr="00B779BE">
        <w:rPr>
          <w:lang w:val="en-GB"/>
        </w:rPr>
        <w:t>.</w:t>
      </w:r>
      <w:r w:rsidRPr="00B779BE">
        <w:rPr>
          <w:rFonts w:cstheme="minorHAnsi"/>
          <w:lang w:val="en-GB"/>
        </w:rPr>
        <w:fldChar w:fldCharType="begin"/>
      </w:r>
      <w:r w:rsidRPr="00B779BE">
        <w:rPr>
          <w:rFonts w:cstheme="minorHAnsi"/>
          <w:lang w:val="en-GB"/>
        </w:rPr>
        <w:instrText xml:space="preserve"> ADDIN ZOTERO_ITEM CSL_CITATION {"citationID":"qgXxSmwb","properties":{"formattedCitation":"\\super 29\\nosupersub{}","plainCitation":"29","noteIndex":0},"citationItems":[{"id":871,"uris":["http://zotero.org/users/9157291/items/FRW5K29Y"],"itemData":{"id":871,"type":"report","abstract":"Summary European and global natural gas markets are not yet out of the danger created by Russia’s cuts to pipeline deliveries of gas. Conditions have been turbulent, prices have been extremely volatile, many households and gasintensive sectors have suffered – as have many gas-importing countries worldwide. Overall gas demand in the European Union (EU) is set to fall by around 10% in 2022, a drop of around 50 billion cubic metres (bcm). Some 10 bcm of this drop is due to curtailed production rather than efficiency gains or fuel switching. But the situation could be worse: European Union and national policies, markets, consumer actions, non-Russian suppliers and mild weather have all played a part in compensating for the missing Russian deliveries. As of early December, Europe’s gas storage levels remain above their five-year average.","language":"en","publisher":"International Energy Agency","source":"Zotero","title":"How to Avoid Gas Shortages in the European Union in 2023","author":[{"family":"IEA","given":""}],"issued":{"date-parts":[["2022",12]]}}}],"schema":"https://github.com/citation-style-language/schema/raw/master/csl-citation.json"}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29</w:t>
      </w:r>
      <w:r w:rsidRPr="00B779BE">
        <w:rPr>
          <w:rFonts w:cstheme="minorHAnsi"/>
          <w:lang w:val="en-GB"/>
        </w:rPr>
        <w:fldChar w:fldCharType="end"/>
      </w:r>
      <w:r w:rsidRPr="00B779BE">
        <w:rPr>
          <w:lang w:val="en-GB"/>
        </w:rPr>
        <w:t xml:space="preserve"> In contrast, advancements in renewable technologies and the experience effect are expected to reduce costs</w:t>
      </w:r>
      <w:r w:rsidR="00AA485A" w:rsidRPr="00B779BE">
        <w:rPr>
          <w:lang w:val="en-GB"/>
        </w:rPr>
        <w:t>.</w:t>
      </w:r>
      <w:r w:rsidRPr="00B779BE">
        <w:rPr>
          <w:rFonts w:cstheme="minorHAnsi"/>
          <w:lang w:val="en-GB"/>
        </w:rPr>
        <w:fldChar w:fldCharType="begin"/>
      </w:r>
      <w:r w:rsidRPr="00B779BE">
        <w:rPr>
          <w:rFonts w:cstheme="minorHAnsi"/>
          <w:lang w:val="en-GB"/>
        </w:rPr>
        <w:instrText xml:space="preserve"> ADDIN ZOTERO_ITEM CSL_CITATION {"citationID":"SIBpthvb","properties":{"formattedCitation":"\\super 30\\nosupersub{}","plainCitation":"30","noteIndex":0},"citationItems":[{"id":585,"uris":["http://zotero.org/users/9157291/items/ASFLIA5W"],"itemData":{"id":585,"type":"article-journal","container-title":"Joule","DOI":"10.1016/j.joule.2022.08.009","ISSN":"2542-4785,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30</w:t>
      </w:r>
      <w:r w:rsidRPr="00B779BE">
        <w:rPr>
          <w:rFonts w:cstheme="minorHAnsi"/>
          <w:lang w:val="en-GB"/>
        </w:rPr>
        <w:fldChar w:fldCharType="end"/>
      </w:r>
      <w:r w:rsidRPr="00B779BE">
        <w:rPr>
          <w:lang w:val="en-GB"/>
        </w:rPr>
        <w:t xml:space="preserve"> According to projections, the cost of on-shore wind electricity is expected to be 40 USD MWh</w:t>
      </w:r>
      <w:r w:rsidRPr="00B779BE">
        <w:rPr>
          <w:rFonts w:cstheme="minorHAnsi"/>
          <w:vertAlign w:val="superscript"/>
          <w:lang w:val="en-GB"/>
        </w:rPr>
        <w:t>−</w:t>
      </w:r>
      <w:r w:rsidRPr="00B779BE">
        <w:rPr>
          <w:vertAlign w:val="superscript"/>
          <w:lang w:val="en-GB"/>
        </w:rPr>
        <w:t>1</w:t>
      </w:r>
      <w:r w:rsidRPr="00B779BE">
        <w:rPr>
          <w:lang w:val="en-GB"/>
        </w:rPr>
        <w:t xml:space="preserve"> by 2030. This is expected to result in a decrease in hydrogen's leveli</w:t>
      </w:r>
      <w:r w:rsidR="00830F8D" w:rsidRPr="00B779BE">
        <w:rPr>
          <w:lang w:val="en-GB"/>
        </w:rPr>
        <w:t>s</w:t>
      </w:r>
      <w:r w:rsidRPr="00B779BE">
        <w:rPr>
          <w:lang w:val="en-GB"/>
        </w:rPr>
        <w:t>ed cost to approximately 2.7 USD kg</w:t>
      </w:r>
      <w:r w:rsidRPr="00B779BE">
        <w:rPr>
          <w:rFonts w:cstheme="minorHAnsi"/>
          <w:vertAlign w:val="superscript"/>
          <w:lang w:val="en-GB"/>
        </w:rPr>
        <w:t>−</w:t>
      </w:r>
      <w:r w:rsidRPr="00B779BE">
        <w:rPr>
          <w:vertAlign w:val="superscript"/>
          <w:lang w:val="en-GB"/>
        </w:rPr>
        <w:t>1</w:t>
      </w:r>
      <w:r w:rsidRPr="00B779BE">
        <w:rPr>
          <w:lang w:val="en-GB"/>
        </w:rPr>
        <w:t>, as described in Ref.</w:t>
      </w:r>
      <w:r w:rsidRPr="00B779BE">
        <w:rPr>
          <w:lang w:val="en-GB"/>
        </w:rPr>
        <w:fldChar w:fldCharType="begin"/>
      </w:r>
      <w:r w:rsidRPr="00B779BE">
        <w:rPr>
          <w:lang w:val="en-GB"/>
        </w:rPr>
        <w:instrText xml:space="preserve"> ADDIN ZOTERO_ITEM CSL_CITATION {"citationID":"h6UgAJzl","properties":{"formattedCitation":"\\super 31\\nosupersub{}","plainCitation":"31","noteIndex":0},"citationItems":[{"id":706,"uris":["http://zotero.org/users/9157291/items/WE7RN482"],"itemData":{"id":706,"type":"article-journal","abstract":"In this work, we developed a framework for CO2 capture and utilization for energy products (CCU4E) and examined techno-economic and environmental performance in different scenarios. The framework includes process synthesis and design, process simulation, and modeling toward the technical, economic, and environmental performance of the CO2-to-fuel pathway. Based on the 72 CO2-to-fuel pathways examined, we discussed the trade-off between economic output (via the unit production cost of fuels) and environmental impact (via net CO2 equivalent emissions). In addition, an optimization model was used to identify the optimal pathway and the decision to use conventional (black) or renewable (green) hydrogen in different scenarios. An extended sensitivity analysis was performed to understand the important role of H2 in the mitigation of CO2eq and its economic potential, globally and locally, as well as the prospect of future CO2-based fuels. This study provides practical decision-making strategies to major carbon-emitting countries to make decisions on using domestic resources to balance economics and environmental protection in the CCU4E framework. The green hydrogen price is revealed as the key factor in future CCU4E by allowing a huge reduction in CO2eq emissions at a more stable and lower price.","container-title":"Energy &amp; Environmental Science","DOI":"10.1039/D1EE01444G","ISSN":"1754-5706","issue":"1","journalAbbreviation":"Energy Environ. Sci.","language":"en","note":"publisher: The Royal Society of Chemistry","page":"169-184","source":"pubs.rsc.org","title":"A CO2 utilization framework for liquid fuels and chemical production: techno-economic and environmental analysis","title-short":"A CO2 utilization framework for liquid fuels and chemical production","volume":"15","author":[{"family":"Do","given":"Thai Ngan"},{"family":"You","given":"Chanhee"},{"family":"Kim","given":"Jiyong"}],"issued":{"date-parts":[["2022",1,19]]}}}],"schema":"https://github.com/citation-style-language/schema/raw/master/csl-citation.json"} </w:instrText>
      </w:r>
      <w:r w:rsidRPr="00B779BE">
        <w:rPr>
          <w:lang w:val="en-GB"/>
        </w:rPr>
        <w:fldChar w:fldCharType="separate"/>
      </w:r>
      <w:r w:rsidRPr="00B779BE">
        <w:rPr>
          <w:rFonts w:ascii="Calibri" w:hAnsi="Calibri" w:cs="Calibri"/>
          <w:szCs w:val="24"/>
          <w:vertAlign w:val="superscript"/>
          <w:lang w:val="en-GB"/>
        </w:rPr>
        <w:t>31</w:t>
      </w:r>
      <w:r w:rsidRPr="00B779BE">
        <w:rPr>
          <w:lang w:val="en-GB"/>
        </w:rPr>
        <w:fldChar w:fldCharType="end"/>
      </w:r>
    </w:p>
    <w:p w14:paraId="2400726D" w14:textId="4A240090" w:rsidR="008A3579" w:rsidRPr="00B779BE" w:rsidRDefault="008A3579" w:rsidP="008A3579">
      <w:pPr>
        <w:jc w:val="both"/>
        <w:rPr>
          <w:lang w:val="en-GB"/>
        </w:rPr>
      </w:pPr>
      <w:r w:rsidRPr="00B779BE">
        <w:rPr>
          <w:lang w:val="en-GB"/>
        </w:rPr>
        <w:t>Europe has committed to reducing its emissions by 55% by 2030 and achieving net-zero GHG emissions by 2050, in line with the Paris Climate Accords</w:t>
      </w:r>
      <w:r w:rsidR="00BB0657" w:rsidRPr="00B779BE">
        <w:rPr>
          <w:lang w:val="en-GB"/>
        </w:rPr>
        <w:t>.</w:t>
      </w:r>
      <w:r w:rsidRPr="00B779BE">
        <w:rPr>
          <w:rFonts w:cstheme="minorHAnsi"/>
          <w:lang w:val="en-GB"/>
        </w:rPr>
        <w:fldChar w:fldCharType="begin"/>
      </w:r>
      <w:r w:rsidRPr="00B779BE">
        <w:rPr>
          <w:rFonts w:cstheme="minorHAnsi"/>
          <w:lang w:val="en-GB"/>
        </w:rPr>
        <w:instrText xml:space="preserve"> ADDIN ZOTERO_ITEM CSL_CITATION {"citationID":"fZNn97kP","properties":{"formattedCitation":"\\super 32\\nosupersub{}","plainCitation":"32","noteIndex":0},"citationItems":[{"id":802,"uris":["http://zotero.org/users/9157291/items/RIWZTV2J"],"itemData":{"id":802,"type":"report","publisher":"COM(2021) 550 final, Brussels","title":"\"Fit for 55\": delivering the EU's 2030 Climate Target on the way to climate neutrality","URL":"https://eur-lex.europa.eu/legal-content/EN/TXT/PDF/?uri=CELEX:52021DC0550&amp;from=EN","author":[{"family":"European Commission","given":""}],"accessed":{"date-parts":[["2023",1,18]]},"issued":{"date-parts":[["2021",7,14]]}},"locator":"55"}],"schema":"https://github.com/citation-style-language/schema/raw/master/csl-citation.json"}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32</w:t>
      </w:r>
      <w:r w:rsidRPr="00B779BE">
        <w:rPr>
          <w:rFonts w:cstheme="minorHAnsi"/>
          <w:lang w:val="en-GB"/>
        </w:rPr>
        <w:fldChar w:fldCharType="end"/>
      </w:r>
      <w:r w:rsidRPr="00B779BE">
        <w:rPr>
          <w:lang w:val="en-GB"/>
        </w:rPr>
        <w:t xml:space="preserve"> To attain these ambitious targets, significant investment in low-carbon infrastructure is necessary. However, a recent study revealed that the current pace of investment and development falls short of meeting these objectives</w:t>
      </w:r>
      <w:r w:rsidR="00BB0657" w:rsidRPr="00B779BE">
        <w:rPr>
          <w:lang w:val="en-GB"/>
        </w:rPr>
        <w:t>.</w:t>
      </w:r>
      <w:r w:rsidRPr="00B779BE">
        <w:rPr>
          <w:lang w:val="en-GB"/>
        </w:rPr>
        <w:fldChar w:fldCharType="begin"/>
      </w:r>
      <w:r w:rsidRPr="00B779BE">
        <w:rPr>
          <w:lang w:val="en-GB"/>
        </w:rPr>
        <w:instrText xml:space="preserve"> ADDIN ZOTERO_ITEM CSL_CITATION {"citationID":"ToNHkVRL","properties":{"formattedCitation":"\\super 33\\nosupersub{}","plainCitation":"33","noteIndex":0},"citationItems":[{"id":801,"uris":["http://zotero.org/users/9157291/items/XDMW8YE8"],"itemData":{"id":801,"type":"article-journal","abstract":"Reaching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Change","DOI":"10.1038/s41558-022-01549-5","ISSN":"1758-6798","issue":"1","journalAbbreviation":"Nat. Clim. Chang.","language":"en","license":"2023 The Author(s), under exclusive licence to Springer Nature Limited","note":"number: 1\npublisher: Nature Publishing Group","page":"58-66","source":"www.nature.com","title":"Meta-analysis on necessary investment shifts to reach net zero pathways in Europe","volume":"13","author":[{"family":"Klaaßen","given":"Lena"},{"family":"Steffen","given":"Bjarne"}],"issued":{"date-parts":[["2023",1]]}}}],"schema":"https://github.com/citation-style-language/schema/raw/master/csl-citation.json"} </w:instrText>
      </w:r>
      <w:r w:rsidRPr="00B779BE">
        <w:rPr>
          <w:lang w:val="en-GB"/>
        </w:rPr>
        <w:fldChar w:fldCharType="separate"/>
      </w:r>
      <w:r w:rsidRPr="00B779BE">
        <w:rPr>
          <w:rFonts w:ascii="Calibri" w:hAnsi="Calibri" w:cs="Calibri"/>
          <w:szCs w:val="24"/>
          <w:vertAlign w:val="superscript"/>
          <w:lang w:val="en-GB"/>
        </w:rPr>
        <w:t>33</w:t>
      </w:r>
      <w:r w:rsidRPr="00B779BE">
        <w:rPr>
          <w:lang w:val="en-GB"/>
        </w:rPr>
        <w:fldChar w:fldCharType="end"/>
      </w:r>
      <w:r w:rsidRPr="00B779BE">
        <w:rPr>
          <w:lang w:val="en-GB"/>
        </w:rPr>
        <w:t xml:space="preserve"> An immediate additional investment of approximately 94 billion USD per year until 2025 is required to achieve net-zero, with substantial funding needed for renewable power, especially on-shore wind (17.3 billion USD per year) and solar (7.6 billion USD per year)</w:t>
      </w:r>
      <w:r w:rsidR="00BB0657" w:rsidRPr="00B779BE">
        <w:rPr>
          <w:lang w:val="en-GB"/>
        </w:rPr>
        <w:t>.</w:t>
      </w:r>
      <w:r w:rsidRPr="00B779BE">
        <w:rPr>
          <w:lang w:val="en-GB"/>
        </w:rPr>
        <w:fldChar w:fldCharType="begin"/>
      </w:r>
      <w:r w:rsidRPr="00B779BE">
        <w:rPr>
          <w:lang w:val="en-GB"/>
        </w:rPr>
        <w:instrText xml:space="preserve"> ADDIN ZOTERO_ITEM CSL_CITATION {"citationID":"umpqHukE","properties":{"formattedCitation":"\\super 33\\nosupersub{}","plainCitation":"33","noteIndex":0},"citationItems":[{"id":801,"uris":["http://zotero.org/users/9157291/items/XDMW8YE8"],"itemData":{"id":801,"type":"article-journal","abstract":"Reaching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Change","DOI":"10.1038/s41558-022-01549-5","ISSN":"1758-6798","issue":"1","journalAbbreviation":"Nat. Clim. Chang.","language":"en","license":"2023 The Author(s), under exclusive licence to Springer Nature Limited","note":"number: 1\npublisher: Nature Publishing Group","page":"58-66","source":"www.nature.com","title":"Meta-analysis on necessary investment shifts to reach net zero pathways in Europe","volume":"13","author":[{"family":"Klaaßen","given":"Lena"},{"family":"Steffen","given":"Bjarne"}],"issued":{"date-parts":[["2023",1]]}}}],"schema":"https://github.com/citation-style-language/schema/raw/master/csl-citation.json"} </w:instrText>
      </w:r>
      <w:r w:rsidRPr="00B779BE">
        <w:rPr>
          <w:lang w:val="en-GB"/>
        </w:rPr>
        <w:fldChar w:fldCharType="separate"/>
      </w:r>
      <w:r w:rsidRPr="00B779BE">
        <w:rPr>
          <w:rFonts w:ascii="Calibri" w:hAnsi="Calibri" w:cs="Calibri"/>
          <w:szCs w:val="24"/>
          <w:vertAlign w:val="superscript"/>
          <w:lang w:val="en-GB"/>
        </w:rPr>
        <w:t>33</w:t>
      </w:r>
      <w:r w:rsidRPr="00B779BE">
        <w:rPr>
          <w:lang w:val="en-GB"/>
        </w:rPr>
        <w:fldChar w:fldCharType="end"/>
      </w:r>
      <w:r w:rsidRPr="00B779BE">
        <w:rPr>
          <w:lang w:val="en-GB"/>
        </w:rPr>
        <w:t xml:space="preserve"> Thus, producing green ammonia and methanol through market-driven mechanisms could assist the European chemical industry in reducing GHG emissions at a negative mitigation cost compared to expensive and socio-politically challenging NETs.</w:t>
      </w:r>
    </w:p>
    <w:p w14:paraId="40327566" w14:textId="28EBA8EA" w:rsidR="008A3579" w:rsidRPr="00B779BE" w:rsidRDefault="008A3579" w:rsidP="008A3579">
      <w:pPr>
        <w:jc w:val="both"/>
        <w:rPr>
          <w:rFonts w:cstheme="minorHAnsi"/>
          <w:iCs/>
          <w:lang w:val="en-GB"/>
        </w:rPr>
      </w:pPr>
      <w:r w:rsidRPr="00B779BE">
        <w:rPr>
          <w:lang w:val="en-GB"/>
        </w:rPr>
        <w:t xml:space="preserve">Both short-term and long-term strategies are required in this situation. To accelerate the implementation of the green routes, favourable macroeconomic environment must be complemented by tailwind regulations. </w:t>
      </w:r>
      <w:r w:rsidR="00414424" w:rsidRPr="00B779BE">
        <w:rPr>
          <w:lang w:val="en-GB"/>
        </w:rPr>
        <w:t>Additionally, a</w:t>
      </w:r>
      <w:r w:rsidRPr="00B779BE">
        <w:rPr>
          <w:lang w:val="en-GB"/>
        </w:rPr>
        <w:t xml:space="preserve"> fraction of the investment should be focused on research and development to enhance current performance and boost emerging technologies with low TRL to face concrete challenges. For both ammonia and methanol production, enhancing the performance of polymeric membrane water electroly</w:t>
      </w:r>
      <w:r w:rsidR="00CC44DD" w:rsidRPr="00B779BE">
        <w:rPr>
          <w:lang w:val="en-GB"/>
        </w:rPr>
        <w:t>s</w:t>
      </w:r>
      <w:r w:rsidRPr="00B779BE">
        <w:rPr>
          <w:lang w:val="en-GB"/>
        </w:rPr>
        <w:t>ers should become a priority to increase competitiveness. Optimi</w:t>
      </w:r>
      <w:r w:rsidR="00CC44DD" w:rsidRPr="00B779BE">
        <w:rPr>
          <w:lang w:val="en-GB"/>
        </w:rPr>
        <w:t>s</w:t>
      </w:r>
      <w:r w:rsidRPr="00B779BE">
        <w:rPr>
          <w:lang w:val="en-GB"/>
        </w:rPr>
        <w:t>ed anodes, ideally containing catalysts with lower Pt-group metal content, can achieve technological maturity through lower cell voltages</w:t>
      </w:r>
      <w:r w:rsidRPr="00B779BE">
        <w:rPr>
          <w:rFonts w:cstheme="minorHAnsi"/>
          <w:lang w:val="en-GB"/>
        </w:rPr>
        <w:t xml:space="preserve"> and increased stability</w:t>
      </w:r>
      <w:r w:rsidR="00FE022B" w:rsidRPr="00B779BE">
        <w:rPr>
          <w:rFonts w:cstheme="minorHAnsi"/>
          <w:lang w:val="en-GB"/>
        </w:rPr>
        <w:t>.</w:t>
      </w:r>
      <w:r w:rsidRPr="00B779BE">
        <w:rPr>
          <w:rFonts w:cstheme="minorHAnsi"/>
          <w:lang w:val="en-GB"/>
        </w:rPr>
        <w:fldChar w:fldCharType="begin"/>
      </w:r>
      <w:r w:rsidRPr="00B779BE">
        <w:rPr>
          <w:rFonts w:cstheme="minorHAnsi"/>
          <w:lang w:val="en-GB"/>
        </w:rPr>
        <w:instrText xml:space="preserve"> ADDIN ZOTERO_ITEM CSL_CITATION {"citationID":"zVrxVJYu","properties":{"formattedCitation":"\\super 34,35\\nosupersub{}","plainCitation":"34,35","noteIndex":0},"citationItems":[{"id":999,"uris":["http://zotero.org/users/9157291/items/QSNU36QI"],"itemData":{"id":999,"type":"article-journal","abstract":"Electrochemistry has the potential to sustainably transform molecules with electrons supplied by renewable electricity. It is one of many solutions towards a more circular, sustainable and equitable society. To achieve this, collaboration between industry and research laboratories is a must. Atomistic understanding from fundamental experiments and modelling can be used to engineer optimized systems whereas limitations set by the scaled-up technology can direct the systems studied in the research laboratory. In this Primer, best practices to run clean laboratory-scale electrochemical systems and tips for the analysis of electrochemical data to improve accuracy and reproducibility are introduced. How characterization and modelling are indispensable in providing routes to garner further insights into atomistic and mechanistic details is discussed. Finally, important considerations regarding material and cell design for scaling up water electrolysis are highlighted and the role of hydrogen in our society’s energy transition is discussed. The future of electrochemistry is bright and major breakthroughs will come with rigour and improvements in the collection, analysis, benchmarking and reporting of electrochemical water splitting data.","container-title":"Nature Reviews Methods Primers","DOI":"10.1038/s43586-022-00164-0","ISSN":"2662-8449","issue":"1","journalAbbreviation":"Nat. Rev. Methods Primers","language":"en","license":"2022 Springer Nature Limited","note":"number: 1\npublisher: Nature Publishing Group","page":"1-19","source":"www.nature.com","title":"Water electrolysis","volume":"2","author":[{"family":"Shih","given":"Arthur J."},{"family":"Monteiro","given":"Mariana C. O."},{"family":"Dattila","given":"Federico"},{"family":"Pavesi","given":"Davide"},{"family":"Philips","given":"Matthew"},{"family":"Silva","given":"Alisson H. M.","non-dropping-particle":"da"},{"family":"Vos","given":"Rafaël E."},{"family":"Ojha","given":"Kasinath"},{"family":"Park","given":"Sunghak"},{"family":"Heijden","given":"Onno","non-dropping-particle":"van der"},{"family":"Marcandalli","given":"Giulia"},{"family":"Goyal","given":"Akansha"},{"family":"Villalba","given":"Matias"},{"family":"Chen","given":"Xiaoting"},{"family":"Gunasooriya","given":"G. T. Kasun Kalhara"},{"family":"McCrum","given":"Ian"},{"family":"Mom","given":"Rik"},{"family":"López","given":"Núria"},{"family":"Koper","given":"Marc T. M."}],"issued":{"date-parts":[["2022",10,27]]}}},{"id":998,"uris":["http://zotero.org/users/9157291/items/XLRY476D"],"itemData":{"id":998,"type":"article-journal","abstract":"Replacing fossil fuels with energy sources and carriers that are sustainable, environmentally benign, and affordable is amongst the most pressing challenges for future socio-economic development. To that goal, hydrogen is presumed to be the most promising energy carrier. Electrocatalytic water splitting, if driven by green electricity, would provide hydrogen with minimal CO2 footprint. The viability of water electrolysis still hinges on the availability of durable earth-abundant electrocatalyst materials and the overall process efficiency. This review spans from the fundamentals of electrocatalytically initiated water splitting to the very latest scientific findings from university and institutional research, also covering specifications and special features of the current industrial processes and those processes currently being tested in large-scale applications. Recently developed strategies are described for the optimisation and discovery of active and durable materials for electrodes that ever-increasingly harness first-principles calculations and machine learning. In addition, a technoeconomic analysis of water electrolysis is included that allows an assessment of the extent to which a large-scale implementation of water splitting can help to combat climate change. This review article is intended to cross-pollinate and strengthen efforts from fundamental understanding to technical implementation and to improve the ‘junctions’ between the field's physical chemists, materials scientists and engineers, as well as stimulate much-needed exchange among these groups on challenges encountered in the different domains.","container-title":"Chemical Society Reviews","DOI":"10.1039/D0CS01079K","ISSN":"1460-4744","issue":"11","journalAbbreviation":"Chem. Soc. Rev.","language":"en","note":"publisher: The Royal Society of Chemistry","page":"4583-4762","source":"pubs.rsc.org","title":"Water electrolysis: from textbook knowledge to the latest scientific strategies and industrial developments","title-short":"Water electrolysis","volume":"51","author":[{"family":"Chatenet","given":"Marian"},{"family":"Pollet","given":"Bruno G."},{"family":"Dekel","given":"Dario R."},{"family":"Dionigi","given":"Fabio"},{"family":"Deseure","given":"Jonathan"},{"family":"Millet","given":"Pierre"},{"family":"Braatz","given":"Richard D."},{"family":"Bazant","given":"Martin Z."},{"family":"Eikerling","given":"Michael"},{"family":"Staffell","given":"Iain"},{"family":"Balcombe","given":"Paul"},{"family":"Shao-Horn","given":"Yang"},{"family":"Schäfer","given":"Helmut"}],"issued":{"date-parts":[["2022",6,6]]}}}],"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34,35</w:t>
      </w:r>
      <w:r w:rsidRPr="00B779BE">
        <w:rPr>
          <w:rFonts w:cstheme="minorHAnsi"/>
          <w:lang w:val="en-GB"/>
        </w:rPr>
        <w:fldChar w:fldCharType="end"/>
      </w:r>
      <w:r w:rsidRPr="00B779BE">
        <w:rPr>
          <w:lang w:val="en-GB"/>
        </w:rPr>
        <w:t xml:space="preserve"> </w:t>
      </w:r>
      <w:r w:rsidR="00612E4C" w:rsidRPr="00B779BE">
        <w:rPr>
          <w:lang w:val="en-GB"/>
        </w:rPr>
        <w:t>From a wider perspective, the</w:t>
      </w:r>
      <w:r w:rsidRPr="00B779BE">
        <w:rPr>
          <w:lang w:val="en-GB"/>
        </w:rPr>
        <w:t xml:space="preserve"> availability of different routes could reali</w:t>
      </w:r>
      <w:r w:rsidR="00CC44DD" w:rsidRPr="00B779BE">
        <w:rPr>
          <w:lang w:val="en-GB"/>
        </w:rPr>
        <w:t>s</w:t>
      </w:r>
      <w:r w:rsidRPr="00B779BE">
        <w:rPr>
          <w:lang w:val="en-GB"/>
        </w:rPr>
        <w:t>e a new scenario where green centralised and decentralised production units coexist. Small electrocatalytic reactors coupled to solar power, known as ammonia leaves</w:t>
      </w:r>
      <w:r w:rsidRPr="00B779BE">
        <w:rPr>
          <w:rFonts w:cstheme="minorHAnsi"/>
          <w:lang w:val="en-GB"/>
        </w:rPr>
        <w:fldChar w:fldCharType="begin"/>
      </w:r>
      <w:r w:rsidRPr="00B779BE">
        <w:rPr>
          <w:rFonts w:cstheme="minorHAnsi"/>
          <w:lang w:val="en-GB"/>
        </w:rPr>
        <w:instrText xml:space="preserve"> ADDIN ZOTERO_ITEM CSL_CITATION {"citationID":"lqGgVQ3r","properties":{"formattedCitation":"\\super 36\\nosupersub{}","plainCitation":"36","noteIndex":0},"citationItems":[{"id":996,"uris":["http://zotero.org/users/9157291/items/QIZNQB2H"],"itemData":{"id":996,"type":"article-journal","abstract":"The centralized production of fuels, chemicals, and fertilizers by thermocatalytic processes sustained by fossil resources is a pillar of modern societies. Electrocatalytic transformations of the abundant small molecules, water, carbon dioxide, dinitrogen, and methane, are emerging routes. Their coupling with renewable sources such as sun power may give rise to a distributed model based on small-scale reactors, so-called artificial leaves. Realizing this vision calls for improved catalytic performance, efforts on reactor and process engineering, and supportive regulatory frameworks. This work puts emphasis in analyzing the core challenge of catalytic performance by defining a common set of figures of merit. This analysis is nuanced by peculiarities inherent to the proposed scheme. This perspective thus aspires to (1) provide a bird’s-eye view of the gap separating them from practical values, (2) identify sources of inefficiency, and (3) establish a qualitative comparison among their feasibility, resulting in H2O </w:instrText>
      </w:r>
      <w:r w:rsidRPr="00B779BE">
        <w:rPr>
          <w:rFonts w:ascii="Cambria Math" w:hAnsi="Cambria Math" w:cs="Cambria Math"/>
          <w:lang w:val="en-GB"/>
        </w:rPr>
        <w:instrText>≫</w:instrText>
      </w:r>
      <w:r w:rsidRPr="00B779BE">
        <w:rPr>
          <w:rFonts w:cstheme="minorHAnsi"/>
          <w:lang w:val="en-GB"/>
        </w:rPr>
        <w:instrText xml:space="preserve"> CO2 </w:instrText>
      </w:r>
      <w:r w:rsidRPr="00B779BE">
        <w:rPr>
          <w:rFonts w:ascii="Calibri" w:hAnsi="Calibri" w:cs="Calibri"/>
          <w:lang w:val="en-GB"/>
        </w:rPr>
        <w:instrText>≥</w:instrText>
      </w:r>
      <w:r w:rsidRPr="00B779BE">
        <w:rPr>
          <w:rFonts w:cstheme="minorHAnsi"/>
          <w:lang w:val="en-GB"/>
        </w:rPr>
        <w:instrText xml:space="preserve"> N2 &gt; CH4.","container-title":"Joule","DOI":"10.1016/j.joule.2019.09.007","ISSN":"2542-4351","issue":"11","journalAbbreviation":"Joule","language":"en","page":"2602-2621","source":"ScienceDirect","title":"Heading to Distributed Electrocatalytic Conversion of Small Abundant Molecules into Fuels, Chemicals, and Fertilizers","volume":"3","author":[{"family":"Martín","given":"Antonio José"},{"family":"Pérez-Ramírez","given":"Javier"}],"issued":{"date-parts":[["2019",11,20]]}}}],"schema":"https://github.com/citation-style-language/schema/raw/master/csl-citation.json"}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36</w:t>
      </w:r>
      <w:r w:rsidRPr="00B779BE">
        <w:rPr>
          <w:rFonts w:cstheme="minorHAnsi"/>
          <w:lang w:val="en-GB"/>
        </w:rPr>
        <w:fldChar w:fldCharType="end"/>
      </w:r>
      <w:r w:rsidRPr="00B779BE">
        <w:rPr>
          <w:lang w:val="en-GB"/>
        </w:rPr>
        <w:t>, may open the door to direct production of fertili</w:t>
      </w:r>
      <w:r w:rsidR="00CC44DD" w:rsidRPr="00B779BE">
        <w:rPr>
          <w:lang w:val="en-GB"/>
        </w:rPr>
        <w:t>s</w:t>
      </w:r>
      <w:r w:rsidRPr="00B779BE">
        <w:rPr>
          <w:lang w:val="en-GB"/>
        </w:rPr>
        <w:t>ers at croplands. However, direct electrocatalytic reduction of nitrogen is still impractical at an industrial scale, as research must overcome early challenges such as identifying reference catalysts</w:t>
      </w:r>
      <w:r w:rsidR="00EE485C" w:rsidRPr="00B779BE">
        <w:rPr>
          <w:lang w:val="en-GB"/>
        </w:rPr>
        <w:t>.</w:t>
      </w:r>
      <w:r w:rsidR="00561AC6" w:rsidRPr="00B779BE">
        <w:rPr>
          <w:rFonts w:cstheme="minorHAnsi"/>
          <w:lang w:val="en-GB"/>
        </w:rPr>
        <w:fldChar w:fldCharType="begin"/>
      </w:r>
      <w:r w:rsidR="00561AC6" w:rsidRPr="00B779BE">
        <w:rPr>
          <w:rFonts w:cstheme="minorHAnsi"/>
          <w:lang w:val="en-GB"/>
        </w:rPr>
        <w:instrText xml:space="preserve"> ADDIN ZOTERO_ITEM CSL_CITATION {"citationID":"lqGgVQ3r","properties":{"formattedCitation":"\\super 36\\nosupersub{}","plainCitation":"36","noteIndex":0},"citationItems":[{"id":996,"uris":["http://zotero.org/users/9157291/items/QIZNQB2H"],"itemData":{"id":996,"type":"article-journal","abstract":"The centralized production of fuels, chemicals, and fertilizers by thermocatalytic processes sustained by fossil resources is a pillar of modern societies. Electrocatalytic transformations of the abundant small molecules, water, carbon dioxide, dinitrogen, and methane, are emerging routes. Their coupling with renewable sources such as sun power may give rise to a distributed model based on small-scale reactors, so-called artificial leaves. Realizing this vision calls for improved catalytic performance, efforts on reactor and process engineering, and supportive regulatory frameworks. This work puts emphasis in analyzing the core challenge of catalytic performance by defining a common set of figures of merit. This analysis is nuanced by peculiarities inherent to the proposed scheme. This perspective thus aspires to (1) provide a bird’s-eye view of the gap separating them from practical values, (2) identify sources of inefficiency, and (3) establish a qualitative comparison among their feasibility, resulting in H2O </w:instrText>
      </w:r>
      <w:r w:rsidR="00561AC6" w:rsidRPr="00B779BE">
        <w:rPr>
          <w:rFonts w:ascii="Cambria Math" w:hAnsi="Cambria Math" w:cs="Cambria Math"/>
          <w:lang w:val="en-GB"/>
        </w:rPr>
        <w:instrText>≫</w:instrText>
      </w:r>
      <w:r w:rsidR="00561AC6" w:rsidRPr="00B779BE">
        <w:rPr>
          <w:rFonts w:cstheme="minorHAnsi"/>
          <w:lang w:val="en-GB"/>
        </w:rPr>
        <w:instrText xml:space="preserve"> CO2 </w:instrText>
      </w:r>
      <w:r w:rsidR="00561AC6" w:rsidRPr="00B779BE">
        <w:rPr>
          <w:rFonts w:ascii="Calibri" w:hAnsi="Calibri" w:cs="Calibri"/>
          <w:lang w:val="en-GB"/>
        </w:rPr>
        <w:instrText>≥</w:instrText>
      </w:r>
      <w:r w:rsidR="00561AC6" w:rsidRPr="00B779BE">
        <w:rPr>
          <w:rFonts w:cstheme="minorHAnsi"/>
          <w:lang w:val="en-GB"/>
        </w:rPr>
        <w:instrText xml:space="preserve"> N2 &gt; CH4.","container-title":"Joule","DOI":"10.1016/j.joule.2019.09.007","ISSN":"2542-4351","issue":"11","journalAbbreviation":"Joule","language":"en","page":"2602-2621","source":"ScienceDirect","title":"Heading to Distributed Electrocatalytic Conversion of Small Abundant Molecules into Fuels, Chemicals, and Fertilizers","volume":"3","author":[{"family":"Martín","given":"Antonio José"},{"family":"Pérez-Ramírez","given":"Javier"}],"issued":{"date-parts":[["2019",11,20]]}}}],"schema":"https://github.com/citation-style-language/schema/raw/master/csl-citation.json"} </w:instrText>
      </w:r>
      <w:r w:rsidR="00561AC6" w:rsidRPr="00B779BE">
        <w:rPr>
          <w:rFonts w:cstheme="minorHAnsi"/>
          <w:lang w:val="en-GB"/>
        </w:rPr>
        <w:fldChar w:fldCharType="separate"/>
      </w:r>
      <w:r w:rsidR="00561AC6" w:rsidRPr="00B779BE">
        <w:rPr>
          <w:rFonts w:ascii="Calibri" w:hAnsi="Calibri" w:cs="Calibri"/>
          <w:szCs w:val="24"/>
          <w:vertAlign w:val="superscript"/>
          <w:lang w:val="en-GB"/>
        </w:rPr>
        <w:t>36</w:t>
      </w:r>
      <w:r w:rsidR="00561AC6" w:rsidRPr="00B779BE">
        <w:rPr>
          <w:rFonts w:cstheme="minorHAnsi"/>
          <w:lang w:val="en-GB"/>
        </w:rPr>
        <w:fldChar w:fldCharType="end"/>
      </w:r>
      <w:r w:rsidRPr="00B779BE">
        <w:rPr>
          <w:lang w:val="en-GB"/>
        </w:rPr>
        <w:t xml:space="preserve"> As for methanol synthesis, recent breakthrough discoveries of catalysts such as promoted indium oxide</w:t>
      </w:r>
      <w:r w:rsidRPr="00B779BE">
        <w:rPr>
          <w:rFonts w:cstheme="minorHAnsi"/>
          <w:lang w:val="en-GB"/>
        </w:rPr>
        <w:fldChar w:fldCharType="begin"/>
      </w:r>
      <w:r w:rsidRPr="00B779BE">
        <w:rPr>
          <w:rFonts w:cstheme="minorHAnsi"/>
          <w:lang w:val="en-GB"/>
        </w:rPr>
        <w:instrText xml:space="preserve"> ADDIN ZOTERO_ITEM CSL_CITATION {"citationID":"9YrmQOSN","properties":{"formattedCitation":"\\super 37,38\\nosupersub{}","plainCitation":"37,38","noteIndex":0},"citationItems":[{"id":25710,"uris":["http://zotero.org/users/9157291/items/VK34W2J4"],"itemData":{"id":25710,"type":"article-journal","abstract":"Methanol synthesis by CO2 hydrogenation is attractive in view of avoiding the environmental implications associated with the production of the traditional syngas feedstock and mitigating global warming. However, there still is a lack of efficient catalysts for such alternative processes. Herein, we unveil the high activity, 100 % selectivity, and remarkable stability for 1000 h on stream of In2O3 supported on ZrO2 under industrially relevant conditions. This strongly contrasts to the benchmark Cu-ZnO-Al2O3 catalyst, which is unselective and experiences rapid deactivation. In-depth characterization of the In2O3-based materials points towards a mechanism rooted in the creation and annihilation of oxygen vacancies as active sites, whose amount can be modulated in situ by co-feeding CO and boosted through electronic interactions with the zirconia carrier. These results constitute a promising basis for the design of a prospective technology for sustainable methanol production.","container-title":"Angewandte Chemie International Edition","DOI":"10.1002/anie.201600943","ISSN":"1521-3773","issue":"21","journalAbbreviation":"Angew. Chem., Int. Ed. Engl.","language":"en","note":"_eprint: https://onlinelibrary.wiley.com/doi/pdf/10.1002/anie.201600943","page":"6261-6265","source":"Wiley Online Library","title":"Indium Oxide as a Superior Catalyst for Methanol Synthesis by CO2 Hydrogenation","volume":"55","author":[{"family":"Martin","given":"Oliver"},{"family":"Martín","given":"Antonio J."},{"family":"Mondelli","given":"Cecilia"},{"family":"Mitchell","given":"Sharon"},{"family":"Segawa","given":"Takuya F."},{"family":"Hauert","given":"Roland"},{"family":"Drouilly","given":"Charlotte"},{"family":"Curulla-Ferré","given":"Daniel"},{"family":"Pérez-Ramírez","given":"Javier"}],"issued":{"date-parts":[["2016"]]}}},{"id":1002,"uris":["http://zotero.org/users/9157291/items/DUJ2VT33"],"itemData":{"id":1002,"type":"article-journal","abstract":"Palladium promotion and deposition on monoclinic zirconia are effective strategies to boost the performance of bulk In2O3 in CO2-to-methanol and could unlock superior reactivity if well integrated into a single catalytic system. However, harnessing synergic effects of the individual components is crucial and very challenging as it requires precise control over their assembly. Herein, we present ternary Pd-In2O3-ZrO2 catalysts prepared by flame spray pyrolysis (FSP) with remarkable methanol productivity and improved metal utilization, surpassing their binary counterparts. Unlike established impregnation and co-precipitation methods, FSP produces materials combining low-nuclearity palladium species associated with In2O3 monolayers highly dispersed on the ZrO2 carrier, whose surface partially transforms from a tetragonal into a monoclinic-like structure upon reaction. A pioneering protocol developed to quantify oxygen vacancies using in situ electron paramagnetic resonance spectroscopy reveals their enhanced generation because of this unique catalyst architecture, thereby rationalizing its high and sustained methanol productivity.","container-title":"Nature Communications","DOI":"10.1038/s41467-022-33391-w","ISSN":"2041-1723","issue":"1","journalAbbreviation":"Nat. Commun.","language":"en","license":"2022 The Author(s)","note":"number: 1\npublisher: Nature Publishing Group","page":"5610","source":"www.nature.com","title":"Flame-made ternary Pd-In2O3-ZrO2 catalyst with enhanced oxygen vacancy generation for CO2 hydrogenation to methanol","volume":"13","author":[{"family":"Pinheiro Araújo","given":"Thaylan"},{"family":"Mondelli","given":"Cecilia"},{"family":"Agrachev","given":"Mikhail"},{"family":"Zou","given":"Tangsheng"},{"family":"Willi","given":"Patrik O."},{"family":"Engel","given":"Konstantin M."},{"family":"Grass","given":"Robert N."},{"family":"Stark","given":"Wendelin J."},{"family":"Safonova","given":"Olga V."},{"family":"Jeschke","given":"Gunnar"},{"family":"Mitchell","given":"Sharon"},{"family":"Pérez-Ramírez","given":"Javier"}],"issued":{"date-parts":[["2022",9,24]]}}}],"schema":"https://github.com/citation-style-language/schema/raw/master/csl-citation.json"}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37,38</w:t>
      </w:r>
      <w:r w:rsidRPr="00B779BE">
        <w:rPr>
          <w:rFonts w:cstheme="minorHAnsi"/>
          <w:lang w:val="en-GB"/>
        </w:rPr>
        <w:fldChar w:fldCharType="end"/>
      </w:r>
      <w:r w:rsidRPr="00B779BE">
        <w:rPr>
          <w:lang w:val="en-GB"/>
        </w:rPr>
        <w:t xml:space="preserve"> or zinc-zirconium oxide</w:t>
      </w:r>
      <w:r w:rsidRPr="00B779BE">
        <w:rPr>
          <w:rFonts w:cstheme="minorHAnsi"/>
          <w:lang w:val="en-GB"/>
        </w:rPr>
        <w:fldChar w:fldCharType="begin"/>
      </w:r>
      <w:r w:rsidRPr="00B779BE">
        <w:rPr>
          <w:rFonts w:cstheme="minorHAnsi"/>
          <w:lang w:val="en-GB"/>
        </w:rPr>
        <w:instrText xml:space="preserve"> ADDIN ZOTERO_ITEM CSL_CITATION {"citationID":"tZ4iLRHP","properties":{"formattedCitation":"\\super 39\\nosupersub{}","plainCitation":"39","noteIndex":0},"citationItems":[{"id":1001,"uris":["http://zotero.org/users/9157291/items/GSWCS3NY"],"itemData":{"id":1001,"type":"article-journal","abstract":"Although methanol synthesis via CO hydrogenation has been industrialized, CO2 hydrogenation to methanol still confronts great obstacles of low methanol selectivity and poor stability, particularly for supported metal catalysts under industrial conditions. We report a binary metal oxide, ZnO-ZrO2 solid solution catalyst, which can achieve methanol selectivity of up to 86 to 91% with CO2 single-pass conversion of more than 10% under reaction conditions of 5.0 MPa, 24,000 ml/(g hour), H2/CO2 = 3:1 to 4:1, 320° to 315°C. Experimental and theoretical results indicate that the synergetic effect between Zn and Zr sites results in the excellent performance. The ZnO-ZrO2 solid solution catalyst shows high stability for at least 500 hours on stream and is also resistant to sintering at higher temperatures. Moreover, no deactivation is observed in the presence of 50 ppm SO2 or H2S in the reaction stream.","container-title":"Science Advances","DOI":"10.1126/sciadv.1701290","issue":"10","journalAbbreviation":"Sci. Adv.","note":"publisher: American Association for the Advancement of Science","page":"e1701290","source":"science.org (Atypon)","title":"A highly selective and stable ZnO-ZrO2 solid solution catalyst for CO2 hydrogenation to methanol","volume":"3","author":[{"family":"Wang","given":"Jijie"},{"family":"Li","given":"Guanna"},{"family":"Li","given":"Zelong"},{"family":"Tang","given":"Chizhou"},{"family":"Feng","given":"Zhaochi"},{"family":"An","given":"Hongyu"},{"family":"Liu","given":"Hailong"},{"family":"Liu","given":"Taifeng"},{"family":"Li","given":"Can"}],"issued":{"date-parts":[["2017",10,6]]}}}],"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39</w:t>
      </w:r>
      <w:r w:rsidRPr="00B779BE">
        <w:rPr>
          <w:rFonts w:cstheme="minorHAnsi"/>
          <w:lang w:val="en-GB"/>
        </w:rPr>
        <w:fldChar w:fldCharType="end"/>
      </w:r>
      <w:r w:rsidRPr="00B779BE">
        <w:rPr>
          <w:lang w:val="en-GB"/>
        </w:rPr>
        <w:t xml:space="preserve"> have expanded the options for the direct hydrogenation of CO</w:t>
      </w:r>
      <w:r w:rsidRPr="00B779BE">
        <w:rPr>
          <w:vertAlign w:val="subscript"/>
          <w:lang w:val="en-GB"/>
        </w:rPr>
        <w:t>2</w:t>
      </w:r>
      <w:r w:rsidRPr="00B779BE">
        <w:rPr>
          <w:lang w:val="en-GB"/>
        </w:rPr>
        <w:t xml:space="preserve"> into methanol beyond traditional copper-based catalysts with insufficient selectivity and stability. These new materials must still prove increased activity while making further progress in stability and selectivity</w:t>
      </w:r>
      <w:r w:rsidR="00EE485C" w:rsidRPr="00B779BE">
        <w:rPr>
          <w:lang w:val="en-GB"/>
        </w:rPr>
        <w:t>.</w:t>
      </w:r>
      <w:r w:rsidRPr="00B779BE">
        <w:rPr>
          <w:rFonts w:cstheme="minorHAnsi"/>
          <w:lang w:val="en-GB"/>
        </w:rPr>
        <w:fldChar w:fldCharType="begin"/>
      </w:r>
      <w:r w:rsidRPr="00B779BE">
        <w:rPr>
          <w:rFonts w:cstheme="minorHAnsi"/>
          <w:lang w:val="en-GB"/>
        </w:rPr>
        <w:instrText xml:space="preserve"> ADDIN ZOTERO_ITEM CSL_CITATION {"citationID":"bnaoirAC","properties":{"formattedCitation":"\\super 40\\nosupersub{}","plainCitation":"40","noteIndex":0},"citationItems":[{"id":997,"uris":["http://zotero.org/users/9157291/items/CH6KXFUW"],"itemData":{"id":997,"type":"article-journal","abstract":"Flame Spray Pyrolysis In article number 2103707, Núria López, Javier Pérez-Ramírez and co-workers apply flame spray pyrolysis as a standardized synthesis method to investigate promotional effects of nine transition metals in In2O3-catalyzed CO2 hydrogenation to methanol, revealing that catalyst architecture (single atoms, clusters, and nanoparticles) and corresponding reactivity are dictated by the nature of the promoter.","container-title":"Advanced Energy Materials","DOI":"10.1002/aenm.202270056","ISSN":"1614-6840","issue":"14","journalAbbreviation":"Adv. Energy Mater.","note":"_eprint: https://onlinelibrary.wiley.com/doi/pdf/10.1002/aenm.202270056","page":"2270056","source":"Wiley Online Library","title":"Flame Spray Pyrolysis as a Synthesis Platform to Assess Metal Promotion in In2O3-Catalyzed CO2 Hydrogenation (Adv. Energy Mater. 14/2022)","volume":"12","author":[{"family":"Pinheiro Araújo","given":"Thaylan"},{"family":"Morales-Vidal","given":"Jordi"},{"family":"Zou","given":"Tangsheng"},{"family":"García-Muelas","given":"Rodrigo"},{"family":"Willi","given":"Patrik O."},{"family":"Engel","given":"Konstantin M."},{"family":"Safonova","given":"Olga V."},{"family":"Faust Akl","given":"Dario"},{"family":"Krumeich","given":"Frank"},{"family":"Grass","given":"Robert N."},{"family":"Mondelli","given":"Cecilia"},{"family":"López","given":"Núria"},{"family":"Pérez-Ramírez","given":"Javier"}],"issued":{"date-parts":[["2022"]]}}}],"schema":"https://github.com/citation-style-language/schema/raw/master/csl-citation.json"}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40</w:t>
      </w:r>
      <w:r w:rsidRPr="00B779BE">
        <w:rPr>
          <w:rFonts w:cstheme="minorHAnsi"/>
          <w:lang w:val="en-GB"/>
        </w:rPr>
        <w:fldChar w:fldCharType="end"/>
      </w:r>
      <w:r w:rsidRPr="00B779BE">
        <w:rPr>
          <w:lang w:val="en-GB"/>
        </w:rPr>
        <w:t xml:space="preserve"> With the development of more active and selective copper electrocatalysts, it may be appealing to synthesi</w:t>
      </w:r>
      <w:r w:rsidR="00CC44DD" w:rsidRPr="00B779BE">
        <w:rPr>
          <w:lang w:val="en-GB"/>
        </w:rPr>
        <w:t>s</w:t>
      </w:r>
      <w:r w:rsidRPr="00B779BE">
        <w:rPr>
          <w:lang w:val="en-GB"/>
        </w:rPr>
        <w:t>e carbon products with direct use as fuels such as methanol or ethanol from CO</w:t>
      </w:r>
      <w:r w:rsidRPr="00B779BE">
        <w:rPr>
          <w:vertAlign w:val="subscript"/>
          <w:lang w:val="en-GB"/>
        </w:rPr>
        <w:t>2</w:t>
      </w:r>
      <w:r w:rsidRPr="00B779BE">
        <w:rPr>
          <w:lang w:val="en-GB"/>
        </w:rPr>
        <w:t xml:space="preserve"> on a small scale in artificial leaves</w:t>
      </w:r>
      <w:r w:rsidR="00EE485C" w:rsidRPr="00B779BE">
        <w:rPr>
          <w:lang w:val="en-GB"/>
        </w:rPr>
        <w:t>.</w:t>
      </w:r>
      <w:r w:rsidRPr="00B779BE">
        <w:rPr>
          <w:rFonts w:cstheme="minorHAnsi"/>
          <w:lang w:val="en-GB"/>
        </w:rPr>
        <w:fldChar w:fldCharType="begin"/>
      </w:r>
      <w:r w:rsidRPr="00B779BE">
        <w:rPr>
          <w:rFonts w:cstheme="minorHAnsi"/>
          <w:lang w:val="en-GB"/>
        </w:rPr>
        <w:instrText xml:space="preserve"> ADDIN ZOTERO_ITEM CSL_CITATION {"citationID":"iHpEFctL","properties":{"formattedCitation":"\\super 41\\nosupersub{}","plainCitation":"41","noteIndex":0},"citationItems":[{"id":1000,"uris":["http://zotero.org/users/9157291/items/L7BUP9ZA"],"itemData":{"id":1000,"type":"article-journal","abstract":"To date, copper is the only heterogeneous catalyst that has shown a propensity to produce valuable hydrocarbons and alcohols, such as ethylene and ethanol, from electrochemical CO2 reduction (CO2R). There are variety of factors that impact CO2R activity and selectivity, including the catalyst surface structure, morphology, composition, the choice of electrolyte ions and pH, and the electrochemical cell design. Many of these factors are often intertwined, which can complicate catalyst discovery and design efforts. Here we take a broad and historical view of these different aspects and their complex interplay in CO2R catalysis on Cu, with the purpose of providing new insights, critical evaluations, and guidance to the field with regard to research directions and best practices. First, we describe the various experimental probes and complementary theoretical methods that have been used to discern the mechanisms by which products are formed, and next we present our current understanding of the complex reaction networks for CO2R on Cu. We then analyze two key methods that have been used in attempts to alter the activity and selectivity of Cu: nanostructuring and the formation of bimetallic electrodes. Finally, we offer some perspectives on the future outlook for electrochemical CO2R.","container-title":"Chemical Reviews","DOI":"10.1021/acs.chemrev.8b00705","ISSN":"0009-2665","issue":"12","journalAbbreviation":"Chem. Rev.","note":"publisher: American Chemical Society","page":"7610-7672","source":"ACS Publications","title":"Progress and Perspectives of Electrochemical CO2 Reduction on Copper in Aqueous Electrolyte","volume":"119","author":[{"family":"Nitopi","given":"Stephanie"},{"family":"Bertheussen","given":"Erlend"},{"family":"Scott","given":"Soren B."},{"family":"Liu","given":"Xinyan"},{"family":"Engstfeld","given":"Albert K."},{"family":"Horch","given":"Sebastian"},{"family":"Seger","given":"Brian"},{"family":"Stephens","given":"Ifan E. L."},{"family":"Chan","given":"Karen"},{"family":"Hahn","given":"Christopher"},{"family":"Nørskov","given":"Jens K."},{"family":"Jaramillo","given":"Thomas F."},{"family":"Chorkendorff","given":"Ib"}],"issued":{"date-parts":[["2019",6,26]]}}}],"schema":"https://github.com/citation-style-language/schema/raw/master/csl-citation.json"} </w:instrText>
      </w:r>
      <w:r w:rsidRPr="00B779BE">
        <w:rPr>
          <w:rFonts w:cstheme="minorHAnsi"/>
          <w:lang w:val="en-GB"/>
        </w:rPr>
        <w:fldChar w:fldCharType="separate"/>
      </w:r>
      <w:r w:rsidRPr="00B779BE">
        <w:rPr>
          <w:rFonts w:ascii="Calibri" w:hAnsi="Calibri" w:cs="Calibri"/>
          <w:szCs w:val="24"/>
          <w:vertAlign w:val="superscript"/>
          <w:lang w:val="en-GB"/>
        </w:rPr>
        <w:t>41</w:t>
      </w:r>
      <w:r w:rsidRPr="00B779BE">
        <w:rPr>
          <w:rFonts w:cstheme="minorHAnsi"/>
          <w:lang w:val="en-GB"/>
        </w:rPr>
        <w:fldChar w:fldCharType="end"/>
      </w:r>
      <w:r w:rsidRPr="00B779BE">
        <w:rPr>
          <w:lang w:val="en-GB"/>
        </w:rPr>
        <w:t xml:space="preserve"> Methanol has remained a minor product in the direct electrocatalytic conversion of CO</w:t>
      </w:r>
      <w:r w:rsidRPr="00B779BE">
        <w:rPr>
          <w:vertAlign w:val="subscript"/>
          <w:lang w:val="en-GB"/>
        </w:rPr>
        <w:t>2</w:t>
      </w:r>
      <w:r w:rsidRPr="00B779BE">
        <w:rPr>
          <w:lang w:val="en-GB"/>
        </w:rPr>
        <w:t>, though molybdenum-based catalysts have signalled promise for further development</w:t>
      </w:r>
      <w:r w:rsidR="00EE485C" w:rsidRPr="00B779BE">
        <w:rPr>
          <w:lang w:val="en-GB"/>
        </w:rPr>
        <w:t>.</w:t>
      </w:r>
      <w:r w:rsidRPr="00B779BE">
        <w:rPr>
          <w:lang w:val="en-GB"/>
        </w:rPr>
        <w:fldChar w:fldCharType="begin"/>
      </w:r>
      <w:r w:rsidRPr="00B779BE">
        <w:rPr>
          <w:lang w:val="en-GB"/>
        </w:rPr>
        <w:instrText xml:space="preserve"> ADDIN ZOTERO_ITEM CSL_CITATION {"citationID":"FHjUeszI","properties":{"formattedCitation":"\\super 42\\nosupersub{}","plainCitation":"42","noteIndex":0},"citationItems":[{"id":25707,"uris":["http://zotero.org/users/9157291/items/X67H25BG"],"itemData":{"id":25707,"type":"article-journal","abstract":"The reduction of carbon dioxide using electrochemical cells is an appealing technology to store renewable electricity in a chemical form. The preferential adsorption of oxygen over carbon atoms of intermediates could improve the methanol selectivity due to the retention of C–O bond. However, the adsorbent-surface interaction is mainly related to the d states of transition metals in catalysts, thus it is difficult to promote the formation of oxygen-bound intermediates without affecting the carbon affinity. This paper describes the construction of a molybdenum-based metal carbide catalyst that promotes the formation and adsorption of oxygen-bound intermediates, where the sp states in catalyst are enabled to participate in the bonding of intermediates. A high Faradaic efficiency of 80.4% for methanol is achieved at −1.1 V vs. the standard hydrogen electrode.","container-title":"Nature Communications","DOI":"10.1038/s41467-022-35450-8","ISSN":"2041-1723","issue":"1","journalAbbreviation":"Nat. Commun.","language":"en","license":"2022 The Author(s)","note":"number: 1\npublisher: Nature Publishing Group","page":"7768","source":"www.nature.com","title":"Selective CO2 electroreduction to methanol via enhanced oxygen bonding","volume":"13","author":[{"family":"Zhang","given":"Gong"},{"family":"Wang","given":"Tuo"},{"family":"Zhang","given":"Mengmeng"},{"family":"Li","given":"Lulu"},{"family":"Cheng","given":"Dongfang"},{"family":"Zhen","given":"Shiyu"},{"family":"Wang","given":"Yongtao"},{"family":"Qin","given":"Jian"},{"family":"Zhao","given":"Zhi-Jian"},{"family":"Gong","given":"Jinlong"}],"issued":{"date-parts":[["2022",12,15]]}}}],"schema":"https://github.com/citation-style-language/schema/raw/master/csl-citation.json"} </w:instrText>
      </w:r>
      <w:r w:rsidRPr="00B779BE">
        <w:rPr>
          <w:lang w:val="en-GB"/>
        </w:rPr>
        <w:fldChar w:fldCharType="separate"/>
      </w:r>
      <w:r w:rsidRPr="00B779BE">
        <w:rPr>
          <w:rFonts w:ascii="Calibri" w:hAnsi="Calibri" w:cs="Calibri"/>
          <w:szCs w:val="24"/>
          <w:vertAlign w:val="superscript"/>
          <w:lang w:val="en-GB"/>
        </w:rPr>
        <w:t>42</w:t>
      </w:r>
      <w:r w:rsidRPr="00B779BE">
        <w:rPr>
          <w:lang w:val="en-GB"/>
        </w:rPr>
        <w:fldChar w:fldCharType="end"/>
      </w:r>
    </w:p>
    <w:p w14:paraId="0F6ACAC9" w14:textId="4E05FC55" w:rsidR="00AE3C28" w:rsidRPr="00B779BE" w:rsidRDefault="008A3579" w:rsidP="00AA4E0B">
      <w:pPr>
        <w:jc w:val="both"/>
        <w:rPr>
          <w:rFonts w:cstheme="minorHAnsi"/>
          <w:iCs/>
          <w:lang w:val="en-GB"/>
        </w:rPr>
      </w:pPr>
      <w:r w:rsidRPr="00B779BE">
        <w:rPr>
          <w:rFonts w:cstheme="minorHAnsi"/>
          <w:iCs/>
          <w:lang w:val="en-GB"/>
        </w:rPr>
        <w:t>Taken together, our findings indicate that the increasing energy prices in Europe have the potential to establish cost</w:t>
      </w:r>
      <w:r w:rsidR="00AD3107" w:rsidRPr="00B779BE">
        <w:rPr>
          <w:rFonts w:cstheme="minorHAnsi"/>
          <w:iCs/>
          <w:lang w:val="en-GB"/>
        </w:rPr>
        <w:noBreakHyphen/>
      </w:r>
      <w:r w:rsidRPr="00B779BE">
        <w:rPr>
          <w:rFonts w:cstheme="minorHAnsi"/>
          <w:iCs/>
          <w:lang w:val="en-GB"/>
        </w:rPr>
        <w:t xml:space="preserve">competitive green ammonia and methanol production routes, thus surmounting the primary obstacle to their execution. By embracing this transformation, the European chemical industry </w:t>
      </w:r>
      <w:r w:rsidR="00224E1F" w:rsidRPr="00B779BE">
        <w:rPr>
          <w:rFonts w:cstheme="minorHAnsi"/>
          <w:iCs/>
          <w:lang w:val="en-GB"/>
        </w:rPr>
        <w:t>has the opportunity</w:t>
      </w:r>
      <w:r w:rsidR="008734FF" w:rsidRPr="00B779BE">
        <w:rPr>
          <w:rFonts w:cstheme="minorHAnsi"/>
          <w:iCs/>
          <w:lang w:val="en-GB"/>
        </w:rPr>
        <w:t xml:space="preserve"> for leading the grand transition </w:t>
      </w:r>
      <w:r w:rsidRPr="00B779BE">
        <w:rPr>
          <w:rFonts w:cstheme="minorHAnsi"/>
          <w:iCs/>
          <w:lang w:val="en-GB"/>
        </w:rPr>
        <w:t>in the global movement towards sustainable and environmentally responsible practices, while simultaneously reaping significant economic benefits in the long run.</w:t>
      </w:r>
    </w:p>
    <w:p w14:paraId="6D7BCED9" w14:textId="77777777" w:rsidR="00E825C8" w:rsidRPr="00B779BE" w:rsidRDefault="00E825C8" w:rsidP="00E825C8">
      <w:pPr>
        <w:pStyle w:val="Heading2"/>
        <w:jc w:val="both"/>
      </w:pPr>
      <w:r w:rsidRPr="00B779BE">
        <w:t>Methods</w:t>
      </w:r>
    </w:p>
    <w:p w14:paraId="41BB5830" w14:textId="5836C953" w:rsidR="00E825C8" w:rsidRPr="00B779BE" w:rsidRDefault="00E825C8" w:rsidP="00E825C8">
      <w:pPr>
        <w:jc w:val="both"/>
        <w:rPr>
          <w:rFonts w:cstheme="minorHAnsi"/>
          <w:bCs/>
          <w:lang w:val="en-GB"/>
        </w:rPr>
      </w:pPr>
      <w:r w:rsidRPr="00B779BE">
        <w:rPr>
          <w:rFonts w:cstheme="minorHAnsi"/>
          <w:b/>
          <w:bCs/>
          <w:lang w:val="en-GB"/>
        </w:rPr>
        <w:t xml:space="preserve">Economic assessment. </w:t>
      </w:r>
      <w:r w:rsidRPr="00B779BE">
        <w:rPr>
          <w:rFonts w:cstheme="minorHAnsi"/>
          <w:bCs/>
          <w:lang w:val="en-GB"/>
        </w:rPr>
        <w:t xml:space="preserve">The production costs of fossil and green ammonia and methanol routes were calculated from the operational and capital expenditures (OPEX and CAPEX) and fixed production costs. The OPEX accounts for feedstock and other raw materials and utilities. The CAPEX accounts for the equipment cost, and the fixed </w:t>
      </w:r>
      <w:r w:rsidRPr="00B779BE">
        <w:rPr>
          <w:rFonts w:cstheme="minorHAnsi"/>
          <w:bCs/>
          <w:lang w:val="en-GB"/>
        </w:rPr>
        <w:lastRenderedPageBreak/>
        <w:t>costs consider the labour and maintenance costs in addition to overhead expenses and interest. The detailed procedure adapted for the economic assessment is described in detail in</w:t>
      </w:r>
      <w:r w:rsidRPr="00B779BE">
        <w:rPr>
          <w:rFonts w:cstheme="minorHAnsi"/>
          <w:lang w:val="en-GB"/>
        </w:rPr>
        <w:t xml:space="preserve"> section 2 of the ESI. </w:t>
      </w:r>
    </w:p>
    <w:p w14:paraId="4B32FEEE" w14:textId="77777777" w:rsidR="00E825C8" w:rsidRPr="00B779BE" w:rsidRDefault="00E825C8" w:rsidP="00E825C8">
      <w:pPr>
        <w:jc w:val="both"/>
        <w:rPr>
          <w:rFonts w:eastAsiaTheme="minorEastAsia" w:cstheme="minorHAnsi"/>
          <w:i/>
          <w:lang w:val="en-GB"/>
        </w:rPr>
      </w:pPr>
      <w:r w:rsidRPr="00B779BE">
        <w:rPr>
          <w:b/>
          <w:lang w:val="en-GB"/>
        </w:rPr>
        <w:t>Avoidance costs</w:t>
      </w:r>
      <w:r w:rsidRPr="00B779BE">
        <w:rPr>
          <w:lang w:val="en-GB"/>
        </w:rPr>
        <w:t xml:space="preserve">. </w:t>
      </w:r>
      <w:r w:rsidRPr="00B779BE">
        <w:rPr>
          <w:rFonts w:cstheme="minorHAnsi"/>
          <w:lang w:val="en-GB"/>
        </w:rPr>
        <w:t>The avoidance cost for each green chemical is as follows:</w:t>
      </w:r>
      <w:r w:rsidRPr="00B779BE">
        <w:rPr>
          <w:rFonts w:eastAsiaTheme="minorEastAsia" w:cstheme="minorHAnsi"/>
          <w:i/>
          <w:lang w:val="en-GB"/>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1196"/>
      </w:tblGrid>
      <w:tr w:rsidR="00E825C8" w:rsidRPr="00B779BE" w14:paraId="70F6984C" w14:textId="77777777" w:rsidTr="00245A55">
        <w:trPr>
          <w:trHeight w:val="620"/>
          <w:jc w:val="center"/>
        </w:trPr>
        <w:tc>
          <w:tcPr>
            <w:tcW w:w="0" w:type="auto"/>
          </w:tcPr>
          <w:p w14:paraId="7E6AD3F6" w14:textId="77777777" w:rsidR="00E825C8" w:rsidRPr="00B779BE" w:rsidRDefault="00E825C8" w:rsidP="00245A55">
            <w:pPr>
              <w:jc w:val="center"/>
              <w:rPr>
                <w:rFonts w:eastAsiaTheme="minorEastAsia" w:cstheme="minorHAnsi"/>
                <w:b/>
                <w:i/>
                <w:lang w:val="en-GB"/>
              </w:rPr>
            </w:pPr>
            <w:r w:rsidRPr="00B779BE">
              <w:rPr>
                <w:rFonts w:eastAsiaTheme="minorEastAsia" w:cstheme="minorHAnsi"/>
                <w:position w:val="-24"/>
                <w:lang w:val="en-GB"/>
              </w:rPr>
              <w:object w:dxaOrig="1939" w:dyaOrig="620" w14:anchorId="3EF8E5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8pt;height:30.8pt" o:ole="">
                  <v:imagedata r:id="rId12" o:title=""/>
                </v:shape>
                <o:OLEObject Type="Embed" ProgID="Equation.DSMT4" ShapeID="_x0000_i1025" DrawAspect="Content" ObjectID="_1741263707" r:id="rId13"/>
              </w:object>
            </w:r>
          </w:p>
        </w:tc>
        <w:tc>
          <w:tcPr>
            <w:tcW w:w="0" w:type="auto"/>
            <w:vAlign w:val="center"/>
          </w:tcPr>
          <w:p w14:paraId="63528CF6" w14:textId="79C47631" w:rsidR="00E825C8" w:rsidRPr="00B779BE" w:rsidRDefault="00E825C8" w:rsidP="00245A55">
            <w:pPr>
              <w:jc w:val="center"/>
              <w:rPr>
                <w:rFonts w:eastAsiaTheme="minorEastAsia" w:cstheme="minorHAnsi"/>
                <w:b/>
                <w:iCs/>
                <w:lang w:val="en-GB"/>
              </w:rPr>
            </w:pPr>
            <w:r w:rsidRPr="00B779BE">
              <w:rPr>
                <w:rFonts w:eastAsiaTheme="minorEastAsia" w:cstheme="minorHAnsi"/>
                <w:b/>
                <w:iCs/>
                <w:lang w:val="en-GB"/>
              </w:rPr>
              <w:t>Equation</w:t>
            </w:r>
            <w:r w:rsidR="004017D0" w:rsidRPr="00B779BE">
              <w:rPr>
                <w:rFonts w:eastAsiaTheme="minorEastAsia" w:cstheme="minorHAnsi"/>
                <w:b/>
                <w:iCs/>
                <w:lang w:val="en-GB"/>
              </w:rPr>
              <w:t> </w:t>
            </w:r>
            <w:r w:rsidRPr="00B779BE">
              <w:rPr>
                <w:rFonts w:eastAsiaTheme="minorEastAsia" w:cstheme="minorHAnsi"/>
                <w:b/>
                <w:iCs/>
                <w:lang w:val="en-GB"/>
              </w:rPr>
              <w:t>1</w:t>
            </w:r>
          </w:p>
        </w:tc>
      </w:tr>
    </w:tbl>
    <w:p w14:paraId="3F3DA122" w14:textId="7B056420" w:rsidR="00E825C8" w:rsidRPr="00B779BE" w:rsidRDefault="00E825C8" w:rsidP="00E825C8">
      <w:pPr>
        <w:spacing w:before="240" w:after="0"/>
        <w:jc w:val="both"/>
        <w:rPr>
          <w:rFonts w:eastAsiaTheme="minorEastAsia" w:cstheme="minorHAnsi"/>
          <w:iCs/>
          <w:lang w:val="en-GB"/>
        </w:rPr>
      </w:pPr>
      <w:r w:rsidRPr="00B779BE">
        <w:rPr>
          <w:rFonts w:eastAsiaTheme="minorEastAsia" w:cstheme="minorHAnsi"/>
          <w:iCs/>
          <w:lang w:val="en-GB"/>
        </w:rPr>
        <w:t xml:space="preserve">where AC is the avoidance cost in </w:t>
      </w:r>
      <w:r w:rsidRPr="00B779BE">
        <w:rPr>
          <w:rFonts w:cstheme="minorHAnsi"/>
          <w:lang w:val="en-GB"/>
        </w:rPr>
        <w:t>USD kg</w:t>
      </w:r>
      <w:r w:rsidRPr="00B779BE">
        <w:rPr>
          <w:rFonts w:cstheme="minorHAnsi"/>
          <w:vertAlign w:val="superscript"/>
          <w:lang w:val="en-GB"/>
        </w:rPr>
        <w:t xml:space="preserve">−1 </w:t>
      </w:r>
      <w:r w:rsidRPr="00B779BE">
        <w:rPr>
          <w:rFonts w:cstheme="minorHAnsi"/>
          <w:lang w:val="en-GB"/>
        </w:rPr>
        <w:t>CO</w:t>
      </w:r>
      <w:r w:rsidRPr="00B779BE">
        <w:rPr>
          <w:rFonts w:cstheme="minorHAnsi"/>
          <w:sz w:val="16"/>
          <w:szCs w:val="16"/>
          <w:vertAlign w:val="subscript"/>
          <w:lang w:val="en-GB"/>
        </w:rPr>
        <w:t>2</w:t>
      </w:r>
      <w:r w:rsidRPr="00B779BE">
        <w:rPr>
          <w:rFonts w:cstheme="minorHAnsi"/>
          <w:lang w:val="en-GB"/>
        </w:rPr>
        <w:t>-eq</w:t>
      </w:r>
      <w:r w:rsidRPr="00B779BE">
        <w:rPr>
          <w:rFonts w:cstheme="minorHAnsi"/>
          <w:sz w:val="18"/>
          <w:szCs w:val="18"/>
          <w:lang w:val="en-GB"/>
        </w:rPr>
        <w:t xml:space="preserve">, </w:t>
      </w:r>
      <m:oMath>
        <m:sSub>
          <m:sSubPr>
            <m:ctrlPr>
              <w:rPr>
                <w:rFonts w:ascii="Cambria Math" w:hAnsi="Cambria Math" w:cstheme="minorHAnsi"/>
                <w:lang w:val="en-GB"/>
              </w:rPr>
            </m:ctrlPr>
          </m:sSubPr>
          <m:e>
            <m:r>
              <m:rPr>
                <m:nor/>
              </m:rPr>
              <w:rPr>
                <w:rFonts w:cstheme="minorHAnsi"/>
                <w:lang w:val="en-GB"/>
              </w:rPr>
              <m:t>PC</m:t>
            </m:r>
          </m:e>
          <m:sub>
            <m:r>
              <m:rPr>
                <m:nor/>
              </m:rPr>
              <w:rPr>
                <w:rFonts w:cstheme="minorHAnsi"/>
                <w:lang w:val="en-GB"/>
              </w:rPr>
              <m:t xml:space="preserve">Fossil/Green </m:t>
            </m:r>
          </m:sub>
        </m:sSub>
      </m:oMath>
      <w:r w:rsidRPr="00B779BE">
        <w:rPr>
          <w:rFonts w:eastAsiaTheme="minorEastAsia" w:cstheme="minorHAnsi"/>
          <w:iCs/>
          <w:lang w:val="en-GB"/>
        </w:rPr>
        <w:t>represents the production cost in USD kg</w:t>
      </w:r>
      <w:r w:rsidRPr="00B779BE">
        <w:rPr>
          <w:rFonts w:cstheme="minorHAnsi"/>
          <w:vertAlign w:val="superscript"/>
          <w:lang w:val="en-GB"/>
        </w:rPr>
        <w:t>−</w:t>
      </w:r>
      <w:r w:rsidRPr="00B779BE">
        <w:rPr>
          <w:rFonts w:eastAsiaTheme="minorEastAsia" w:cstheme="minorHAnsi"/>
          <w:iCs/>
          <w:vertAlign w:val="superscript"/>
          <w:lang w:val="en-GB"/>
        </w:rPr>
        <w:t xml:space="preserve">1 </w:t>
      </w:r>
      <w:r w:rsidRPr="00B779BE">
        <w:rPr>
          <w:rFonts w:eastAsiaTheme="minorEastAsia" w:cstheme="minorHAnsi"/>
          <w:iCs/>
          <w:lang w:val="en-GB"/>
        </w:rPr>
        <w:t xml:space="preserve">for the fossil and green routes, and </w:t>
      </w:r>
      <m:oMath>
        <m:sSub>
          <m:sSubPr>
            <m:ctrlPr>
              <w:rPr>
                <w:rFonts w:ascii="Cambria Math" w:hAnsi="Cambria Math" w:cstheme="minorHAnsi"/>
                <w:lang w:val="en-GB"/>
              </w:rPr>
            </m:ctrlPr>
          </m:sSubPr>
          <m:e>
            <m:r>
              <m:rPr>
                <m:nor/>
              </m:rPr>
              <w:rPr>
                <w:rFonts w:cstheme="minorHAnsi"/>
                <w:lang w:val="en-GB"/>
              </w:rPr>
              <m:t>CF</m:t>
            </m:r>
          </m:e>
          <m:sub>
            <m:r>
              <m:rPr>
                <m:nor/>
              </m:rPr>
              <w:rPr>
                <w:rFonts w:cstheme="minorHAnsi"/>
                <w:lang w:val="en-GB"/>
              </w:rPr>
              <m:t>Fossil/Green</m:t>
            </m:r>
          </m:sub>
        </m:sSub>
      </m:oMath>
      <w:r w:rsidRPr="00B779BE">
        <w:rPr>
          <w:rFonts w:eastAsiaTheme="minorEastAsia" w:cstheme="minorHAnsi"/>
          <w:iCs/>
          <w:vertAlign w:val="subscript"/>
          <w:lang w:val="en-GB"/>
        </w:rPr>
        <w:t xml:space="preserve"> </w:t>
      </w:r>
      <w:r w:rsidRPr="00B779BE">
        <w:rPr>
          <w:rFonts w:eastAsiaTheme="minorEastAsia" w:cstheme="minorHAnsi"/>
          <w:iCs/>
          <w:lang w:val="en-GB"/>
        </w:rPr>
        <w:t xml:space="preserve">represents the carbon footprint in kg </w:t>
      </w:r>
      <w:r w:rsidRPr="00B779BE">
        <w:rPr>
          <w:rFonts w:cstheme="minorHAnsi"/>
          <w:lang w:val="en-GB"/>
        </w:rPr>
        <w:t>CO</w:t>
      </w:r>
      <w:r w:rsidRPr="00B779BE">
        <w:rPr>
          <w:rFonts w:cstheme="minorHAnsi"/>
          <w:sz w:val="16"/>
          <w:szCs w:val="16"/>
          <w:vertAlign w:val="subscript"/>
          <w:lang w:val="en-GB"/>
        </w:rPr>
        <w:t>2</w:t>
      </w:r>
      <w:r w:rsidRPr="00B779BE">
        <w:rPr>
          <w:rFonts w:cstheme="minorHAnsi"/>
          <w:lang w:val="en-GB"/>
        </w:rPr>
        <w:t>-eq</w:t>
      </w:r>
      <w:r w:rsidRPr="00B779BE">
        <w:rPr>
          <w:rFonts w:eastAsiaTheme="minorEastAsia" w:cstheme="minorHAnsi"/>
          <w:iCs/>
          <w:lang w:val="en-GB"/>
        </w:rPr>
        <w:t xml:space="preserve"> kg</w:t>
      </w:r>
      <w:r w:rsidRPr="00B779BE">
        <w:rPr>
          <w:rFonts w:cstheme="minorHAnsi"/>
          <w:vertAlign w:val="superscript"/>
          <w:lang w:val="en-GB"/>
        </w:rPr>
        <w:t>−</w:t>
      </w:r>
      <w:r w:rsidRPr="00B779BE">
        <w:rPr>
          <w:rFonts w:eastAsiaTheme="minorEastAsia" w:cstheme="minorHAnsi"/>
          <w:iCs/>
          <w:vertAlign w:val="superscript"/>
          <w:lang w:val="en-GB"/>
        </w:rPr>
        <w:t>1</w:t>
      </w:r>
      <w:r w:rsidRPr="00B779BE">
        <w:rPr>
          <w:rFonts w:eastAsiaTheme="minorEastAsia" w:cstheme="minorHAnsi"/>
          <w:iCs/>
          <w:lang w:val="en-GB"/>
        </w:rPr>
        <w:t xml:space="preserve">. </w:t>
      </w:r>
    </w:p>
    <w:p w14:paraId="3A5B6334" w14:textId="77777777" w:rsidR="00E825C8" w:rsidRPr="00B779BE" w:rsidRDefault="00E825C8" w:rsidP="00E825C8">
      <w:pPr>
        <w:spacing w:after="0"/>
        <w:jc w:val="both"/>
        <w:rPr>
          <w:rFonts w:eastAsiaTheme="minorEastAsia" w:cstheme="minorHAnsi"/>
          <w:iCs/>
          <w:lang w:val="en-GB"/>
        </w:rPr>
      </w:pPr>
    </w:p>
    <w:p w14:paraId="67205625" w14:textId="5167ADBA" w:rsidR="006F59DF" w:rsidRPr="00B779BE" w:rsidRDefault="00E825C8" w:rsidP="006F59DF">
      <w:pPr>
        <w:spacing w:after="0"/>
        <w:jc w:val="both"/>
        <w:rPr>
          <w:lang w:val="en-GB"/>
        </w:rPr>
      </w:pPr>
      <w:r w:rsidRPr="00B779BE">
        <w:rPr>
          <w:rFonts w:eastAsiaTheme="minorEastAsia" w:cstheme="minorHAnsi"/>
          <w:iCs/>
          <w:lang w:val="en-GB"/>
        </w:rPr>
        <w:t>We estimate the chemicals carbon footprint with an attributional life cycle assessment (LCA) in accordance with the ISO 14040/14044 standards</w:t>
      </w:r>
      <w:r w:rsidR="00EE485C" w:rsidRPr="00B779BE">
        <w:rPr>
          <w:rFonts w:eastAsiaTheme="minorEastAsia" w:cstheme="minorHAnsi"/>
          <w:iCs/>
          <w:lang w:val="en-GB"/>
        </w:rPr>
        <w:t>.</w:t>
      </w:r>
      <w:r w:rsidRPr="00B779BE">
        <w:rPr>
          <w:lang w:val="en-GB"/>
        </w:rPr>
        <w:fldChar w:fldCharType="begin"/>
      </w:r>
      <w:r w:rsidRPr="00B779BE">
        <w:rPr>
          <w:lang w:val="en-GB"/>
        </w:rPr>
        <w:instrText xml:space="preserve"> ADDIN ZOTERO_ITEM CSL_CITATION {"citationID":"YqA10csG","properties":{"formattedCitation":"\\super 43,44\\nosupersub{}","plainCitation":"43,44","noteIndex":0},"citationItems":[{"id":980,"uris":["http://zotero.org/users/9157291/items/8THP7CZS"],"itemData":{"id":980,"type":"report","page":"2020","title":"Environmental management — Life cycle assessment — Principles and framework","author":[{"family":"ISO 14040:2006","given":""}],"issued":{"date-parts":[["2006"]]}}},{"id":981,"uris":["http://zotero.org/users/9157291/items/LVIHQH94"],"itemData":{"id":981,"type":"report","page":"2020","title":"Environmental management — Life cycle assessment — Requirements and guidelines","author":[{"family":"ISO 14044:2006","given":""}],"issued":{"date-parts":[["2006"]]}}}],"schema":"https://github.com/citation-style-language/schema/raw/master/csl-citation.json"} </w:instrText>
      </w:r>
      <w:r w:rsidRPr="00B779BE">
        <w:rPr>
          <w:lang w:val="en-GB"/>
        </w:rPr>
        <w:fldChar w:fldCharType="separate"/>
      </w:r>
      <w:r w:rsidRPr="00B779BE">
        <w:rPr>
          <w:rFonts w:ascii="Calibri" w:hAnsi="Calibri" w:cs="Calibri"/>
          <w:szCs w:val="24"/>
          <w:vertAlign w:val="superscript"/>
          <w:lang w:val="en-GB"/>
        </w:rPr>
        <w:t>43,44</w:t>
      </w:r>
      <w:r w:rsidRPr="00B779BE">
        <w:rPr>
          <w:lang w:val="en-GB"/>
        </w:rPr>
        <w:fldChar w:fldCharType="end"/>
      </w:r>
      <w:r w:rsidRPr="00B779BE">
        <w:rPr>
          <w:rFonts w:eastAsiaTheme="minorEastAsia" w:cstheme="minorHAnsi"/>
          <w:iCs/>
          <w:lang w:val="en-GB"/>
        </w:rPr>
        <w:t xml:space="preserve"> LCA quantifies environmental impacts over the life cycle of products, from raw materials extraction to end-user disposal</w:t>
      </w:r>
      <w:r w:rsidR="00EE485C" w:rsidRPr="00B779BE">
        <w:rPr>
          <w:rFonts w:eastAsiaTheme="minorEastAsia" w:cstheme="minorHAnsi"/>
          <w:iCs/>
          <w:lang w:val="en-GB"/>
        </w:rPr>
        <w:t>.</w:t>
      </w:r>
      <w:r w:rsidRPr="00B779BE">
        <w:rPr>
          <w:lang w:val="en-GB"/>
        </w:rPr>
        <w:fldChar w:fldCharType="begin"/>
      </w:r>
      <w:r w:rsidRPr="00B779BE">
        <w:rPr>
          <w:lang w:val="en-GB"/>
        </w:rPr>
        <w:instrText xml:space="preserve"> ADDIN ZOTERO_ITEM CSL_CITATION {"citationID":"wYvYfYmm","properties":{"formattedCitation":"\\super 45\\nosupersub{}","plainCitation":"45","noteIndex":0},"citationItems":[{"id":677,"uris":["http://zotero.org/users/9157291/items/5YE28A2T"],"itemData":{"id":677,"type":"article-journal","abstract":"In the modern economy, international value chains—production, use, and disposal of goods—have global environmental impacts. Life Cycle Assessment (LCA) aims to track these impacts and assess them from a systems perspective, identifying strategies for improvement without burden shifting. We review recent developments in LCA, including existing and emerging applications aimed at supporting environmentally informed decisions in policy-making, product development and procurement, and consumer choices. LCA constitutes a viable screening tool that can pinpoint environmental hotspots in complex value chains, but we also caution that completeness in scope comes at the price of simplifications and uncertainties. Future advances of LCA in enhancing regional detail and accuracy as well as broadening the assessment to economic and social aspects will make it more relevant for producers and consumers alike.","container-title":"Science","DOI":"10.1126/science.1248361","ISSN":"0036-8075, 1095-9203","issue":"6188","journalAbbreviation":"Science","language":"en","page":"1109-1113","source":"DOI.org (Crossref)","title":"Emerging approaches, challenges and opportunities in life cycle assessment","volume":"344","author":[{"family":"Hellweg","given":"Stefanie"},{"family":"Milà i Canals","given":"Llorenç"}],"issued":{"date-parts":[["2014",6,6]]}}}],"schema":"https://github.com/citation-style-language/schema/raw/master/csl-citation.json"} </w:instrText>
      </w:r>
      <w:r w:rsidRPr="00B779BE">
        <w:rPr>
          <w:lang w:val="en-GB"/>
        </w:rPr>
        <w:fldChar w:fldCharType="separate"/>
      </w:r>
      <w:r w:rsidRPr="00B779BE">
        <w:rPr>
          <w:rFonts w:ascii="Calibri" w:hAnsi="Calibri" w:cs="Calibri"/>
          <w:szCs w:val="24"/>
          <w:vertAlign w:val="superscript"/>
          <w:lang w:val="en-GB"/>
        </w:rPr>
        <w:t>45</w:t>
      </w:r>
      <w:r w:rsidRPr="00B779BE">
        <w:rPr>
          <w:lang w:val="en-GB"/>
        </w:rPr>
        <w:fldChar w:fldCharType="end"/>
      </w:r>
      <w:r w:rsidRPr="00B779BE">
        <w:rPr>
          <w:lang w:val="en-GB"/>
        </w:rPr>
        <w:t xml:space="preserve"> The functional unit for the LCA is defined as “the production of 1</w:t>
      </w:r>
      <w:r w:rsidR="00375080">
        <w:rPr>
          <w:lang w:val="en-GB"/>
        </w:rPr>
        <w:t> </w:t>
      </w:r>
      <w:r w:rsidRPr="00B779BE">
        <w:rPr>
          <w:lang w:val="en-GB"/>
        </w:rPr>
        <w:t>kg chemicals (ammonia or methanol)”. The scope of the assessment is cradle</w:t>
      </w:r>
      <w:r w:rsidR="000349D4">
        <w:rPr>
          <w:lang w:val="en-GB"/>
        </w:rPr>
        <w:noBreakHyphen/>
      </w:r>
      <w:r w:rsidRPr="00B779BE">
        <w:rPr>
          <w:lang w:val="en-GB"/>
        </w:rPr>
        <w:t>to</w:t>
      </w:r>
      <w:r w:rsidR="000349D4">
        <w:rPr>
          <w:lang w:val="en-GB"/>
        </w:rPr>
        <w:noBreakHyphen/>
      </w:r>
      <w:r w:rsidRPr="00B779BE">
        <w:rPr>
          <w:lang w:val="en-GB"/>
        </w:rPr>
        <w:t>gate, meaning that the burdens considered cover all the stages from the extraction of raw materials (</w:t>
      </w:r>
      <w:r w:rsidRPr="00B779BE">
        <w:rPr>
          <w:i/>
          <w:lang w:val="en-GB"/>
        </w:rPr>
        <w:t>e.g.</w:t>
      </w:r>
      <w:r w:rsidRPr="00B779BE">
        <w:rPr>
          <w:lang w:val="en-GB"/>
        </w:rPr>
        <w:t xml:space="preserve">, natural gas) to the production of the chemicals. The mass and energy flows for the production routes were primarily obtained from </w:t>
      </w:r>
      <w:r w:rsidRPr="00B779BE">
        <w:rPr>
          <w:rFonts w:cstheme="minorHAnsi"/>
          <w:lang w:val="en-GB"/>
        </w:rPr>
        <w:t xml:space="preserve">D’Angelo </w:t>
      </w:r>
      <w:r w:rsidRPr="00B779BE">
        <w:rPr>
          <w:rFonts w:cstheme="minorHAnsi"/>
          <w:i/>
          <w:lang w:val="en-GB"/>
        </w:rPr>
        <w:t>et al.</w:t>
      </w:r>
      <w:r w:rsidRPr="00B779BE">
        <w:rPr>
          <w:rFonts w:cstheme="minorHAnsi"/>
          <w:i/>
          <w:lang w:val="en-GB"/>
        </w:rPr>
        <w:fldChar w:fldCharType="begin"/>
      </w:r>
      <w:r w:rsidRPr="00B779BE">
        <w:rPr>
          <w:rFonts w:cstheme="minorHAnsi"/>
          <w:i/>
          <w:lang w:val="en-GB"/>
        </w:rPr>
        <w:instrText xml:space="preserve"> ADDIN ZOTERO_ITEM CSL_CITATION {"citationID":"VXxpLMcX","properties":{"formattedCitation":"\\super 15\\nosupersub{}","plainCitation":"15","noteIndex":0},"citationItems":[{"id":684,"uris":["http://zotero.org/users/9157291/items/AFKW7KRC"],"itemData":{"id":684,"type":"article-journal","abstract":"At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B779BE">
        <w:rPr>
          <w:rFonts w:cstheme="minorHAnsi"/>
          <w:i/>
          <w:lang w:val="en-GB"/>
        </w:rPr>
        <w:fldChar w:fldCharType="separate"/>
      </w:r>
      <w:r w:rsidRPr="00B779BE">
        <w:rPr>
          <w:rFonts w:ascii="Calibri" w:hAnsi="Calibri" w:cs="Calibri"/>
          <w:szCs w:val="24"/>
          <w:vertAlign w:val="superscript"/>
          <w:lang w:val="en-GB"/>
        </w:rPr>
        <w:t>15</w:t>
      </w:r>
      <w:r w:rsidRPr="00B779BE">
        <w:rPr>
          <w:rFonts w:cstheme="minorHAnsi"/>
          <w:i/>
          <w:lang w:val="en-GB"/>
        </w:rPr>
        <w:fldChar w:fldCharType="end"/>
      </w:r>
      <w:r w:rsidRPr="00B779BE">
        <w:rPr>
          <w:rFonts w:cstheme="minorHAnsi"/>
          <w:i/>
          <w:lang w:val="en-GB"/>
        </w:rPr>
        <w:t xml:space="preserve"> </w:t>
      </w:r>
      <w:r w:rsidRPr="00B779BE">
        <w:rPr>
          <w:lang w:val="en-GB"/>
        </w:rPr>
        <w:t xml:space="preserve">and </w:t>
      </w:r>
      <w:r w:rsidRPr="00B779BE">
        <w:rPr>
          <w:rFonts w:cstheme="minorHAnsi"/>
          <w:lang w:val="en-GB"/>
        </w:rPr>
        <w:t xml:space="preserve">González-Garay </w:t>
      </w:r>
      <w:r w:rsidRPr="00B779BE">
        <w:rPr>
          <w:rFonts w:cstheme="minorHAnsi"/>
          <w:i/>
          <w:lang w:val="en-GB"/>
        </w:rPr>
        <w:t>et al.</w:t>
      </w:r>
      <w:r w:rsidRPr="00B779BE">
        <w:rPr>
          <w:rFonts w:cstheme="minorHAnsi"/>
          <w:i/>
          <w:lang w:val="en-GB"/>
        </w:rPr>
        <w:fldChar w:fldCharType="begin"/>
      </w:r>
      <w:r w:rsidRPr="00B779BE">
        <w:rPr>
          <w:rFonts w:cstheme="minorHAnsi"/>
          <w:i/>
          <w:lang w:val="en-GB"/>
        </w:rPr>
        <w:instrText xml:space="preserve"> ADDIN ZOTERO_ITEM CSL_CITATION {"citationID":"xRwYEfTg","properties":{"formattedCitation":"\\super 20\\nosupersub{}","plainCitation":"20","noteIndex":0},"citationItems":[{"id":681,"uris":["http://zotero.org/users/9157291/items/GTFADUPK"],"itemData":{"id":681,"type":"article-journal","abstract":"The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Pr="00B779BE">
        <w:rPr>
          <w:rFonts w:cstheme="minorHAnsi"/>
          <w:i/>
          <w:lang w:val="en-GB"/>
        </w:rPr>
        <w:fldChar w:fldCharType="separate"/>
      </w:r>
      <w:r w:rsidRPr="00B779BE">
        <w:rPr>
          <w:rFonts w:ascii="Calibri" w:hAnsi="Calibri" w:cs="Calibri"/>
          <w:szCs w:val="24"/>
          <w:vertAlign w:val="superscript"/>
          <w:lang w:val="en-GB"/>
        </w:rPr>
        <w:t>20</w:t>
      </w:r>
      <w:r w:rsidRPr="00B779BE">
        <w:rPr>
          <w:rFonts w:cstheme="minorHAnsi"/>
          <w:i/>
          <w:lang w:val="en-GB"/>
        </w:rPr>
        <w:fldChar w:fldCharType="end"/>
      </w:r>
      <w:r w:rsidRPr="00B779BE">
        <w:rPr>
          <w:rFonts w:cstheme="minorHAnsi"/>
          <w:lang w:val="en-GB"/>
        </w:rPr>
        <w:t>, as described above.</w:t>
      </w:r>
      <w:r w:rsidRPr="00B779BE">
        <w:rPr>
          <w:lang w:val="en-GB"/>
        </w:rPr>
        <w:t xml:space="preserve"> Data for the background system (</w:t>
      </w:r>
      <w:r w:rsidRPr="00B779BE">
        <w:rPr>
          <w:i/>
          <w:lang w:val="en-GB"/>
        </w:rPr>
        <w:t>e.g.</w:t>
      </w:r>
      <w:r w:rsidRPr="00B779BE">
        <w:rPr>
          <w:lang w:val="en-GB"/>
        </w:rPr>
        <w:t>, natural gas and electricity supply) were obtained from the Ecoinvent v3.5 database</w:t>
      </w:r>
      <w:r w:rsidR="00EE485C" w:rsidRPr="00B779BE">
        <w:rPr>
          <w:lang w:val="en-GB"/>
        </w:rPr>
        <w:t>.</w:t>
      </w:r>
      <w:r w:rsidRPr="00B779BE">
        <w:rPr>
          <w:lang w:val="en-GB"/>
        </w:rPr>
        <w:fldChar w:fldCharType="begin"/>
      </w:r>
      <w:r w:rsidRPr="00B779BE">
        <w:rPr>
          <w:lang w:val="en-GB"/>
        </w:rPr>
        <w:instrText xml:space="preserve"> ADDIN ZOTERO_ITEM CSL_CITATION {"citationID":"JU3ZCGo0","properties":{"formattedCitation":"\\super 46\\nosupersub{}","plainCitation":"46","noteIndex":0},"citationItems":[{"id":463,"uris":["http://zotero.org/users/9157291/items/ED4WDBP2"],"itemData":{"id":463,"type":"article-journal","abstract":"Purpose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Pr="00B779BE">
        <w:rPr>
          <w:lang w:val="en-GB"/>
        </w:rPr>
        <w:fldChar w:fldCharType="separate"/>
      </w:r>
      <w:r w:rsidRPr="00B779BE">
        <w:rPr>
          <w:rFonts w:ascii="Calibri" w:hAnsi="Calibri" w:cs="Calibri"/>
          <w:szCs w:val="24"/>
          <w:vertAlign w:val="superscript"/>
          <w:lang w:val="en-GB"/>
        </w:rPr>
        <w:t>46</w:t>
      </w:r>
      <w:r w:rsidRPr="00B779BE">
        <w:rPr>
          <w:lang w:val="en-GB"/>
        </w:rPr>
        <w:fldChar w:fldCharType="end"/>
      </w:r>
      <w:r w:rsidRPr="00B779BE">
        <w:rPr>
          <w:lang w:val="en-GB"/>
        </w:rPr>
        <w:t xml:space="preserve"> Regarding the climate impact assessment, we consider the 100-year global warming potentials (GWPs) as implemented in the ReCiPe 2016 methodology</w:t>
      </w:r>
      <w:r w:rsidR="00EE485C" w:rsidRPr="00B779BE">
        <w:rPr>
          <w:lang w:val="en-GB"/>
        </w:rPr>
        <w:t>.</w:t>
      </w:r>
      <w:r w:rsidRPr="00B779BE">
        <w:rPr>
          <w:lang w:val="en-GB"/>
        </w:rPr>
        <w:fldChar w:fldCharType="begin"/>
      </w:r>
      <w:r w:rsidRPr="00B779BE">
        <w:rPr>
          <w:lang w:val="en-GB"/>
        </w:rPr>
        <w:instrText xml:space="preserve"> ADDIN ZOTERO_ITEM CSL_CITATION {"citationID":"DBi8jiTE","properties":{"formattedCitation":"\\super 47\\nosupersub{}","plainCitation":"47","noteIndex":0},"citationItems":[{"id":798,"uris":["http://zotero.org/users/9157291/items/BPUY94KP"],"itemData":{"id":798,"type":"article-journal","abstract":"Life cycle impact assessment (LCIA) translates emissions and resource extractions into a limited number of environmental impact scores by means of so-called characterisation factors. There are two mainstream ways to derive characterisation factors, i.e. at midpoint level and at endpoint level. To further progress LCIA method development, we updated the ReCiPe2008 method to its version of 2016. This paper provides an overview of the key elements of the ReCiPe2016 method.","container-title":"The International Journal of Life Cycle Assessment","DOI":"10.1007/s11367-016-1246-y","ISSN":"1614-7502","issue":"2","journalAbbreviation":"Int. J. Life Cycle Assess.","language":"en","page":"138-147","source":"Springer Link","title":"ReCiPe2016: a harmonised life cycle impact assessment method at midpoint and endpoint level","title-short":"ReCiPe2016","volume":"22","author":[{"family":"Huijbregts","given":"Mark A. J."},{"family":"Steinmann","given":"Zoran J. N."},{"family":"Elshout","given":"Pieter M. F."},{"family":"Stam","given":"Gea"},{"family":"Verones","given":"Francesca"},{"family":"Vieira","given":"Marisa"},{"family":"Zijp","given":"Michiel"},{"family":"Hollander","given":"Anne"},{"family":"Zelm","given":"Rosalie","non-dropping-particle":"van"}],"issued":{"date-parts":[["2017",2,1]]}}}],"schema":"https://github.com/citation-style-language/schema/raw/master/csl-citation.json"} </w:instrText>
      </w:r>
      <w:r w:rsidRPr="00B779BE">
        <w:rPr>
          <w:lang w:val="en-GB"/>
        </w:rPr>
        <w:fldChar w:fldCharType="separate"/>
      </w:r>
      <w:r w:rsidRPr="00B779BE">
        <w:rPr>
          <w:rFonts w:ascii="Calibri" w:hAnsi="Calibri" w:cs="Calibri"/>
          <w:szCs w:val="24"/>
          <w:vertAlign w:val="superscript"/>
          <w:lang w:val="en-GB"/>
        </w:rPr>
        <w:t>47</w:t>
      </w:r>
      <w:r w:rsidRPr="00B779BE">
        <w:rPr>
          <w:lang w:val="en-GB"/>
        </w:rPr>
        <w:fldChar w:fldCharType="end"/>
      </w:r>
    </w:p>
    <w:p w14:paraId="7F6F9FCD" w14:textId="6877CF0A" w:rsidR="00AE3C28" w:rsidRPr="00B779BE" w:rsidRDefault="006F59DF" w:rsidP="006F59DF">
      <w:pPr>
        <w:pStyle w:val="Heading3"/>
        <w:rPr>
          <w:rFonts w:cstheme="minorBidi"/>
          <w:u w:val="single"/>
        </w:rPr>
      </w:pPr>
      <w:r w:rsidRPr="00B779BE">
        <w:rPr>
          <w:u w:val="single"/>
        </w:rPr>
        <w:t>Figures</w:t>
      </w:r>
    </w:p>
    <w:p w14:paraId="005650F0" w14:textId="7713D6B6" w:rsidR="00AE3C28" w:rsidRPr="00B779BE" w:rsidRDefault="00A9347E" w:rsidP="00AE3C28">
      <w:pPr>
        <w:keepNext/>
        <w:spacing w:after="0"/>
        <w:jc w:val="center"/>
        <w:rPr>
          <w:lang w:val="en-GB"/>
        </w:rPr>
      </w:pPr>
      <w:r>
        <w:rPr>
          <w:noProof/>
          <w:lang w:val="en-GB"/>
        </w:rPr>
        <w:drawing>
          <wp:inline distT="0" distB="0" distL="0" distR="0" wp14:anchorId="4F20F0C3" wp14:editId="192C53FB">
            <wp:extent cx="5752350" cy="3147828"/>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1a (version 2).png"/>
                    <pic:cNvPicPr/>
                  </pic:nvPicPr>
                  <pic:blipFill>
                    <a:blip r:embed="rId14">
                      <a:extLst>
                        <a:ext uri="{28A0092B-C50C-407E-A947-70E740481C1C}">
                          <a14:useLocalDpi xmlns:a14="http://schemas.microsoft.com/office/drawing/2010/main"/>
                        </a:ext>
                      </a:extLst>
                    </a:blip>
                    <a:stretch>
                      <a:fillRect/>
                    </a:stretch>
                  </pic:blipFill>
                  <pic:spPr>
                    <a:xfrm>
                      <a:off x="0" y="0"/>
                      <a:ext cx="5752350" cy="3147828"/>
                    </a:xfrm>
                    <a:prstGeom prst="rect">
                      <a:avLst/>
                    </a:prstGeom>
                  </pic:spPr>
                </pic:pic>
              </a:graphicData>
            </a:graphic>
          </wp:inline>
        </w:drawing>
      </w:r>
    </w:p>
    <w:p w14:paraId="0A6BBEA3" w14:textId="703B9279" w:rsidR="00AE3C28" w:rsidRPr="00B779BE" w:rsidRDefault="00AE3C28" w:rsidP="00AE3C28">
      <w:pPr>
        <w:pStyle w:val="Caption"/>
        <w:jc w:val="both"/>
        <w:rPr>
          <w:rFonts w:cstheme="minorHAnsi"/>
          <w:i w:val="0"/>
          <w:color w:val="auto"/>
          <w:sz w:val="20"/>
        </w:rPr>
      </w:pPr>
      <w:bookmarkStart w:id="8" w:name="_Ref129860436"/>
      <w:r w:rsidRPr="00B779BE">
        <w:rPr>
          <w:b/>
          <w:i w:val="0"/>
          <w:color w:val="auto"/>
          <w:sz w:val="20"/>
          <w:szCs w:val="20"/>
        </w:rPr>
        <w:t>Figure</w:t>
      </w:r>
      <w:r w:rsidR="00DC6518" w:rsidRPr="00B779BE">
        <w:rPr>
          <w:b/>
          <w:i w:val="0"/>
          <w:color w:val="auto"/>
          <w:sz w:val="20"/>
          <w:szCs w:val="20"/>
        </w:rPr>
        <w:t> </w:t>
      </w:r>
      <w:r w:rsidRPr="00B779BE">
        <w:rPr>
          <w:b/>
          <w:i w:val="0"/>
          <w:color w:val="auto"/>
          <w:sz w:val="20"/>
          <w:szCs w:val="20"/>
        </w:rPr>
        <w:fldChar w:fldCharType="begin"/>
      </w:r>
      <w:r w:rsidRPr="00B779BE">
        <w:rPr>
          <w:b/>
          <w:i w:val="0"/>
          <w:color w:val="auto"/>
          <w:sz w:val="20"/>
          <w:szCs w:val="20"/>
        </w:rPr>
        <w:instrText xml:space="preserve"> SEQ Fig._ \* ARABIC </w:instrText>
      </w:r>
      <w:r w:rsidRPr="00B779BE">
        <w:rPr>
          <w:b/>
          <w:i w:val="0"/>
          <w:color w:val="auto"/>
          <w:sz w:val="20"/>
          <w:szCs w:val="20"/>
        </w:rPr>
        <w:fldChar w:fldCharType="separate"/>
      </w:r>
      <w:r w:rsidR="00FD38A7">
        <w:rPr>
          <w:b/>
          <w:i w:val="0"/>
          <w:noProof/>
          <w:color w:val="auto"/>
          <w:sz w:val="20"/>
          <w:szCs w:val="20"/>
        </w:rPr>
        <w:t>1</w:t>
      </w:r>
      <w:r w:rsidRPr="00B779BE">
        <w:rPr>
          <w:b/>
          <w:i w:val="0"/>
          <w:color w:val="auto"/>
          <w:sz w:val="20"/>
          <w:szCs w:val="20"/>
        </w:rPr>
        <w:fldChar w:fldCharType="end"/>
      </w:r>
      <w:bookmarkEnd w:id="8"/>
      <w:r w:rsidRPr="00B779BE">
        <w:rPr>
          <w:b/>
          <w:i w:val="0"/>
          <w:color w:val="auto"/>
          <w:sz w:val="20"/>
          <w:szCs w:val="20"/>
        </w:rPr>
        <w:t>. Natural gas spot prices and production cost for fossil ammonia and methanol in Europe.</w:t>
      </w:r>
      <w:r w:rsidRPr="00B779BE">
        <w:rPr>
          <w:i w:val="0"/>
          <w:color w:val="auto"/>
          <w:sz w:val="20"/>
        </w:rPr>
        <w:t xml:space="preserve"> </w:t>
      </w:r>
      <w:r w:rsidRPr="00B779BE">
        <w:rPr>
          <w:b/>
          <w:bCs/>
          <w:i w:val="0"/>
          <w:color w:val="auto"/>
          <w:sz w:val="20"/>
        </w:rPr>
        <w:t>(a)</w:t>
      </w:r>
      <w:r w:rsidRPr="00B779BE">
        <w:rPr>
          <w:i w:val="0"/>
          <w:color w:val="auto"/>
          <w:sz w:val="20"/>
        </w:rPr>
        <w:t xml:space="preserve"> Fossil ammonia produced </w:t>
      </w:r>
      <w:r w:rsidRPr="00B779BE">
        <w:rPr>
          <w:color w:val="auto"/>
          <w:sz w:val="20"/>
        </w:rPr>
        <w:t>via</w:t>
      </w:r>
      <w:r w:rsidRPr="00B779BE">
        <w:rPr>
          <w:i w:val="0"/>
          <w:color w:val="auto"/>
          <w:sz w:val="20"/>
        </w:rPr>
        <w:t xml:space="preserve"> the Haber-Bosch process with grey hydrogen obtained from natural gas as feedstock. </w:t>
      </w:r>
      <w:r w:rsidRPr="00B779BE">
        <w:rPr>
          <w:b/>
          <w:bCs/>
          <w:i w:val="0"/>
          <w:color w:val="auto"/>
          <w:sz w:val="20"/>
        </w:rPr>
        <w:t>(b)</w:t>
      </w:r>
      <w:r w:rsidRPr="00B779BE">
        <w:rPr>
          <w:i w:val="0"/>
          <w:color w:val="auto"/>
          <w:sz w:val="20"/>
        </w:rPr>
        <w:t xml:space="preserve"> Fossil methanol synthesised through syngas obtained from natural gas. Process simulations contain the necessary information for economic calculations (CAPEX and OPEX). Calculations were performed considering the effect of inflation and the monthly fluctuations in natural gas and electricity prices (the evolution of electricity prices in Europe is displayed in </w:t>
      </w:r>
      <w:r w:rsidRPr="00B779BE">
        <w:rPr>
          <w:b/>
          <w:i w:val="0"/>
          <w:color w:val="auto"/>
          <w:sz w:val="20"/>
        </w:rPr>
        <w:t>Figure</w:t>
      </w:r>
      <w:r w:rsidR="00DC6518" w:rsidRPr="00B779BE">
        <w:rPr>
          <w:b/>
          <w:i w:val="0"/>
          <w:color w:val="auto"/>
          <w:sz w:val="20"/>
        </w:rPr>
        <w:t> </w:t>
      </w:r>
      <w:r w:rsidRPr="00B779BE">
        <w:rPr>
          <w:b/>
          <w:i w:val="0"/>
          <w:color w:val="auto"/>
          <w:sz w:val="20"/>
        </w:rPr>
        <w:t>S</w:t>
      </w:r>
      <w:r w:rsidR="005B3FBE" w:rsidRPr="00B779BE">
        <w:rPr>
          <w:b/>
          <w:i w:val="0"/>
          <w:color w:val="auto"/>
          <w:sz w:val="20"/>
        </w:rPr>
        <w:t>5</w:t>
      </w:r>
      <w:r w:rsidRPr="00B779BE">
        <w:rPr>
          <w:i w:val="0"/>
          <w:color w:val="auto"/>
          <w:sz w:val="20"/>
        </w:rPr>
        <w:t xml:space="preserve">). Monthly analyses are available in </w:t>
      </w:r>
      <w:r w:rsidR="00E453B6" w:rsidRPr="00B779BE">
        <w:rPr>
          <w:b/>
          <w:i w:val="0"/>
          <w:color w:val="auto"/>
          <w:sz w:val="20"/>
        </w:rPr>
        <w:t>Figure</w:t>
      </w:r>
      <w:r w:rsidR="00DC6518" w:rsidRPr="00B779BE">
        <w:rPr>
          <w:b/>
          <w:i w:val="0"/>
          <w:color w:val="auto"/>
          <w:sz w:val="20"/>
        </w:rPr>
        <w:t> </w:t>
      </w:r>
      <w:r w:rsidR="00E453B6" w:rsidRPr="00B779BE">
        <w:rPr>
          <w:b/>
          <w:i w:val="0"/>
          <w:color w:val="auto"/>
          <w:sz w:val="20"/>
        </w:rPr>
        <w:t>S6</w:t>
      </w:r>
      <w:r w:rsidRPr="00B779BE">
        <w:rPr>
          <w:i w:val="0"/>
          <w:color w:val="auto"/>
          <w:sz w:val="20"/>
        </w:rPr>
        <w:t>.</w:t>
      </w:r>
    </w:p>
    <w:p w14:paraId="11152564" w14:textId="7BBCABF1" w:rsidR="00AE3C28" w:rsidRPr="00B779BE" w:rsidRDefault="005971BC" w:rsidP="00AE3C28">
      <w:pPr>
        <w:keepNext/>
        <w:spacing w:after="0"/>
        <w:jc w:val="center"/>
        <w:rPr>
          <w:lang w:val="en-GB"/>
        </w:rPr>
      </w:pPr>
      <w:r>
        <w:rPr>
          <w:noProof/>
          <w:lang w:val="en-GB"/>
        </w:rPr>
        <w:lastRenderedPageBreak/>
        <w:drawing>
          <wp:inline distT="0" distB="0" distL="0" distR="0" wp14:anchorId="101D46CC" wp14:editId="17C19AEA">
            <wp:extent cx="5577851" cy="7110998"/>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radar).png"/>
                    <pic:cNvPicPr/>
                  </pic:nvPicPr>
                  <pic:blipFill>
                    <a:blip r:embed="rId15">
                      <a:extLst>
                        <a:ext uri="{28A0092B-C50C-407E-A947-70E740481C1C}">
                          <a14:useLocalDpi xmlns:a14="http://schemas.microsoft.com/office/drawing/2010/main"/>
                        </a:ext>
                      </a:extLst>
                    </a:blip>
                    <a:stretch>
                      <a:fillRect/>
                    </a:stretch>
                  </pic:blipFill>
                  <pic:spPr>
                    <a:xfrm>
                      <a:off x="0" y="0"/>
                      <a:ext cx="5577851" cy="7110998"/>
                    </a:xfrm>
                    <a:prstGeom prst="rect">
                      <a:avLst/>
                    </a:prstGeom>
                  </pic:spPr>
                </pic:pic>
              </a:graphicData>
            </a:graphic>
          </wp:inline>
        </w:drawing>
      </w:r>
    </w:p>
    <w:p w14:paraId="73483089" w14:textId="0748EE76" w:rsidR="00AE3C28" w:rsidRPr="00B779BE" w:rsidRDefault="00AE3C28" w:rsidP="00AE3C28">
      <w:pPr>
        <w:jc w:val="both"/>
        <w:rPr>
          <w:sz w:val="20"/>
          <w:szCs w:val="20"/>
          <w:lang w:val="en-GB"/>
        </w:rPr>
      </w:pPr>
      <w:bookmarkStart w:id="9" w:name="_Ref129860559"/>
      <w:r w:rsidRPr="00B779BE">
        <w:rPr>
          <w:b/>
          <w:sz w:val="20"/>
          <w:szCs w:val="20"/>
          <w:lang w:val="en-GB"/>
        </w:rPr>
        <w:t>Fig</w:t>
      </w:r>
      <w:r w:rsidR="005E3244" w:rsidRPr="00B779BE">
        <w:rPr>
          <w:b/>
          <w:sz w:val="20"/>
          <w:szCs w:val="20"/>
          <w:lang w:val="en-GB"/>
        </w:rPr>
        <w:t>ure</w:t>
      </w:r>
      <w:r w:rsidR="00252064" w:rsidRPr="00B779BE">
        <w:rPr>
          <w:b/>
          <w:sz w:val="20"/>
          <w:szCs w:val="20"/>
          <w:lang w:val="en-GB"/>
        </w:rPr>
        <w:t> </w:t>
      </w:r>
      <w:r w:rsidRPr="00B779BE">
        <w:rPr>
          <w:b/>
          <w:sz w:val="20"/>
          <w:szCs w:val="20"/>
          <w:lang w:val="en-GB"/>
        </w:rPr>
        <w:fldChar w:fldCharType="begin"/>
      </w:r>
      <w:r w:rsidRPr="00B779BE">
        <w:rPr>
          <w:b/>
          <w:sz w:val="20"/>
          <w:szCs w:val="20"/>
          <w:lang w:val="en-GB"/>
        </w:rPr>
        <w:instrText xml:space="preserve"> SEQ Fig._ \* ARABIC </w:instrText>
      </w:r>
      <w:r w:rsidRPr="00B779BE">
        <w:rPr>
          <w:b/>
          <w:sz w:val="20"/>
          <w:szCs w:val="20"/>
          <w:lang w:val="en-GB"/>
        </w:rPr>
        <w:fldChar w:fldCharType="separate"/>
      </w:r>
      <w:r w:rsidR="00FD38A7">
        <w:rPr>
          <w:b/>
          <w:noProof/>
          <w:sz w:val="20"/>
          <w:szCs w:val="20"/>
          <w:lang w:val="en-GB"/>
        </w:rPr>
        <w:t>2</w:t>
      </w:r>
      <w:r w:rsidRPr="00B779BE">
        <w:rPr>
          <w:b/>
          <w:sz w:val="20"/>
          <w:szCs w:val="20"/>
          <w:lang w:val="en-GB"/>
        </w:rPr>
        <w:fldChar w:fldCharType="end"/>
      </w:r>
      <w:bookmarkEnd w:id="9"/>
      <w:r w:rsidRPr="00B779BE">
        <w:rPr>
          <w:rFonts w:cstheme="minorHAnsi"/>
          <w:b/>
          <w:sz w:val="20"/>
          <w:szCs w:val="20"/>
          <w:lang w:val="en-GB"/>
        </w:rPr>
        <w:t>. Production cost for green ammonia and methanol in Europe compared with the fossil counterpart in USD kg</w:t>
      </w:r>
      <w:r w:rsidRPr="00B779BE">
        <w:rPr>
          <w:rFonts w:cstheme="minorHAnsi"/>
          <w:sz w:val="20"/>
          <w:szCs w:val="20"/>
          <w:vertAlign w:val="superscript"/>
          <w:lang w:val="en-GB"/>
        </w:rPr>
        <w:t>−</w:t>
      </w:r>
      <w:r w:rsidRPr="00B779BE">
        <w:rPr>
          <w:rFonts w:cstheme="minorHAnsi"/>
          <w:b/>
          <w:sz w:val="20"/>
          <w:szCs w:val="20"/>
          <w:vertAlign w:val="superscript"/>
          <w:lang w:val="en-GB"/>
        </w:rPr>
        <w:t>1</w:t>
      </w:r>
      <w:r w:rsidRPr="00B779BE">
        <w:rPr>
          <w:rFonts w:cstheme="minorHAnsi"/>
          <w:b/>
          <w:sz w:val="20"/>
          <w:szCs w:val="20"/>
          <w:lang w:val="en-GB"/>
        </w:rPr>
        <w:t xml:space="preserve">. </w:t>
      </w:r>
      <w:r w:rsidRPr="00B779BE">
        <w:rPr>
          <w:rFonts w:cstheme="minorHAnsi"/>
          <w:sz w:val="20"/>
          <w:szCs w:val="20"/>
          <w:lang w:val="en-GB"/>
        </w:rPr>
        <w:t xml:space="preserve">Green </w:t>
      </w:r>
      <w:r w:rsidRPr="00B779BE">
        <w:rPr>
          <w:sz w:val="20"/>
          <w:szCs w:val="20"/>
          <w:lang w:val="en-GB"/>
        </w:rPr>
        <w:t xml:space="preserve">ammonia produced </w:t>
      </w:r>
      <w:r w:rsidRPr="00B779BE">
        <w:rPr>
          <w:i/>
          <w:sz w:val="20"/>
          <w:szCs w:val="20"/>
          <w:lang w:val="en-GB"/>
        </w:rPr>
        <w:t>via</w:t>
      </w:r>
      <w:r w:rsidRPr="00B779BE">
        <w:rPr>
          <w:sz w:val="20"/>
          <w:szCs w:val="20"/>
          <w:lang w:val="en-GB"/>
        </w:rPr>
        <w:t xml:space="preserve"> the Haber-Bosch process with </w:t>
      </w:r>
      <w:r w:rsidRPr="00B779BE">
        <w:rPr>
          <w:b/>
          <w:sz w:val="20"/>
          <w:szCs w:val="20"/>
          <w:lang w:val="en-GB"/>
        </w:rPr>
        <w:t>(a)</w:t>
      </w:r>
      <w:r w:rsidRPr="00B779BE">
        <w:rPr>
          <w:sz w:val="20"/>
          <w:szCs w:val="20"/>
          <w:lang w:val="en-GB"/>
        </w:rPr>
        <w:t xml:space="preserve"> blue hydrogen from steam methane reforming (SMR) coupled with carbon capture and storage (CCS), green hydrogen from water electrolysis using </w:t>
      </w:r>
      <w:r w:rsidRPr="00B779BE">
        <w:rPr>
          <w:b/>
          <w:bCs/>
          <w:sz w:val="20"/>
          <w:szCs w:val="20"/>
          <w:lang w:val="en-GB"/>
        </w:rPr>
        <w:t>(b)</w:t>
      </w:r>
      <w:r w:rsidRPr="00B779BE" w:rsidDel="00940416">
        <w:rPr>
          <w:bCs/>
          <w:sz w:val="20"/>
          <w:szCs w:val="20"/>
          <w:lang w:val="en-GB"/>
        </w:rPr>
        <w:t xml:space="preserve"> </w:t>
      </w:r>
      <w:r w:rsidRPr="00B779BE">
        <w:rPr>
          <w:sz w:val="20"/>
          <w:szCs w:val="20"/>
          <w:lang w:val="en-GB"/>
        </w:rPr>
        <w:t xml:space="preserve">solar photovoltaic (PV) electricity or </w:t>
      </w:r>
      <w:r w:rsidRPr="00B779BE">
        <w:rPr>
          <w:b/>
          <w:bCs/>
          <w:sz w:val="20"/>
          <w:szCs w:val="20"/>
          <w:lang w:val="en-GB"/>
        </w:rPr>
        <w:t>(c)</w:t>
      </w:r>
      <w:r w:rsidRPr="00B779BE">
        <w:rPr>
          <w:sz w:val="20"/>
          <w:szCs w:val="20"/>
          <w:lang w:val="en-GB"/>
        </w:rPr>
        <w:t xml:space="preserve"> on-shore wind electricity. Methanol synthesised from captured CO</w:t>
      </w:r>
      <w:r w:rsidRPr="00B779BE">
        <w:rPr>
          <w:sz w:val="20"/>
          <w:szCs w:val="20"/>
          <w:vertAlign w:val="subscript"/>
          <w:lang w:val="en-GB"/>
        </w:rPr>
        <w:t>2</w:t>
      </w:r>
      <w:r w:rsidRPr="00B779BE">
        <w:rPr>
          <w:sz w:val="20"/>
          <w:szCs w:val="20"/>
          <w:lang w:val="en-GB"/>
        </w:rPr>
        <w:t xml:space="preserve"> and </w:t>
      </w:r>
      <w:r w:rsidRPr="00B779BE">
        <w:rPr>
          <w:b/>
          <w:sz w:val="20"/>
          <w:szCs w:val="20"/>
          <w:lang w:val="en-GB"/>
        </w:rPr>
        <w:t>(d)</w:t>
      </w:r>
      <w:r w:rsidRPr="00B779BE">
        <w:rPr>
          <w:sz w:val="20"/>
          <w:szCs w:val="20"/>
          <w:lang w:val="en-GB"/>
        </w:rPr>
        <w:t xml:space="preserve"> blue hydrogen, </w:t>
      </w:r>
      <w:r w:rsidRPr="00B779BE">
        <w:rPr>
          <w:b/>
          <w:sz w:val="20"/>
          <w:szCs w:val="20"/>
          <w:lang w:val="en-GB"/>
        </w:rPr>
        <w:t>(e)</w:t>
      </w:r>
      <w:r w:rsidRPr="00B779BE">
        <w:rPr>
          <w:sz w:val="20"/>
          <w:szCs w:val="20"/>
          <w:lang w:val="en-GB"/>
        </w:rPr>
        <w:t xml:space="preserve"> PV-based electrolytic hydrogen or </w:t>
      </w:r>
      <w:r w:rsidRPr="00B779BE">
        <w:rPr>
          <w:b/>
          <w:sz w:val="20"/>
          <w:szCs w:val="20"/>
          <w:lang w:val="en-GB"/>
        </w:rPr>
        <w:t xml:space="preserve">(f) </w:t>
      </w:r>
      <w:r w:rsidRPr="00B779BE">
        <w:rPr>
          <w:sz w:val="20"/>
          <w:szCs w:val="20"/>
          <w:lang w:val="en-GB"/>
        </w:rPr>
        <w:t xml:space="preserve">wind-based electrolytic hydrogen. </w:t>
      </w:r>
      <w:r w:rsidRPr="00B779BE">
        <w:rPr>
          <w:iCs/>
          <w:sz w:val="20"/>
          <w:szCs w:val="20"/>
          <w:lang w:val="en-GB"/>
        </w:rPr>
        <w:t xml:space="preserve">Monthly analyses are available in </w:t>
      </w:r>
      <w:r w:rsidRPr="00B779BE">
        <w:rPr>
          <w:b/>
          <w:iCs/>
          <w:sz w:val="20"/>
          <w:szCs w:val="20"/>
          <w:lang w:val="en-GB"/>
        </w:rPr>
        <w:t>Figure</w:t>
      </w:r>
      <w:r w:rsidR="00252064" w:rsidRPr="00B779BE">
        <w:rPr>
          <w:b/>
          <w:iCs/>
          <w:sz w:val="20"/>
          <w:szCs w:val="20"/>
          <w:lang w:val="en-GB"/>
        </w:rPr>
        <w:t> </w:t>
      </w:r>
      <w:r w:rsidRPr="00B779BE">
        <w:rPr>
          <w:b/>
          <w:iCs/>
          <w:sz w:val="20"/>
          <w:szCs w:val="20"/>
          <w:lang w:val="en-GB"/>
        </w:rPr>
        <w:t>S</w:t>
      </w:r>
      <w:r w:rsidR="002D655D" w:rsidRPr="00B779BE">
        <w:rPr>
          <w:b/>
          <w:iCs/>
          <w:sz w:val="20"/>
          <w:szCs w:val="20"/>
          <w:lang w:val="en-GB"/>
        </w:rPr>
        <w:t>9</w:t>
      </w:r>
      <w:r w:rsidRPr="00B779BE">
        <w:rPr>
          <w:iCs/>
          <w:sz w:val="20"/>
          <w:szCs w:val="20"/>
          <w:lang w:val="en-GB"/>
        </w:rPr>
        <w:t>.</w:t>
      </w:r>
      <w:r w:rsidRPr="00B779BE">
        <w:rPr>
          <w:i/>
          <w:sz w:val="20"/>
          <w:szCs w:val="20"/>
          <w:lang w:val="en-GB"/>
        </w:rPr>
        <w:t xml:space="preserve"> </w:t>
      </w:r>
      <w:r w:rsidR="00622E3B" w:rsidRPr="00B779BE">
        <w:rPr>
          <w:sz w:val="20"/>
          <w:szCs w:val="20"/>
          <w:lang w:val="en-GB"/>
        </w:rPr>
        <w:t>The temporal</w:t>
      </w:r>
      <w:r w:rsidRPr="00B779BE">
        <w:rPr>
          <w:sz w:val="20"/>
          <w:szCs w:val="20"/>
          <w:lang w:val="en-GB"/>
        </w:rPr>
        <w:t xml:space="preserve"> resolution of the period post-July 2022 is enlarged to assess the escalating volatility of fossil routes.</w:t>
      </w:r>
    </w:p>
    <w:p w14:paraId="1778651A" w14:textId="66F175FC" w:rsidR="00AE3C28" w:rsidRPr="00B779BE" w:rsidRDefault="00972B39" w:rsidP="00972B39">
      <w:pPr>
        <w:keepNext/>
        <w:spacing w:after="0"/>
        <w:jc w:val="center"/>
        <w:rPr>
          <w:lang w:val="en-GB"/>
        </w:rPr>
      </w:pPr>
      <w:r>
        <w:rPr>
          <w:noProof/>
          <w:lang w:val="en-GB"/>
        </w:rPr>
        <w:lastRenderedPageBreak/>
        <w:drawing>
          <wp:inline distT="0" distB="0" distL="0" distR="0" wp14:anchorId="58483F0E" wp14:editId="473DBF67">
            <wp:extent cx="6547117" cy="6663704"/>
            <wp:effectExtent l="0" t="0" r="635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3.png"/>
                    <pic:cNvPicPr/>
                  </pic:nvPicPr>
                  <pic:blipFill>
                    <a:blip r:embed="rId16">
                      <a:extLst>
                        <a:ext uri="{28A0092B-C50C-407E-A947-70E740481C1C}">
                          <a14:useLocalDpi xmlns:a14="http://schemas.microsoft.com/office/drawing/2010/main"/>
                        </a:ext>
                      </a:extLst>
                    </a:blip>
                    <a:stretch>
                      <a:fillRect/>
                    </a:stretch>
                  </pic:blipFill>
                  <pic:spPr>
                    <a:xfrm>
                      <a:off x="0" y="0"/>
                      <a:ext cx="6547117" cy="6663704"/>
                    </a:xfrm>
                    <a:prstGeom prst="rect">
                      <a:avLst/>
                    </a:prstGeom>
                  </pic:spPr>
                </pic:pic>
              </a:graphicData>
            </a:graphic>
          </wp:inline>
        </w:drawing>
      </w:r>
    </w:p>
    <w:p w14:paraId="00CB4C9F" w14:textId="09DC7530" w:rsidR="00AE3C28" w:rsidRPr="00B779BE" w:rsidRDefault="00AE3C28" w:rsidP="00AE3C28">
      <w:pPr>
        <w:pStyle w:val="Caption"/>
        <w:jc w:val="both"/>
        <w:rPr>
          <w:i w:val="0"/>
          <w:color w:val="auto"/>
          <w:sz w:val="20"/>
        </w:rPr>
      </w:pPr>
      <w:bookmarkStart w:id="10" w:name="_Ref129860715"/>
      <w:r w:rsidRPr="00B779BE">
        <w:rPr>
          <w:b/>
          <w:i w:val="0"/>
          <w:color w:val="auto"/>
          <w:sz w:val="20"/>
          <w:szCs w:val="20"/>
        </w:rPr>
        <w:t>Fig</w:t>
      </w:r>
      <w:r w:rsidR="00EE119E" w:rsidRPr="00B779BE">
        <w:rPr>
          <w:b/>
          <w:i w:val="0"/>
          <w:color w:val="auto"/>
          <w:sz w:val="20"/>
          <w:szCs w:val="20"/>
        </w:rPr>
        <w:t>ure</w:t>
      </w:r>
      <w:r w:rsidR="00252064" w:rsidRPr="00B779BE">
        <w:rPr>
          <w:b/>
          <w:i w:val="0"/>
          <w:color w:val="auto"/>
          <w:sz w:val="20"/>
          <w:szCs w:val="20"/>
        </w:rPr>
        <w:t> </w:t>
      </w:r>
      <w:r w:rsidRPr="00B779BE">
        <w:rPr>
          <w:b/>
          <w:i w:val="0"/>
          <w:color w:val="auto"/>
          <w:sz w:val="20"/>
          <w:szCs w:val="20"/>
        </w:rPr>
        <w:fldChar w:fldCharType="begin"/>
      </w:r>
      <w:r w:rsidRPr="00B779BE">
        <w:rPr>
          <w:b/>
          <w:i w:val="0"/>
          <w:color w:val="auto"/>
          <w:sz w:val="20"/>
          <w:szCs w:val="20"/>
        </w:rPr>
        <w:instrText xml:space="preserve"> SEQ Fig._ \* ARABIC </w:instrText>
      </w:r>
      <w:r w:rsidRPr="00B779BE">
        <w:rPr>
          <w:b/>
          <w:i w:val="0"/>
          <w:color w:val="auto"/>
          <w:sz w:val="20"/>
          <w:szCs w:val="20"/>
        </w:rPr>
        <w:fldChar w:fldCharType="separate"/>
      </w:r>
      <w:r w:rsidR="00FD38A7">
        <w:rPr>
          <w:b/>
          <w:i w:val="0"/>
          <w:noProof/>
          <w:color w:val="auto"/>
          <w:sz w:val="20"/>
          <w:szCs w:val="20"/>
        </w:rPr>
        <w:t>3</w:t>
      </w:r>
      <w:r w:rsidRPr="00B779BE">
        <w:rPr>
          <w:b/>
          <w:i w:val="0"/>
          <w:color w:val="auto"/>
          <w:sz w:val="20"/>
          <w:szCs w:val="20"/>
        </w:rPr>
        <w:fldChar w:fldCharType="end"/>
      </w:r>
      <w:bookmarkEnd w:id="10"/>
      <w:r w:rsidRPr="00B779BE">
        <w:rPr>
          <w:b/>
          <w:i w:val="0"/>
          <w:color w:val="auto"/>
          <w:sz w:val="20"/>
          <w:szCs w:val="20"/>
        </w:rPr>
        <w:t>. Breakdown of production costs for fossil and green (a) ammonia and (b) methanol in USD kg</w:t>
      </w:r>
      <w:r w:rsidRPr="00B779BE">
        <w:rPr>
          <w:b/>
          <w:i w:val="0"/>
          <w:color w:val="auto"/>
          <w:sz w:val="20"/>
          <w:vertAlign w:val="superscript"/>
        </w:rPr>
        <w:t>−1</w:t>
      </w:r>
      <w:r w:rsidRPr="00B779BE">
        <w:rPr>
          <w:b/>
          <w:i w:val="0"/>
          <w:color w:val="auto"/>
          <w:sz w:val="20"/>
        </w:rPr>
        <w:t xml:space="preserve">. </w:t>
      </w:r>
      <w:r w:rsidRPr="00B779BE">
        <w:rPr>
          <w:i w:val="0"/>
          <w:color w:val="auto"/>
          <w:sz w:val="20"/>
        </w:rPr>
        <w:t xml:space="preserve">Only the green production routes based on hydrogen from water electrolysis using on-shore wind electricity are displayed. The results for other green routes can be found in </w:t>
      </w:r>
      <w:r w:rsidRPr="00B779BE">
        <w:rPr>
          <w:b/>
          <w:i w:val="0"/>
          <w:color w:val="auto"/>
          <w:sz w:val="20"/>
        </w:rPr>
        <w:t>Figure</w:t>
      </w:r>
      <w:r w:rsidR="00252064" w:rsidRPr="00B779BE">
        <w:rPr>
          <w:b/>
          <w:i w:val="0"/>
          <w:color w:val="auto"/>
          <w:sz w:val="20"/>
        </w:rPr>
        <w:t> </w:t>
      </w:r>
      <w:r w:rsidRPr="00B779BE">
        <w:rPr>
          <w:b/>
          <w:i w:val="0"/>
          <w:color w:val="auto"/>
          <w:sz w:val="20"/>
        </w:rPr>
        <w:t>S</w:t>
      </w:r>
      <w:r w:rsidR="00ED126F" w:rsidRPr="00B779BE">
        <w:rPr>
          <w:b/>
          <w:i w:val="0"/>
          <w:color w:val="auto"/>
          <w:sz w:val="20"/>
        </w:rPr>
        <w:t>1</w:t>
      </w:r>
      <w:r w:rsidR="00854191" w:rsidRPr="00B779BE">
        <w:rPr>
          <w:b/>
          <w:i w:val="0"/>
          <w:color w:val="auto"/>
          <w:sz w:val="20"/>
        </w:rPr>
        <w:t>0</w:t>
      </w:r>
      <w:r w:rsidRPr="00B779BE">
        <w:rPr>
          <w:i w:val="0"/>
          <w:color w:val="auto"/>
          <w:sz w:val="20"/>
        </w:rPr>
        <w:t>. Error bars indicate the production cost considering the lower and upper bound for the levelised cost of hydrogen (</w:t>
      </w:r>
      <w:r w:rsidRPr="00B779BE">
        <w:rPr>
          <w:b/>
          <w:i w:val="0"/>
          <w:color w:val="auto"/>
          <w:sz w:val="20"/>
        </w:rPr>
        <w:t>Table</w:t>
      </w:r>
      <w:r w:rsidR="00087047" w:rsidRPr="00B779BE">
        <w:rPr>
          <w:b/>
          <w:i w:val="0"/>
          <w:color w:val="auto"/>
          <w:sz w:val="20"/>
        </w:rPr>
        <w:t> </w:t>
      </w:r>
      <w:r w:rsidRPr="00B779BE">
        <w:rPr>
          <w:b/>
          <w:i w:val="0"/>
          <w:color w:val="auto"/>
          <w:sz w:val="20"/>
        </w:rPr>
        <w:t>S7</w:t>
      </w:r>
      <w:r w:rsidRPr="00B779BE">
        <w:rPr>
          <w:i w:val="0"/>
          <w:color w:val="auto"/>
          <w:sz w:val="20"/>
        </w:rPr>
        <w:t xml:space="preserve">). </w:t>
      </w:r>
      <w:r w:rsidRPr="00B779BE">
        <w:rPr>
          <w:i w:val="0"/>
          <w:color w:val="auto"/>
          <w:sz w:val="20"/>
          <w:szCs w:val="20"/>
        </w:rPr>
        <w:t>Average values for the years 2019 and 2020 are employed as the natural gas and electricity prices before July 2021 showed negligible variations in comparison.</w:t>
      </w:r>
    </w:p>
    <w:p w14:paraId="23106448" w14:textId="700958E3" w:rsidR="00AE3C28" w:rsidRPr="00B779BE" w:rsidRDefault="00162E72" w:rsidP="00AE3C28">
      <w:pPr>
        <w:keepNext/>
        <w:spacing w:after="0"/>
        <w:jc w:val="center"/>
        <w:rPr>
          <w:lang w:val="en-GB"/>
        </w:rPr>
      </w:pPr>
      <w:r>
        <w:rPr>
          <w:noProof/>
          <w:lang w:val="en-GB"/>
        </w:rPr>
        <w:lastRenderedPageBreak/>
        <w:drawing>
          <wp:inline distT="0" distB="0" distL="0" distR="0" wp14:anchorId="31A3F3FA" wp14:editId="2069D576">
            <wp:extent cx="6400800" cy="3131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4 (radar).png"/>
                    <pic:cNvPicPr/>
                  </pic:nvPicPr>
                  <pic:blipFill>
                    <a:blip r:embed="rId17"/>
                    <a:stretch>
                      <a:fillRect/>
                    </a:stretch>
                  </pic:blipFill>
                  <pic:spPr>
                    <a:xfrm>
                      <a:off x="0" y="0"/>
                      <a:ext cx="6400800" cy="3131820"/>
                    </a:xfrm>
                    <a:prstGeom prst="rect">
                      <a:avLst/>
                    </a:prstGeom>
                  </pic:spPr>
                </pic:pic>
              </a:graphicData>
            </a:graphic>
          </wp:inline>
        </w:drawing>
      </w:r>
    </w:p>
    <w:p w14:paraId="05610B9E" w14:textId="511847D7" w:rsidR="008A3579" w:rsidRPr="00B779BE" w:rsidRDefault="00AE3C28" w:rsidP="00AE3C28">
      <w:pPr>
        <w:pStyle w:val="Caption"/>
        <w:jc w:val="both"/>
        <w:rPr>
          <w:i w:val="0"/>
          <w:color w:val="auto"/>
          <w:sz w:val="20"/>
          <w:szCs w:val="20"/>
        </w:rPr>
      </w:pPr>
      <w:bookmarkStart w:id="11" w:name="_Ref129860788"/>
      <w:r w:rsidRPr="00B779BE">
        <w:rPr>
          <w:b/>
          <w:i w:val="0"/>
          <w:color w:val="auto"/>
          <w:sz w:val="20"/>
          <w:szCs w:val="20"/>
        </w:rPr>
        <w:t>Fig</w:t>
      </w:r>
      <w:r w:rsidR="008A1237" w:rsidRPr="00B779BE">
        <w:rPr>
          <w:b/>
          <w:i w:val="0"/>
          <w:color w:val="auto"/>
          <w:sz w:val="20"/>
          <w:szCs w:val="20"/>
        </w:rPr>
        <w:t>ure</w:t>
      </w:r>
      <w:r w:rsidR="00552D16" w:rsidRPr="00B779BE">
        <w:rPr>
          <w:b/>
          <w:i w:val="0"/>
          <w:color w:val="auto"/>
          <w:sz w:val="20"/>
          <w:szCs w:val="20"/>
        </w:rPr>
        <w:t> </w:t>
      </w:r>
      <w:r w:rsidRPr="00B779BE">
        <w:rPr>
          <w:b/>
          <w:i w:val="0"/>
          <w:color w:val="auto"/>
          <w:sz w:val="20"/>
          <w:szCs w:val="20"/>
        </w:rPr>
        <w:fldChar w:fldCharType="begin"/>
      </w:r>
      <w:r w:rsidRPr="00B779BE">
        <w:rPr>
          <w:b/>
          <w:i w:val="0"/>
          <w:color w:val="auto"/>
          <w:sz w:val="20"/>
          <w:szCs w:val="20"/>
        </w:rPr>
        <w:instrText xml:space="preserve"> SEQ Fig._ \* ARABIC </w:instrText>
      </w:r>
      <w:r w:rsidRPr="00B779BE">
        <w:rPr>
          <w:b/>
          <w:i w:val="0"/>
          <w:color w:val="auto"/>
          <w:sz w:val="20"/>
          <w:szCs w:val="20"/>
        </w:rPr>
        <w:fldChar w:fldCharType="separate"/>
      </w:r>
      <w:r w:rsidR="00FD38A7">
        <w:rPr>
          <w:b/>
          <w:i w:val="0"/>
          <w:noProof/>
          <w:color w:val="auto"/>
          <w:sz w:val="20"/>
          <w:szCs w:val="20"/>
        </w:rPr>
        <w:t>4</w:t>
      </w:r>
      <w:r w:rsidRPr="00B779BE">
        <w:rPr>
          <w:b/>
          <w:i w:val="0"/>
          <w:color w:val="auto"/>
          <w:sz w:val="20"/>
          <w:szCs w:val="20"/>
        </w:rPr>
        <w:fldChar w:fldCharType="end"/>
      </w:r>
      <w:bookmarkEnd w:id="11"/>
      <w:r w:rsidRPr="00B779BE">
        <w:rPr>
          <w:b/>
          <w:i w:val="0"/>
          <w:color w:val="auto"/>
          <w:sz w:val="20"/>
          <w:szCs w:val="20"/>
        </w:rPr>
        <w:t>. Avoidance</w:t>
      </w:r>
      <w:r w:rsidRPr="00B779BE">
        <w:rPr>
          <w:b/>
          <w:i w:val="0"/>
          <w:color w:val="auto"/>
          <w:sz w:val="20"/>
        </w:rPr>
        <w:t xml:space="preserve"> costs for green (a) ammonia and (b) methanol production routes in USD kg</w:t>
      </w:r>
      <w:r w:rsidRPr="00B779BE">
        <w:rPr>
          <w:rFonts w:cstheme="minorHAnsi"/>
          <w:b/>
          <w:vertAlign w:val="superscript"/>
        </w:rPr>
        <w:t>−</w:t>
      </w:r>
      <w:r w:rsidRPr="00B779BE">
        <w:rPr>
          <w:b/>
          <w:i w:val="0"/>
          <w:color w:val="auto"/>
          <w:sz w:val="20"/>
          <w:vertAlign w:val="superscript"/>
        </w:rPr>
        <w:t>1</w:t>
      </w:r>
      <w:r w:rsidR="009276E2">
        <w:rPr>
          <w:b/>
          <w:i w:val="0"/>
          <w:color w:val="auto"/>
          <w:sz w:val="20"/>
          <w:vertAlign w:val="superscript"/>
        </w:rPr>
        <w:t xml:space="preserve"> </w:t>
      </w:r>
      <w:r w:rsidRPr="00B779BE">
        <w:rPr>
          <w:b/>
          <w:i w:val="0"/>
          <w:color w:val="auto"/>
          <w:sz w:val="20"/>
        </w:rPr>
        <w:t>CO</w:t>
      </w:r>
      <w:r w:rsidRPr="00B779BE">
        <w:rPr>
          <w:b/>
          <w:i w:val="0"/>
          <w:color w:val="auto"/>
          <w:sz w:val="20"/>
          <w:vertAlign w:val="subscript"/>
        </w:rPr>
        <w:t>2</w:t>
      </w:r>
      <w:r w:rsidRPr="00B779BE">
        <w:rPr>
          <w:b/>
          <w:i w:val="0"/>
          <w:color w:val="auto"/>
          <w:sz w:val="20"/>
        </w:rPr>
        <w:t>-eq.</w:t>
      </w:r>
      <w:r w:rsidRPr="00B779BE">
        <w:rPr>
          <w:i w:val="0"/>
          <w:color w:val="auto"/>
          <w:sz w:val="20"/>
        </w:rPr>
        <w:t xml:space="preserve"> A negative avoidance cost (shaded region) implies that it is possible to reduce costs and greenhouse gas (GHG) emissions simultaneously.</w:t>
      </w:r>
      <w:r w:rsidRPr="00B779BE" w:rsidDel="007A5FF3">
        <w:t xml:space="preserve"> </w:t>
      </w:r>
      <w:r w:rsidRPr="00B779BE">
        <w:rPr>
          <w:i w:val="0"/>
          <w:color w:val="auto"/>
          <w:sz w:val="20"/>
          <w:szCs w:val="20"/>
        </w:rPr>
        <w:t>Monthly analyses</w:t>
      </w:r>
      <w:r w:rsidR="0061661C" w:rsidRPr="00B779BE">
        <w:rPr>
          <w:i w:val="0"/>
          <w:color w:val="auto"/>
          <w:sz w:val="20"/>
          <w:szCs w:val="20"/>
        </w:rPr>
        <w:t xml:space="preserve"> with error bars</w:t>
      </w:r>
      <w:r w:rsidRPr="00B779BE">
        <w:rPr>
          <w:i w:val="0"/>
          <w:color w:val="auto"/>
          <w:sz w:val="20"/>
          <w:szCs w:val="20"/>
        </w:rPr>
        <w:t xml:space="preserve"> are available in </w:t>
      </w:r>
      <w:r w:rsidRPr="00B779BE">
        <w:rPr>
          <w:b/>
          <w:i w:val="0"/>
          <w:color w:val="auto"/>
          <w:sz w:val="20"/>
          <w:szCs w:val="20"/>
        </w:rPr>
        <w:t>Figure</w:t>
      </w:r>
      <w:r w:rsidR="00552D16" w:rsidRPr="00B779BE">
        <w:rPr>
          <w:b/>
          <w:i w:val="0"/>
          <w:color w:val="auto"/>
          <w:sz w:val="20"/>
          <w:szCs w:val="20"/>
        </w:rPr>
        <w:t> </w:t>
      </w:r>
      <w:r w:rsidRPr="00B779BE">
        <w:rPr>
          <w:b/>
          <w:i w:val="0"/>
          <w:color w:val="auto"/>
          <w:sz w:val="20"/>
          <w:szCs w:val="20"/>
        </w:rPr>
        <w:t>S1</w:t>
      </w:r>
      <w:r w:rsidR="00C32D3A" w:rsidRPr="00B779BE">
        <w:rPr>
          <w:b/>
          <w:i w:val="0"/>
          <w:color w:val="auto"/>
          <w:sz w:val="20"/>
          <w:szCs w:val="20"/>
        </w:rPr>
        <w:t>2</w:t>
      </w:r>
      <w:r w:rsidRPr="00B779BE">
        <w:rPr>
          <w:i w:val="0"/>
          <w:color w:val="auto"/>
          <w:sz w:val="20"/>
          <w:szCs w:val="20"/>
        </w:rPr>
        <w:t xml:space="preserve">. </w:t>
      </w:r>
    </w:p>
    <w:p w14:paraId="5B230B48" w14:textId="79F7EAD9" w:rsidR="001975E3" w:rsidRPr="00B779BE" w:rsidRDefault="001975E3" w:rsidP="001975E3">
      <w:pPr>
        <w:pStyle w:val="Heading2"/>
      </w:pPr>
      <w:r w:rsidRPr="00B779BE">
        <w:t>Conflicts of interest</w:t>
      </w:r>
    </w:p>
    <w:p w14:paraId="2587DB7E" w14:textId="77777777" w:rsidR="001975E3" w:rsidRPr="00B779BE" w:rsidRDefault="001975E3" w:rsidP="00B779BE">
      <w:pPr>
        <w:rPr>
          <w:b/>
          <w:lang w:val="en-GB"/>
        </w:rPr>
      </w:pPr>
      <w:r w:rsidRPr="00B779BE">
        <w:rPr>
          <w:lang w:val="en-GB"/>
        </w:rPr>
        <w:t>There are no conflicts to declare.</w:t>
      </w:r>
    </w:p>
    <w:p w14:paraId="6510D4AD" w14:textId="21611C50" w:rsidR="00496E66" w:rsidRPr="00B779BE" w:rsidRDefault="00496E66" w:rsidP="00496E66">
      <w:pPr>
        <w:pStyle w:val="Heading2"/>
      </w:pPr>
      <w:r w:rsidRPr="00B779BE">
        <w:t>Acknowledgements</w:t>
      </w:r>
    </w:p>
    <w:p w14:paraId="04C16223" w14:textId="41821D3C" w:rsidR="001975E3" w:rsidRPr="00B779BE" w:rsidRDefault="00496E66" w:rsidP="0046478F">
      <w:pPr>
        <w:jc w:val="both"/>
        <w:rPr>
          <w:lang w:val="en-GB"/>
        </w:rPr>
      </w:pPr>
      <w:r w:rsidRPr="00B779BE">
        <w:rPr>
          <w:lang w:val="en-GB"/>
        </w:rPr>
        <w:t>This publication was created as part of NCCR Catalysis</w:t>
      </w:r>
      <w:r w:rsidR="007B01CC">
        <w:rPr>
          <w:lang w:val="en-GB"/>
        </w:rPr>
        <w:t xml:space="preserve"> (grant number 180544)</w:t>
      </w:r>
      <w:r w:rsidRPr="00B779BE">
        <w:rPr>
          <w:lang w:val="en-GB"/>
        </w:rPr>
        <w:t>, a National Centre of Competence in Research funded by the Swiss National Science Foundation.</w:t>
      </w:r>
    </w:p>
    <w:p w14:paraId="7707589A" w14:textId="77777777" w:rsidR="008A3579" w:rsidRPr="00B779BE" w:rsidRDefault="008A3579" w:rsidP="00D22FEC">
      <w:pPr>
        <w:pStyle w:val="Heading2"/>
        <w:jc w:val="both"/>
      </w:pPr>
      <w:bookmarkStart w:id="12" w:name="_Hlk129852061"/>
      <w:r w:rsidRPr="00B779BE">
        <w:t>References</w:t>
      </w:r>
    </w:p>
    <w:p w14:paraId="6FDF1297"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cstheme="minorHAnsi"/>
          <w:lang w:val="en-GB"/>
        </w:rPr>
        <w:fldChar w:fldCharType="begin"/>
      </w:r>
      <w:r w:rsidRPr="00B779BE">
        <w:rPr>
          <w:rFonts w:cstheme="minorHAnsi"/>
          <w:lang w:val="en-GB"/>
        </w:rPr>
        <w:instrText xml:space="preserve"> ADDIN ZOTERO_BIBL {"uncited":[],"omitted":[],"custom":[]} CSL_BIBLIOGRAPHY </w:instrText>
      </w:r>
      <w:r w:rsidRPr="00B779BE">
        <w:rPr>
          <w:rFonts w:cstheme="minorHAnsi"/>
          <w:lang w:val="en-GB"/>
        </w:rPr>
        <w:fldChar w:fldCharType="separate"/>
      </w:r>
      <w:r w:rsidRPr="00B779BE">
        <w:rPr>
          <w:rFonts w:ascii="Calibri" w:hAnsi="Calibri" w:cs="Calibri"/>
          <w:lang w:val="en-GB"/>
        </w:rPr>
        <w:t xml:space="preserve">F. Bauer, J. P. Tilsted, S. Pfister, C. Oberschelp and V. Kulionis, </w:t>
      </w:r>
      <w:r w:rsidRPr="00B779BE">
        <w:rPr>
          <w:rFonts w:ascii="Calibri" w:hAnsi="Calibri" w:cs="Calibri"/>
          <w:i/>
          <w:iCs/>
          <w:lang w:val="en-GB"/>
        </w:rPr>
        <w:t>Curr. Opin. Chem. Eng.</w:t>
      </w:r>
      <w:r w:rsidRPr="00B779BE">
        <w:rPr>
          <w:rFonts w:ascii="Calibri" w:hAnsi="Calibri" w:cs="Calibri"/>
          <w:lang w:val="en-GB"/>
        </w:rPr>
        <w:t xml:space="preserve">, 2023, </w:t>
      </w:r>
      <w:r w:rsidRPr="00B779BE">
        <w:rPr>
          <w:rFonts w:ascii="Calibri" w:hAnsi="Calibri" w:cs="Calibri"/>
          <w:b/>
          <w:bCs/>
          <w:lang w:val="en-GB"/>
        </w:rPr>
        <w:t>39</w:t>
      </w:r>
      <w:r w:rsidRPr="00B779BE">
        <w:rPr>
          <w:rFonts w:ascii="Calibri" w:hAnsi="Calibri" w:cs="Calibri"/>
          <w:lang w:val="en-GB"/>
        </w:rPr>
        <w:t>, 100881.</w:t>
      </w:r>
    </w:p>
    <w:p w14:paraId="5BD9146E"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F. Bauer, V. Kulionis, C. Oberschelp, S. Pfister, J. P. Tilsted, G. D. Finkill and S. Fjäll, </w:t>
      </w:r>
      <w:r w:rsidRPr="00B779BE">
        <w:rPr>
          <w:rFonts w:ascii="Calibri" w:hAnsi="Calibri" w:cs="Calibri"/>
          <w:i/>
          <w:iCs/>
          <w:lang w:val="en-GB"/>
        </w:rPr>
        <w:t>Petrochemicals and Climate Change: Tracing Globally Growing Emissions and Key Blind Spots in a Fossil-Based Industry</w:t>
      </w:r>
      <w:r w:rsidRPr="00B779BE">
        <w:rPr>
          <w:rFonts w:ascii="Calibri" w:hAnsi="Calibri" w:cs="Calibri"/>
          <w:lang w:val="en-GB"/>
        </w:rPr>
        <w:t>, Lund University, 2022.</w:t>
      </w:r>
    </w:p>
    <w:p w14:paraId="31F19741"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J. W. Erisman, M. A. Sutton, J. Galloway, Z. Klimont and W. Winiwarter, </w:t>
      </w:r>
      <w:r w:rsidRPr="00B779BE">
        <w:rPr>
          <w:rFonts w:ascii="Calibri" w:hAnsi="Calibri" w:cs="Calibri"/>
          <w:i/>
          <w:iCs/>
          <w:lang w:val="en-GB"/>
        </w:rPr>
        <w:t>Nat. Geosci.</w:t>
      </w:r>
      <w:r w:rsidRPr="00B779BE">
        <w:rPr>
          <w:rFonts w:ascii="Calibri" w:hAnsi="Calibri" w:cs="Calibri"/>
          <w:lang w:val="en-GB"/>
        </w:rPr>
        <w:t xml:space="preserve">, 2008, </w:t>
      </w:r>
      <w:r w:rsidRPr="00B779BE">
        <w:rPr>
          <w:rFonts w:ascii="Calibri" w:hAnsi="Calibri" w:cs="Calibri"/>
          <w:b/>
          <w:bCs/>
          <w:lang w:val="en-GB"/>
        </w:rPr>
        <w:t>1</w:t>
      </w:r>
      <w:r w:rsidRPr="00B779BE">
        <w:rPr>
          <w:rFonts w:ascii="Calibri" w:hAnsi="Calibri" w:cs="Calibri"/>
          <w:lang w:val="en-GB"/>
        </w:rPr>
        <w:t>, 636–639.</w:t>
      </w:r>
    </w:p>
    <w:p w14:paraId="1C44638B"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L. Rosa and P. Gabrielli, </w:t>
      </w:r>
      <w:r w:rsidRPr="00B779BE">
        <w:rPr>
          <w:rFonts w:ascii="Calibri" w:hAnsi="Calibri" w:cs="Calibri"/>
          <w:i/>
          <w:iCs/>
          <w:lang w:val="en-GB"/>
        </w:rPr>
        <w:t>Environ. Res. Lett.</w:t>
      </w:r>
      <w:r w:rsidRPr="00B779BE">
        <w:rPr>
          <w:rFonts w:ascii="Calibri" w:hAnsi="Calibri" w:cs="Calibri"/>
          <w:lang w:val="en-GB"/>
        </w:rPr>
        <w:t xml:space="preserve">, 2022, </w:t>
      </w:r>
      <w:r w:rsidRPr="00B779BE">
        <w:rPr>
          <w:rFonts w:ascii="Calibri" w:hAnsi="Calibri" w:cs="Calibri"/>
          <w:b/>
          <w:bCs/>
          <w:lang w:val="en-GB"/>
        </w:rPr>
        <w:t>18</w:t>
      </w:r>
      <w:r w:rsidRPr="00B779BE">
        <w:rPr>
          <w:rFonts w:ascii="Calibri" w:hAnsi="Calibri" w:cs="Calibri"/>
          <w:lang w:val="en-GB"/>
        </w:rPr>
        <w:t>, 014008.</w:t>
      </w:r>
    </w:p>
    <w:p w14:paraId="06AB978D"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IEA, </w:t>
      </w:r>
      <w:r w:rsidRPr="00B779BE">
        <w:rPr>
          <w:rFonts w:ascii="Calibri" w:hAnsi="Calibri" w:cs="Calibri"/>
          <w:i/>
          <w:iCs/>
          <w:lang w:val="en-GB"/>
        </w:rPr>
        <w:t>The Future of Petrochemicals: Towards more sustainable plastics and fertilisers</w:t>
      </w:r>
      <w:r w:rsidRPr="00B779BE">
        <w:rPr>
          <w:rFonts w:ascii="Calibri" w:hAnsi="Calibri" w:cs="Calibri"/>
          <w:lang w:val="en-GB"/>
        </w:rPr>
        <w:t>, International Energy Agency, 2018.</w:t>
      </w:r>
    </w:p>
    <w:p w14:paraId="7FE1BDB5" w14:textId="51673412"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G. A. Olah, </w:t>
      </w:r>
      <w:r w:rsidRPr="00B779BE">
        <w:rPr>
          <w:rFonts w:ascii="Calibri" w:hAnsi="Calibri" w:cs="Calibri"/>
          <w:i/>
          <w:iCs/>
          <w:lang w:val="en-GB"/>
        </w:rPr>
        <w:t>Angew. Chem., Int. Ed.</w:t>
      </w:r>
      <w:r w:rsidRPr="00B779BE">
        <w:rPr>
          <w:rFonts w:ascii="Calibri" w:hAnsi="Calibri" w:cs="Calibri"/>
          <w:lang w:val="en-GB"/>
        </w:rPr>
        <w:t xml:space="preserve">, 2005, </w:t>
      </w:r>
      <w:r w:rsidRPr="00B779BE">
        <w:rPr>
          <w:rFonts w:ascii="Calibri" w:hAnsi="Calibri" w:cs="Calibri"/>
          <w:b/>
          <w:bCs/>
          <w:lang w:val="en-GB"/>
        </w:rPr>
        <w:t>44</w:t>
      </w:r>
      <w:r w:rsidRPr="00B779BE">
        <w:rPr>
          <w:rFonts w:ascii="Calibri" w:hAnsi="Calibri" w:cs="Calibri"/>
          <w:lang w:val="en-GB"/>
        </w:rPr>
        <w:t>, 2636–2639.</w:t>
      </w:r>
    </w:p>
    <w:p w14:paraId="1237BF85"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IRENA, </w:t>
      </w:r>
      <w:r w:rsidRPr="00B779BE">
        <w:rPr>
          <w:rFonts w:ascii="Calibri" w:hAnsi="Calibri" w:cs="Calibri"/>
          <w:i/>
          <w:iCs/>
          <w:lang w:val="en-GB"/>
        </w:rPr>
        <w:t>Innovation Outlook: Renewable Methanol</w:t>
      </w:r>
      <w:r w:rsidRPr="00B779BE">
        <w:rPr>
          <w:rFonts w:ascii="Calibri" w:hAnsi="Calibri" w:cs="Calibri"/>
          <w:lang w:val="en-GB"/>
        </w:rPr>
        <w:t>, International Renewable Energy Agency, Abu Dhabi, 2021.</w:t>
      </w:r>
    </w:p>
    <w:p w14:paraId="7FBB010B"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IEA, </w:t>
      </w:r>
      <w:r w:rsidRPr="00B779BE">
        <w:rPr>
          <w:rFonts w:ascii="Calibri" w:hAnsi="Calibri" w:cs="Calibri"/>
          <w:i/>
          <w:iCs/>
          <w:lang w:val="en-GB"/>
        </w:rPr>
        <w:t>Ammonia Technology Roadmap: Towards more sustainable nitrogen fertiliser production</w:t>
      </w:r>
      <w:r w:rsidRPr="00B779BE">
        <w:rPr>
          <w:rFonts w:ascii="Calibri" w:hAnsi="Calibri" w:cs="Calibri"/>
          <w:lang w:val="en-GB"/>
        </w:rPr>
        <w:t>, International Energy Agency, 2021.</w:t>
      </w:r>
    </w:p>
    <w:p w14:paraId="4423F7E2" w14:textId="477FA4ED"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J. Humphreys, R. Lan and S. Tao, </w:t>
      </w:r>
      <w:r w:rsidRPr="00B779BE">
        <w:rPr>
          <w:rFonts w:ascii="Calibri" w:hAnsi="Calibri" w:cs="Calibri"/>
          <w:i/>
          <w:iCs/>
          <w:lang w:val="en-GB"/>
        </w:rPr>
        <w:t>Adv</w:t>
      </w:r>
      <w:r w:rsidR="001F1F26" w:rsidRPr="00B779BE">
        <w:rPr>
          <w:rFonts w:ascii="Calibri" w:hAnsi="Calibri" w:cs="Calibri"/>
          <w:i/>
          <w:iCs/>
          <w:lang w:val="en-GB"/>
        </w:rPr>
        <w:t>.</w:t>
      </w:r>
      <w:r w:rsidRPr="00B779BE">
        <w:rPr>
          <w:rFonts w:ascii="Calibri" w:hAnsi="Calibri" w:cs="Calibri"/>
          <w:i/>
          <w:iCs/>
          <w:lang w:val="en-GB"/>
        </w:rPr>
        <w:t xml:space="preserve"> Energy Sustainability Res</w:t>
      </w:r>
      <w:r w:rsidR="009B0151" w:rsidRPr="00B779BE">
        <w:rPr>
          <w:rFonts w:ascii="Calibri" w:hAnsi="Calibri" w:cs="Calibri"/>
          <w:i/>
          <w:iCs/>
          <w:lang w:val="en-GB"/>
        </w:rPr>
        <w:t>.</w:t>
      </w:r>
      <w:r w:rsidRPr="00B779BE">
        <w:rPr>
          <w:rFonts w:ascii="Calibri" w:hAnsi="Calibri" w:cs="Calibri"/>
          <w:lang w:val="en-GB"/>
        </w:rPr>
        <w:t xml:space="preserve">, 2021, </w:t>
      </w:r>
      <w:r w:rsidRPr="00B779BE">
        <w:rPr>
          <w:rFonts w:ascii="Calibri" w:hAnsi="Calibri" w:cs="Calibri"/>
          <w:b/>
          <w:bCs/>
          <w:lang w:val="en-GB"/>
        </w:rPr>
        <w:t>2</w:t>
      </w:r>
      <w:r w:rsidRPr="00B779BE">
        <w:rPr>
          <w:rFonts w:ascii="Calibri" w:hAnsi="Calibri" w:cs="Calibri"/>
          <w:lang w:val="en-GB"/>
        </w:rPr>
        <w:t>, 2000043.</w:t>
      </w:r>
    </w:p>
    <w:p w14:paraId="32E980BA"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O. Martin and J. Pérez-Ramírez, </w:t>
      </w:r>
      <w:r w:rsidRPr="00B779BE">
        <w:rPr>
          <w:rFonts w:ascii="Calibri" w:hAnsi="Calibri" w:cs="Calibri"/>
          <w:i/>
          <w:iCs/>
          <w:lang w:val="en-GB"/>
        </w:rPr>
        <w:t>Catal. Sci. Technol.</w:t>
      </w:r>
      <w:r w:rsidRPr="00B779BE">
        <w:rPr>
          <w:rFonts w:ascii="Calibri" w:hAnsi="Calibri" w:cs="Calibri"/>
          <w:lang w:val="en-GB"/>
        </w:rPr>
        <w:t xml:space="preserve">, 2013, </w:t>
      </w:r>
      <w:r w:rsidRPr="00B779BE">
        <w:rPr>
          <w:rFonts w:ascii="Calibri" w:hAnsi="Calibri" w:cs="Calibri"/>
          <w:b/>
          <w:bCs/>
          <w:lang w:val="en-GB"/>
        </w:rPr>
        <w:t>3</w:t>
      </w:r>
      <w:r w:rsidRPr="00B779BE">
        <w:rPr>
          <w:rFonts w:ascii="Calibri" w:hAnsi="Calibri" w:cs="Calibri"/>
          <w:lang w:val="en-GB"/>
        </w:rPr>
        <w:t>, 3343–3352.</w:t>
      </w:r>
    </w:p>
    <w:p w14:paraId="42FC416D"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lastRenderedPageBreak/>
        <w:t xml:space="preserve">F. Ausfelder, E. O. Herrman and L. F. López González, </w:t>
      </w:r>
      <w:r w:rsidRPr="00B779BE">
        <w:rPr>
          <w:rFonts w:ascii="Calibri" w:hAnsi="Calibri" w:cs="Calibri"/>
          <w:i/>
          <w:iCs/>
          <w:lang w:val="en-GB"/>
        </w:rPr>
        <w:t>Technology options for CO</w:t>
      </w:r>
      <w:r w:rsidRPr="00B779BE">
        <w:rPr>
          <w:rFonts w:ascii="Calibri" w:hAnsi="Calibri" w:cs="Calibri"/>
          <w:i/>
          <w:iCs/>
          <w:vertAlign w:val="subscript"/>
          <w:lang w:val="en-GB"/>
        </w:rPr>
        <w:t>2</w:t>
      </w:r>
      <w:r w:rsidRPr="00B779BE">
        <w:rPr>
          <w:rFonts w:ascii="Calibri" w:hAnsi="Calibri" w:cs="Calibri"/>
          <w:i/>
          <w:iCs/>
          <w:lang w:val="en-GB"/>
        </w:rPr>
        <w:t>-emission reduction of hydrogen feedstock in ammonia production</w:t>
      </w:r>
      <w:r w:rsidRPr="00B779BE">
        <w:rPr>
          <w:rFonts w:ascii="Calibri" w:hAnsi="Calibri" w:cs="Calibri"/>
          <w:lang w:val="en-GB"/>
        </w:rPr>
        <w:t>, DECHEMA Gesellschaft für Chemische Technik und Biotechnologie e.V, 2022.</w:t>
      </w:r>
    </w:p>
    <w:p w14:paraId="6266D4FA"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K. Smart, </w:t>
      </w:r>
      <w:r w:rsidRPr="00B779BE">
        <w:rPr>
          <w:rFonts w:ascii="Calibri" w:hAnsi="Calibri" w:cs="Calibri"/>
          <w:i/>
          <w:iCs/>
          <w:lang w:val="en-GB"/>
        </w:rPr>
        <w:t>Johnson Matthey Technol. Rev.</w:t>
      </w:r>
      <w:r w:rsidRPr="00B779BE">
        <w:rPr>
          <w:rFonts w:ascii="Calibri" w:hAnsi="Calibri" w:cs="Calibri"/>
          <w:lang w:val="en-GB"/>
        </w:rPr>
        <w:t xml:space="preserve">, 2022, </w:t>
      </w:r>
      <w:r w:rsidRPr="00B779BE">
        <w:rPr>
          <w:rFonts w:ascii="Calibri" w:hAnsi="Calibri" w:cs="Calibri"/>
          <w:b/>
          <w:bCs/>
          <w:lang w:val="en-GB"/>
        </w:rPr>
        <w:t>66</w:t>
      </w:r>
      <w:r w:rsidRPr="00B779BE">
        <w:rPr>
          <w:rFonts w:ascii="Calibri" w:hAnsi="Calibri" w:cs="Calibri"/>
          <w:lang w:val="en-GB"/>
        </w:rPr>
        <w:t>, 230–244.</w:t>
      </w:r>
    </w:p>
    <w:p w14:paraId="1E05679E"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IEA, </w:t>
      </w:r>
      <w:r w:rsidRPr="00B779BE">
        <w:rPr>
          <w:rFonts w:ascii="Calibri" w:hAnsi="Calibri" w:cs="Calibri"/>
          <w:i/>
          <w:iCs/>
          <w:lang w:val="en-GB"/>
        </w:rPr>
        <w:t>Technology Roadmap Energy and GHG Reductions in the Chemical Industry via Catalytic Processes</w:t>
      </w:r>
      <w:r w:rsidRPr="00B779BE">
        <w:rPr>
          <w:rFonts w:ascii="Calibri" w:hAnsi="Calibri" w:cs="Calibri"/>
          <w:lang w:val="en-GB"/>
        </w:rPr>
        <w:t>, International Energy Agency, 2013.</w:t>
      </w:r>
    </w:p>
    <w:p w14:paraId="5064E859"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J. Huo, Z. Wang, C. Oberschelp, G. Guillén-Gosálbez and S. Hellweg, </w:t>
      </w:r>
      <w:r w:rsidRPr="00B779BE">
        <w:rPr>
          <w:rFonts w:ascii="Calibri" w:hAnsi="Calibri" w:cs="Calibri"/>
          <w:i/>
          <w:iCs/>
          <w:lang w:val="en-GB"/>
        </w:rPr>
        <w:t>Green Chem.</w:t>
      </w:r>
      <w:r w:rsidRPr="00B779BE">
        <w:rPr>
          <w:rFonts w:ascii="Calibri" w:hAnsi="Calibri" w:cs="Calibri"/>
          <w:lang w:val="en-GB"/>
        </w:rPr>
        <w:t xml:space="preserve">, 2023, </w:t>
      </w:r>
      <w:r w:rsidRPr="00B779BE">
        <w:rPr>
          <w:rFonts w:ascii="Calibri" w:hAnsi="Calibri" w:cs="Calibri"/>
          <w:b/>
          <w:bCs/>
          <w:lang w:val="en-GB"/>
        </w:rPr>
        <w:t>25</w:t>
      </w:r>
      <w:r w:rsidRPr="00B779BE">
        <w:rPr>
          <w:rFonts w:ascii="Calibri" w:hAnsi="Calibri" w:cs="Calibri"/>
          <w:lang w:val="en-GB"/>
        </w:rPr>
        <w:t>, 415–430.</w:t>
      </w:r>
    </w:p>
    <w:p w14:paraId="4A3270E7"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S. C. D’Angelo, S. Cobo, V. Tulus, A. Nabera, A. J. Martín, J. Pérez-Ramírez and G. Guillén-Gosálbez, </w:t>
      </w:r>
      <w:r w:rsidRPr="00B779BE">
        <w:rPr>
          <w:rFonts w:ascii="Calibri" w:hAnsi="Calibri" w:cs="Calibri"/>
          <w:i/>
          <w:iCs/>
          <w:lang w:val="en-GB"/>
        </w:rPr>
        <w:t>ACS Sustain. Chem. Eng.</w:t>
      </w:r>
      <w:r w:rsidRPr="00B779BE">
        <w:rPr>
          <w:rFonts w:ascii="Calibri" w:hAnsi="Calibri" w:cs="Calibri"/>
          <w:lang w:val="en-GB"/>
        </w:rPr>
        <w:t xml:space="preserve">, 2021, </w:t>
      </w:r>
      <w:r w:rsidRPr="00B779BE">
        <w:rPr>
          <w:rFonts w:ascii="Calibri" w:hAnsi="Calibri" w:cs="Calibri"/>
          <w:b/>
          <w:bCs/>
          <w:lang w:val="en-GB"/>
        </w:rPr>
        <w:t>9</w:t>
      </w:r>
      <w:r w:rsidRPr="00B779BE">
        <w:rPr>
          <w:rFonts w:ascii="Calibri" w:hAnsi="Calibri" w:cs="Calibri"/>
          <w:lang w:val="en-GB"/>
        </w:rPr>
        <w:t>, 9740–9749.</w:t>
      </w:r>
    </w:p>
    <w:p w14:paraId="0C222E34"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Á. Galán-Martín, V. Tulus, I. Díaz, C. Pozo, J. Pérez-Ramírez and G. Guillén-Gosálbez, </w:t>
      </w:r>
      <w:r w:rsidRPr="00B779BE">
        <w:rPr>
          <w:rFonts w:ascii="Calibri" w:hAnsi="Calibri" w:cs="Calibri"/>
          <w:i/>
          <w:iCs/>
          <w:lang w:val="en-GB"/>
        </w:rPr>
        <w:t>One Earth</w:t>
      </w:r>
      <w:r w:rsidRPr="00B779BE">
        <w:rPr>
          <w:rFonts w:ascii="Calibri" w:hAnsi="Calibri" w:cs="Calibri"/>
          <w:lang w:val="en-GB"/>
        </w:rPr>
        <w:t xml:space="preserve">, 2021, </w:t>
      </w:r>
      <w:r w:rsidRPr="00B779BE">
        <w:rPr>
          <w:rFonts w:ascii="Calibri" w:hAnsi="Calibri" w:cs="Calibri"/>
          <w:b/>
          <w:bCs/>
          <w:lang w:val="en-GB"/>
        </w:rPr>
        <w:t>4</w:t>
      </w:r>
      <w:r w:rsidRPr="00B779BE">
        <w:rPr>
          <w:rFonts w:ascii="Calibri" w:hAnsi="Calibri" w:cs="Calibri"/>
          <w:lang w:val="en-GB"/>
        </w:rPr>
        <w:t>, 565–583.</w:t>
      </w:r>
    </w:p>
    <w:p w14:paraId="16534407"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I. Ioannou, Á. Galán-Martín, J. Pérez-Ramírez and G. Guillén-Gosálbez, </w:t>
      </w:r>
      <w:r w:rsidRPr="00B779BE">
        <w:rPr>
          <w:rFonts w:ascii="Calibri" w:hAnsi="Calibri" w:cs="Calibri"/>
          <w:i/>
          <w:iCs/>
          <w:lang w:val="en-GB"/>
        </w:rPr>
        <w:t>Energy Environ. Sci.</w:t>
      </w:r>
      <w:r w:rsidRPr="00B779BE">
        <w:rPr>
          <w:rFonts w:ascii="Calibri" w:hAnsi="Calibri" w:cs="Calibri"/>
          <w:lang w:val="en-GB"/>
        </w:rPr>
        <w:t xml:space="preserve">, 2023, </w:t>
      </w:r>
      <w:r w:rsidRPr="00B779BE">
        <w:rPr>
          <w:rFonts w:ascii="Calibri" w:hAnsi="Calibri" w:cs="Calibri"/>
          <w:b/>
          <w:bCs/>
          <w:lang w:val="en-GB"/>
        </w:rPr>
        <w:t>16</w:t>
      </w:r>
      <w:r w:rsidRPr="00B779BE">
        <w:rPr>
          <w:rFonts w:ascii="Calibri" w:hAnsi="Calibri" w:cs="Calibri"/>
          <w:lang w:val="en-GB"/>
        </w:rPr>
        <w:t>, 113–124.</w:t>
      </w:r>
    </w:p>
    <w:p w14:paraId="136590CB"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A. Kätelhön, R. Meys, S. Deutz, S. Suh and A. Bardow, </w:t>
      </w:r>
      <w:r w:rsidRPr="00B779BE">
        <w:rPr>
          <w:rFonts w:ascii="Calibri" w:hAnsi="Calibri" w:cs="Calibri"/>
          <w:i/>
          <w:iCs/>
          <w:lang w:val="en-GB"/>
        </w:rPr>
        <w:t>Proc. Natl. Acad. Sci. U.S.A.</w:t>
      </w:r>
      <w:r w:rsidRPr="00B779BE">
        <w:rPr>
          <w:rFonts w:ascii="Calibri" w:hAnsi="Calibri" w:cs="Calibri"/>
          <w:lang w:val="en-GB"/>
        </w:rPr>
        <w:t xml:space="preserve">, 2019, </w:t>
      </w:r>
      <w:r w:rsidRPr="00B779BE">
        <w:rPr>
          <w:rFonts w:ascii="Calibri" w:hAnsi="Calibri" w:cs="Calibri"/>
          <w:b/>
          <w:bCs/>
          <w:lang w:val="en-GB"/>
        </w:rPr>
        <w:t>116</w:t>
      </w:r>
      <w:r w:rsidRPr="00B779BE">
        <w:rPr>
          <w:rFonts w:ascii="Calibri" w:hAnsi="Calibri" w:cs="Calibri"/>
          <w:lang w:val="en-GB"/>
        </w:rPr>
        <w:t>, 11187–11194.</w:t>
      </w:r>
    </w:p>
    <w:p w14:paraId="3A7083D4"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C. Hepburn, E. Adlen, J. Beddington, E. A. Carter, S. Fuss, N. Mac Dowell, J. C. Minx, P. Smith and C. K. Williams, </w:t>
      </w:r>
      <w:r w:rsidRPr="00B779BE">
        <w:rPr>
          <w:rFonts w:ascii="Calibri" w:hAnsi="Calibri" w:cs="Calibri"/>
          <w:i/>
          <w:iCs/>
          <w:lang w:val="en-GB"/>
        </w:rPr>
        <w:t>Nature</w:t>
      </w:r>
      <w:r w:rsidRPr="00B779BE">
        <w:rPr>
          <w:rFonts w:ascii="Calibri" w:hAnsi="Calibri" w:cs="Calibri"/>
          <w:lang w:val="en-GB"/>
        </w:rPr>
        <w:t xml:space="preserve">, 2019, </w:t>
      </w:r>
      <w:r w:rsidRPr="00B779BE">
        <w:rPr>
          <w:rFonts w:ascii="Calibri" w:hAnsi="Calibri" w:cs="Calibri"/>
          <w:b/>
          <w:bCs/>
          <w:lang w:val="en-GB"/>
        </w:rPr>
        <w:t>575</w:t>
      </w:r>
      <w:r w:rsidRPr="00B779BE">
        <w:rPr>
          <w:rFonts w:ascii="Calibri" w:hAnsi="Calibri" w:cs="Calibri"/>
          <w:lang w:val="en-GB"/>
        </w:rPr>
        <w:t>, 87–97.</w:t>
      </w:r>
    </w:p>
    <w:p w14:paraId="097E2BD1"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A. González-Garay, M. S. Frei, A. Al-Qahtani, C. Mondelli, G. Guillén-Gosálbez and J. Pérez-Ramírez, </w:t>
      </w:r>
      <w:r w:rsidRPr="00B779BE">
        <w:rPr>
          <w:rFonts w:ascii="Calibri" w:hAnsi="Calibri" w:cs="Calibri"/>
          <w:i/>
          <w:iCs/>
          <w:lang w:val="en-GB"/>
        </w:rPr>
        <w:t>Energy Environ. Sci.</w:t>
      </w:r>
      <w:r w:rsidRPr="00B779BE">
        <w:rPr>
          <w:rFonts w:ascii="Calibri" w:hAnsi="Calibri" w:cs="Calibri"/>
          <w:lang w:val="en-GB"/>
        </w:rPr>
        <w:t xml:space="preserve">, 2019, </w:t>
      </w:r>
      <w:r w:rsidRPr="00B779BE">
        <w:rPr>
          <w:rFonts w:ascii="Calibri" w:hAnsi="Calibri" w:cs="Calibri"/>
          <w:b/>
          <w:bCs/>
          <w:lang w:val="en-GB"/>
        </w:rPr>
        <w:t>12</w:t>
      </w:r>
      <w:r w:rsidRPr="00B779BE">
        <w:rPr>
          <w:rFonts w:ascii="Calibri" w:hAnsi="Calibri" w:cs="Calibri"/>
          <w:lang w:val="en-GB"/>
        </w:rPr>
        <w:t>, 3425–3436.</w:t>
      </w:r>
    </w:p>
    <w:p w14:paraId="4863B58F"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A. Boulamanti and J. A. Moya, </w:t>
      </w:r>
      <w:r w:rsidRPr="00B779BE">
        <w:rPr>
          <w:rFonts w:ascii="Calibri" w:hAnsi="Calibri" w:cs="Calibri"/>
          <w:i/>
          <w:iCs/>
          <w:lang w:val="en-GB"/>
        </w:rPr>
        <w:t>Renew. Sust. Energ. Rev.</w:t>
      </w:r>
      <w:r w:rsidRPr="00B779BE">
        <w:rPr>
          <w:rFonts w:ascii="Calibri" w:hAnsi="Calibri" w:cs="Calibri"/>
          <w:lang w:val="en-GB"/>
        </w:rPr>
        <w:t xml:space="preserve">, 2017, </w:t>
      </w:r>
      <w:r w:rsidRPr="00B779BE">
        <w:rPr>
          <w:rFonts w:ascii="Calibri" w:hAnsi="Calibri" w:cs="Calibri"/>
          <w:b/>
          <w:bCs/>
          <w:lang w:val="en-GB"/>
        </w:rPr>
        <w:t>68</w:t>
      </w:r>
      <w:r w:rsidRPr="00B779BE">
        <w:rPr>
          <w:rFonts w:ascii="Calibri" w:hAnsi="Calibri" w:cs="Calibri"/>
          <w:lang w:val="en-GB"/>
        </w:rPr>
        <w:t>, 1205–1212.</w:t>
      </w:r>
    </w:p>
    <w:p w14:paraId="3439177A"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The World Bank, </w:t>
      </w:r>
      <w:r w:rsidRPr="00B779BE">
        <w:rPr>
          <w:rFonts w:ascii="Calibri" w:hAnsi="Calibri" w:cs="Calibri"/>
          <w:i/>
          <w:iCs/>
          <w:lang w:val="en-GB"/>
        </w:rPr>
        <w:t>Commodity Markets Outlook: The Impact of the War in Ukraine on Commodity Markets</w:t>
      </w:r>
      <w:r w:rsidRPr="00B779BE">
        <w:rPr>
          <w:rFonts w:ascii="Calibri" w:hAnsi="Calibri" w:cs="Calibri"/>
          <w:lang w:val="en-GB"/>
        </w:rPr>
        <w:t>, The World Bank Group, Washington DC, 2022.</w:t>
      </w:r>
    </w:p>
    <w:p w14:paraId="0D4665B6"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A. de Sousa, S. Gebre and S. Treloar, Europe’s Widening Fertilizer Crisis Threatens Food Supplies, https://www.bloomberg.com/news/articles/2022-08-25/yara-to-further-cut-european-ammonia-production-due-to-gas-spike, (accessed December 9, 2022).</w:t>
      </w:r>
    </w:p>
    <w:p w14:paraId="60B8A80B"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J. Lopez, EPCA ’22, https://www.icis.com/explore/resources/news/2022/10/04/10811649/epca-22-european-shut-ammonia-production-unlikely-to-return-analyst, (accessed December 9, 2022).</w:t>
      </w:r>
    </w:p>
    <w:p w14:paraId="27139F4A"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cefic, </w:t>
      </w:r>
      <w:r w:rsidRPr="00B779BE">
        <w:rPr>
          <w:rFonts w:ascii="Calibri" w:hAnsi="Calibri" w:cs="Calibri"/>
          <w:i/>
          <w:iCs/>
          <w:lang w:val="en-GB"/>
        </w:rPr>
        <w:t>The European Chemical Industry - Facts &amp; Figures 2022</w:t>
      </w:r>
      <w:r w:rsidRPr="00B779BE">
        <w:rPr>
          <w:rFonts w:ascii="Calibri" w:hAnsi="Calibri" w:cs="Calibri"/>
          <w:lang w:val="en-GB"/>
        </w:rPr>
        <w:t>, European Chemical Industry Council, 2022.</w:t>
      </w:r>
    </w:p>
    <w:p w14:paraId="36D2A5F0"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IRENA, </w:t>
      </w:r>
      <w:r w:rsidRPr="00B779BE">
        <w:rPr>
          <w:rFonts w:ascii="Calibri" w:hAnsi="Calibri" w:cs="Calibri"/>
          <w:i/>
          <w:iCs/>
          <w:lang w:val="en-GB"/>
        </w:rPr>
        <w:t>Making the breakthrough: Green hydrogen policies and technology costs</w:t>
      </w:r>
      <w:r w:rsidRPr="00B779BE">
        <w:rPr>
          <w:rFonts w:ascii="Calibri" w:hAnsi="Calibri" w:cs="Calibri"/>
          <w:lang w:val="en-GB"/>
        </w:rPr>
        <w:t>, International Renewable Energy Agency, Abu Dhabi, 2021.</w:t>
      </w:r>
    </w:p>
    <w:p w14:paraId="4A34A9AD"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B. Parkinson, P. Balcombe, J. F. Speirs, A. D. Hawkes and K. Hellgardt, </w:t>
      </w:r>
      <w:r w:rsidRPr="00B779BE">
        <w:rPr>
          <w:rFonts w:ascii="Calibri" w:hAnsi="Calibri" w:cs="Calibri"/>
          <w:i/>
          <w:iCs/>
          <w:lang w:val="en-GB"/>
        </w:rPr>
        <w:t>Energy Environ. Sci.</w:t>
      </w:r>
      <w:r w:rsidRPr="00B779BE">
        <w:rPr>
          <w:rFonts w:ascii="Calibri" w:hAnsi="Calibri" w:cs="Calibri"/>
          <w:lang w:val="en-GB"/>
        </w:rPr>
        <w:t xml:space="preserve">, 2019, </w:t>
      </w:r>
      <w:r w:rsidRPr="00B779BE">
        <w:rPr>
          <w:rFonts w:ascii="Calibri" w:hAnsi="Calibri" w:cs="Calibri"/>
          <w:b/>
          <w:bCs/>
          <w:lang w:val="en-GB"/>
        </w:rPr>
        <w:t>12</w:t>
      </w:r>
      <w:r w:rsidRPr="00B779BE">
        <w:rPr>
          <w:rFonts w:ascii="Calibri" w:hAnsi="Calibri" w:cs="Calibri"/>
          <w:lang w:val="en-GB"/>
        </w:rPr>
        <w:t>, 19–40.</w:t>
      </w:r>
    </w:p>
    <w:p w14:paraId="615E223E"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D. W. Keith, G. Holmes, D. St. Angelo and K. Heidel, </w:t>
      </w:r>
      <w:r w:rsidRPr="00B779BE">
        <w:rPr>
          <w:rFonts w:ascii="Calibri" w:hAnsi="Calibri" w:cs="Calibri"/>
          <w:i/>
          <w:iCs/>
          <w:lang w:val="en-GB"/>
        </w:rPr>
        <w:t>Joule</w:t>
      </w:r>
      <w:r w:rsidRPr="00B779BE">
        <w:rPr>
          <w:rFonts w:ascii="Calibri" w:hAnsi="Calibri" w:cs="Calibri"/>
          <w:lang w:val="en-GB"/>
        </w:rPr>
        <w:t xml:space="preserve">, 2018, </w:t>
      </w:r>
      <w:r w:rsidRPr="00B779BE">
        <w:rPr>
          <w:rFonts w:ascii="Calibri" w:hAnsi="Calibri" w:cs="Calibri"/>
          <w:b/>
          <w:bCs/>
          <w:lang w:val="en-GB"/>
        </w:rPr>
        <w:t>2</w:t>
      </w:r>
      <w:r w:rsidRPr="00B779BE">
        <w:rPr>
          <w:rFonts w:ascii="Calibri" w:hAnsi="Calibri" w:cs="Calibri"/>
          <w:lang w:val="en-GB"/>
        </w:rPr>
        <w:t>, 1573–1594.</w:t>
      </w:r>
    </w:p>
    <w:p w14:paraId="7354A0E7"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IEA, </w:t>
      </w:r>
      <w:r w:rsidRPr="00B779BE">
        <w:rPr>
          <w:rFonts w:ascii="Calibri" w:hAnsi="Calibri" w:cs="Calibri"/>
          <w:i/>
          <w:iCs/>
          <w:lang w:val="en-GB"/>
        </w:rPr>
        <w:t>How to Avoid Gas Shortages in the European Union in 2023</w:t>
      </w:r>
      <w:r w:rsidRPr="00B779BE">
        <w:rPr>
          <w:rFonts w:ascii="Calibri" w:hAnsi="Calibri" w:cs="Calibri"/>
          <w:lang w:val="en-GB"/>
        </w:rPr>
        <w:t>, International Energy Agency, 2022.</w:t>
      </w:r>
    </w:p>
    <w:p w14:paraId="10ADABD7"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R. Way, M. C. Ives, P. Mealy and J. D. Farmer, </w:t>
      </w:r>
      <w:r w:rsidRPr="00B779BE">
        <w:rPr>
          <w:rFonts w:ascii="Calibri" w:hAnsi="Calibri" w:cs="Calibri"/>
          <w:i/>
          <w:iCs/>
          <w:lang w:val="en-GB"/>
        </w:rPr>
        <w:t>Joule</w:t>
      </w:r>
      <w:r w:rsidRPr="00B779BE">
        <w:rPr>
          <w:rFonts w:ascii="Calibri" w:hAnsi="Calibri" w:cs="Calibri"/>
          <w:lang w:val="en-GB"/>
        </w:rPr>
        <w:t xml:space="preserve">, 2022, </w:t>
      </w:r>
      <w:r w:rsidRPr="00B779BE">
        <w:rPr>
          <w:rFonts w:ascii="Calibri" w:hAnsi="Calibri" w:cs="Calibri"/>
          <w:b/>
          <w:bCs/>
          <w:lang w:val="en-GB"/>
        </w:rPr>
        <w:t>6</w:t>
      </w:r>
      <w:r w:rsidRPr="00B779BE">
        <w:rPr>
          <w:rFonts w:ascii="Calibri" w:hAnsi="Calibri" w:cs="Calibri"/>
          <w:lang w:val="en-GB"/>
        </w:rPr>
        <w:t>, 2057–2082.</w:t>
      </w:r>
    </w:p>
    <w:p w14:paraId="71A61C90"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T. N. Do, C. You and J. Kim, </w:t>
      </w:r>
      <w:r w:rsidRPr="00B779BE">
        <w:rPr>
          <w:rFonts w:ascii="Calibri" w:hAnsi="Calibri" w:cs="Calibri"/>
          <w:i/>
          <w:iCs/>
          <w:lang w:val="en-GB"/>
        </w:rPr>
        <w:t>Energy Environ. Sci.</w:t>
      </w:r>
      <w:r w:rsidRPr="00B779BE">
        <w:rPr>
          <w:rFonts w:ascii="Calibri" w:hAnsi="Calibri" w:cs="Calibri"/>
          <w:lang w:val="en-GB"/>
        </w:rPr>
        <w:t xml:space="preserve">, 2022, </w:t>
      </w:r>
      <w:r w:rsidRPr="00B779BE">
        <w:rPr>
          <w:rFonts w:ascii="Calibri" w:hAnsi="Calibri" w:cs="Calibri"/>
          <w:b/>
          <w:bCs/>
          <w:lang w:val="en-GB"/>
        </w:rPr>
        <w:t>15</w:t>
      </w:r>
      <w:r w:rsidRPr="00B779BE">
        <w:rPr>
          <w:rFonts w:ascii="Calibri" w:hAnsi="Calibri" w:cs="Calibri"/>
          <w:lang w:val="en-GB"/>
        </w:rPr>
        <w:t>, 169–184.</w:t>
      </w:r>
    </w:p>
    <w:p w14:paraId="0CA2A8C4"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European Commission, </w:t>
      </w:r>
      <w:r w:rsidRPr="00B779BE">
        <w:rPr>
          <w:rFonts w:ascii="Calibri" w:hAnsi="Calibri" w:cs="Calibri"/>
          <w:i/>
          <w:iCs/>
          <w:lang w:val="en-GB"/>
        </w:rPr>
        <w:t>“Fit for 55”: delivering the EU’s 2030 Climate Target on the way to climate neutrality</w:t>
      </w:r>
      <w:r w:rsidRPr="00B779BE">
        <w:rPr>
          <w:rFonts w:ascii="Calibri" w:hAnsi="Calibri" w:cs="Calibri"/>
          <w:lang w:val="en-GB"/>
        </w:rPr>
        <w:t>, COM (2021) 550 final, Brussels, 2021.</w:t>
      </w:r>
    </w:p>
    <w:p w14:paraId="573122C5"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L. Klaaßen and B. Steffen, </w:t>
      </w:r>
      <w:r w:rsidRPr="00B779BE">
        <w:rPr>
          <w:rFonts w:ascii="Calibri" w:hAnsi="Calibri" w:cs="Calibri"/>
          <w:i/>
          <w:iCs/>
          <w:lang w:val="en-GB"/>
        </w:rPr>
        <w:t>Nat. Clim. Chang.</w:t>
      </w:r>
      <w:r w:rsidRPr="00B779BE">
        <w:rPr>
          <w:rFonts w:ascii="Calibri" w:hAnsi="Calibri" w:cs="Calibri"/>
          <w:lang w:val="en-GB"/>
        </w:rPr>
        <w:t xml:space="preserve">, 2023, </w:t>
      </w:r>
      <w:r w:rsidRPr="00B779BE">
        <w:rPr>
          <w:rFonts w:ascii="Calibri" w:hAnsi="Calibri" w:cs="Calibri"/>
          <w:b/>
          <w:bCs/>
          <w:lang w:val="en-GB"/>
        </w:rPr>
        <w:t>13</w:t>
      </w:r>
      <w:r w:rsidRPr="00B779BE">
        <w:rPr>
          <w:rFonts w:ascii="Calibri" w:hAnsi="Calibri" w:cs="Calibri"/>
          <w:lang w:val="en-GB"/>
        </w:rPr>
        <w:t>, 58–66.</w:t>
      </w:r>
    </w:p>
    <w:p w14:paraId="130FC8EB" w14:textId="058AAE83"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A. J. Shih, M. C. O. Monteiro, F. Dattila, D. Pavesi, M. Philips, A. H. M. da Silva, R. E. Vos, K. Ojha, S. Park, O. van der Heijden, G. Marcandalli, A. Goyal, M. Villalba, X. Chen, G. T. K. K. Gunasooriya, I. McCrum, R. Mom, N. López and M. T. M. Koper, </w:t>
      </w:r>
      <w:r w:rsidRPr="00B779BE">
        <w:rPr>
          <w:rFonts w:ascii="Calibri" w:hAnsi="Calibri" w:cs="Calibri"/>
          <w:i/>
          <w:iCs/>
          <w:lang w:val="en-GB"/>
        </w:rPr>
        <w:t>Nat. Rev. Methods Prim</w:t>
      </w:r>
      <w:r w:rsidR="00105BA1" w:rsidRPr="00B779BE">
        <w:rPr>
          <w:rFonts w:ascii="Calibri" w:hAnsi="Calibri" w:cs="Calibri"/>
          <w:i/>
          <w:iCs/>
          <w:lang w:val="en-GB"/>
        </w:rPr>
        <w:t>.</w:t>
      </w:r>
      <w:r w:rsidRPr="00B779BE">
        <w:rPr>
          <w:rFonts w:ascii="Calibri" w:hAnsi="Calibri" w:cs="Calibri"/>
          <w:lang w:val="en-GB"/>
        </w:rPr>
        <w:t xml:space="preserve">, 2022, </w:t>
      </w:r>
      <w:r w:rsidRPr="00B779BE">
        <w:rPr>
          <w:rFonts w:ascii="Calibri" w:hAnsi="Calibri" w:cs="Calibri"/>
          <w:b/>
          <w:bCs/>
          <w:lang w:val="en-GB"/>
        </w:rPr>
        <w:t>2</w:t>
      </w:r>
      <w:r w:rsidRPr="00B779BE">
        <w:rPr>
          <w:rFonts w:ascii="Calibri" w:hAnsi="Calibri" w:cs="Calibri"/>
          <w:lang w:val="en-GB"/>
        </w:rPr>
        <w:t>, 1–19.</w:t>
      </w:r>
    </w:p>
    <w:p w14:paraId="5F9BA1AE"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M. Chatenet, B. G. Pollet, D. R. Dekel, F. Dionigi, J. Deseure, P. Millet, R. D. Braatz, M. Z. Bazant, M. Eikerling, I. Staffell, P. Balcombe, Y. Shao-Horn and H. Schäfer, </w:t>
      </w:r>
      <w:r w:rsidRPr="00B779BE">
        <w:rPr>
          <w:rFonts w:ascii="Calibri" w:hAnsi="Calibri" w:cs="Calibri"/>
          <w:i/>
          <w:iCs/>
          <w:lang w:val="en-GB"/>
        </w:rPr>
        <w:t>Chem. Soc. Rev.</w:t>
      </w:r>
      <w:r w:rsidRPr="00B779BE">
        <w:rPr>
          <w:rFonts w:ascii="Calibri" w:hAnsi="Calibri" w:cs="Calibri"/>
          <w:lang w:val="en-GB"/>
        </w:rPr>
        <w:t xml:space="preserve">, 2022, </w:t>
      </w:r>
      <w:r w:rsidRPr="00B779BE">
        <w:rPr>
          <w:rFonts w:ascii="Calibri" w:hAnsi="Calibri" w:cs="Calibri"/>
          <w:b/>
          <w:bCs/>
          <w:lang w:val="en-GB"/>
        </w:rPr>
        <w:t>51</w:t>
      </w:r>
      <w:r w:rsidRPr="00B779BE">
        <w:rPr>
          <w:rFonts w:ascii="Calibri" w:hAnsi="Calibri" w:cs="Calibri"/>
          <w:lang w:val="en-GB"/>
        </w:rPr>
        <w:t>, 4583–4762.</w:t>
      </w:r>
    </w:p>
    <w:p w14:paraId="709686E5"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A. J. Martín and J. Pérez-Ramírez, </w:t>
      </w:r>
      <w:r w:rsidRPr="00B779BE">
        <w:rPr>
          <w:rFonts w:ascii="Calibri" w:hAnsi="Calibri" w:cs="Calibri"/>
          <w:i/>
          <w:iCs/>
          <w:lang w:val="en-GB"/>
        </w:rPr>
        <w:t>Joule</w:t>
      </w:r>
      <w:r w:rsidRPr="00B779BE">
        <w:rPr>
          <w:rFonts w:ascii="Calibri" w:hAnsi="Calibri" w:cs="Calibri"/>
          <w:lang w:val="en-GB"/>
        </w:rPr>
        <w:t xml:space="preserve">, 2019, </w:t>
      </w:r>
      <w:r w:rsidRPr="00B779BE">
        <w:rPr>
          <w:rFonts w:ascii="Calibri" w:hAnsi="Calibri" w:cs="Calibri"/>
          <w:b/>
          <w:bCs/>
          <w:lang w:val="en-GB"/>
        </w:rPr>
        <w:t>3</w:t>
      </w:r>
      <w:r w:rsidRPr="00B779BE">
        <w:rPr>
          <w:rFonts w:ascii="Calibri" w:hAnsi="Calibri" w:cs="Calibri"/>
          <w:lang w:val="en-GB"/>
        </w:rPr>
        <w:t>, 2602–2621.</w:t>
      </w:r>
    </w:p>
    <w:p w14:paraId="59C1F49A" w14:textId="4B3E341E"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O. Martin, A. J. Martín, C. Mondelli, S. Mitchell, T. F. Segawa, R. Hauert, C. Drouilly, D. Curulla-Ferré and J. Pérez-Ramírez, </w:t>
      </w:r>
      <w:r w:rsidRPr="00B779BE">
        <w:rPr>
          <w:rFonts w:ascii="Calibri" w:hAnsi="Calibri" w:cs="Calibri"/>
          <w:i/>
          <w:iCs/>
          <w:lang w:val="en-GB"/>
        </w:rPr>
        <w:t>Angew. Chem., Int. Ed.</w:t>
      </w:r>
      <w:r w:rsidRPr="00B779BE">
        <w:rPr>
          <w:rFonts w:ascii="Calibri" w:hAnsi="Calibri" w:cs="Calibri"/>
          <w:lang w:val="en-GB"/>
        </w:rPr>
        <w:t xml:space="preserve">, 2016, </w:t>
      </w:r>
      <w:r w:rsidRPr="00B779BE">
        <w:rPr>
          <w:rFonts w:ascii="Calibri" w:hAnsi="Calibri" w:cs="Calibri"/>
          <w:b/>
          <w:bCs/>
          <w:lang w:val="en-GB"/>
        </w:rPr>
        <w:t>55</w:t>
      </w:r>
      <w:r w:rsidRPr="00B779BE">
        <w:rPr>
          <w:rFonts w:ascii="Calibri" w:hAnsi="Calibri" w:cs="Calibri"/>
          <w:lang w:val="en-GB"/>
        </w:rPr>
        <w:t>, 6261–6265.</w:t>
      </w:r>
    </w:p>
    <w:p w14:paraId="00D1AA11"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lastRenderedPageBreak/>
        <w:t xml:space="preserve">T. Pinheiro Araújo, C. Mondelli, M. Agrachev, T. Zou, P. O. Willi, K. M. Engel, R. N. Grass, W. J. Stark, O. V. Safonova, G. Jeschke, S. Mitchell and J. Pérez-Ramírez, </w:t>
      </w:r>
      <w:r w:rsidRPr="00B779BE">
        <w:rPr>
          <w:rFonts w:ascii="Calibri" w:hAnsi="Calibri" w:cs="Calibri"/>
          <w:i/>
          <w:iCs/>
          <w:lang w:val="en-GB"/>
        </w:rPr>
        <w:t>Nat. Commun.</w:t>
      </w:r>
      <w:r w:rsidRPr="00B779BE">
        <w:rPr>
          <w:rFonts w:ascii="Calibri" w:hAnsi="Calibri" w:cs="Calibri"/>
          <w:lang w:val="en-GB"/>
        </w:rPr>
        <w:t xml:space="preserve">, 2022, </w:t>
      </w:r>
      <w:r w:rsidRPr="00B779BE">
        <w:rPr>
          <w:rFonts w:ascii="Calibri" w:hAnsi="Calibri" w:cs="Calibri"/>
          <w:b/>
          <w:bCs/>
          <w:lang w:val="en-GB"/>
        </w:rPr>
        <w:t>13</w:t>
      </w:r>
      <w:r w:rsidRPr="00B779BE">
        <w:rPr>
          <w:rFonts w:ascii="Calibri" w:hAnsi="Calibri" w:cs="Calibri"/>
          <w:lang w:val="en-GB"/>
        </w:rPr>
        <w:t>, 5610.</w:t>
      </w:r>
    </w:p>
    <w:p w14:paraId="0675F3CB"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J. Wang, G. Li, Z. Li, C. Tang, Z. Feng, H. An, H. Liu, T. Liu and C. Li, </w:t>
      </w:r>
      <w:r w:rsidRPr="00B779BE">
        <w:rPr>
          <w:rFonts w:ascii="Calibri" w:hAnsi="Calibri" w:cs="Calibri"/>
          <w:i/>
          <w:iCs/>
          <w:lang w:val="en-GB"/>
        </w:rPr>
        <w:t>Sci. Adv.</w:t>
      </w:r>
      <w:r w:rsidRPr="00B779BE">
        <w:rPr>
          <w:rFonts w:ascii="Calibri" w:hAnsi="Calibri" w:cs="Calibri"/>
          <w:lang w:val="en-GB"/>
        </w:rPr>
        <w:t xml:space="preserve">, 2017, </w:t>
      </w:r>
      <w:r w:rsidRPr="00B779BE">
        <w:rPr>
          <w:rFonts w:ascii="Calibri" w:hAnsi="Calibri" w:cs="Calibri"/>
          <w:b/>
          <w:bCs/>
          <w:lang w:val="en-GB"/>
        </w:rPr>
        <w:t>3</w:t>
      </w:r>
      <w:r w:rsidRPr="00B779BE">
        <w:rPr>
          <w:rFonts w:ascii="Calibri" w:hAnsi="Calibri" w:cs="Calibri"/>
          <w:lang w:val="en-GB"/>
        </w:rPr>
        <w:t>, e1701290.</w:t>
      </w:r>
    </w:p>
    <w:p w14:paraId="76166D43"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T. Pinheiro Araújo, J. Morales-Vidal, T. Zou, R. García-Muelas, P. O. Willi, K. M. Engel, O. V. Safonova, D. Faust Akl, F. Krumeich, R. N. Grass, C. Mondelli, N. López and J. Pérez-Ramírez, </w:t>
      </w:r>
      <w:r w:rsidRPr="00B779BE">
        <w:rPr>
          <w:rFonts w:ascii="Calibri" w:hAnsi="Calibri" w:cs="Calibri"/>
          <w:i/>
          <w:iCs/>
          <w:lang w:val="en-GB"/>
        </w:rPr>
        <w:t>Adv. Energy Mater.</w:t>
      </w:r>
      <w:r w:rsidRPr="00B779BE">
        <w:rPr>
          <w:rFonts w:ascii="Calibri" w:hAnsi="Calibri" w:cs="Calibri"/>
          <w:lang w:val="en-GB"/>
        </w:rPr>
        <w:t xml:space="preserve">, 2022, </w:t>
      </w:r>
      <w:r w:rsidRPr="00B779BE">
        <w:rPr>
          <w:rFonts w:ascii="Calibri" w:hAnsi="Calibri" w:cs="Calibri"/>
          <w:b/>
          <w:bCs/>
          <w:lang w:val="en-GB"/>
        </w:rPr>
        <w:t>12</w:t>
      </w:r>
      <w:r w:rsidRPr="00B779BE">
        <w:rPr>
          <w:rFonts w:ascii="Calibri" w:hAnsi="Calibri" w:cs="Calibri"/>
          <w:lang w:val="en-GB"/>
        </w:rPr>
        <w:t>, 2270056.</w:t>
      </w:r>
    </w:p>
    <w:p w14:paraId="556AA9B8"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S. Nitopi, E. Bertheussen, S. B. Scott, X. Liu, A. K. Engstfeld, S. Horch, B. Seger, I. E. L. Stephens, K. Chan, C. Hahn, J. K. Nørskov, T. F. Jaramillo and I. Chorkendorff, </w:t>
      </w:r>
      <w:r w:rsidRPr="00B779BE">
        <w:rPr>
          <w:rFonts w:ascii="Calibri" w:hAnsi="Calibri" w:cs="Calibri"/>
          <w:i/>
          <w:iCs/>
          <w:lang w:val="en-GB"/>
        </w:rPr>
        <w:t>Chem. Rev.</w:t>
      </w:r>
      <w:r w:rsidRPr="00B779BE">
        <w:rPr>
          <w:rFonts w:ascii="Calibri" w:hAnsi="Calibri" w:cs="Calibri"/>
          <w:lang w:val="en-GB"/>
        </w:rPr>
        <w:t xml:space="preserve">, 2019, </w:t>
      </w:r>
      <w:r w:rsidRPr="00B779BE">
        <w:rPr>
          <w:rFonts w:ascii="Calibri" w:hAnsi="Calibri" w:cs="Calibri"/>
          <w:b/>
          <w:bCs/>
          <w:lang w:val="en-GB"/>
        </w:rPr>
        <w:t>119</w:t>
      </w:r>
      <w:r w:rsidRPr="00B779BE">
        <w:rPr>
          <w:rFonts w:ascii="Calibri" w:hAnsi="Calibri" w:cs="Calibri"/>
          <w:lang w:val="en-GB"/>
        </w:rPr>
        <w:t>, 7610–7672.</w:t>
      </w:r>
    </w:p>
    <w:p w14:paraId="77FDD487"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G. Zhang, T. Wang, M. Zhang, L. Li, D. Cheng, S. Zhen, Y. Wang, J. Qin, Z.-J. Zhao and J. Gong, </w:t>
      </w:r>
      <w:r w:rsidRPr="00B779BE">
        <w:rPr>
          <w:rFonts w:ascii="Calibri" w:hAnsi="Calibri" w:cs="Calibri"/>
          <w:i/>
          <w:iCs/>
          <w:lang w:val="en-GB"/>
        </w:rPr>
        <w:t>Nat. Commun.</w:t>
      </w:r>
      <w:r w:rsidRPr="00B779BE">
        <w:rPr>
          <w:rFonts w:ascii="Calibri" w:hAnsi="Calibri" w:cs="Calibri"/>
          <w:lang w:val="en-GB"/>
        </w:rPr>
        <w:t xml:space="preserve">, 2022, </w:t>
      </w:r>
      <w:r w:rsidRPr="00B779BE">
        <w:rPr>
          <w:rFonts w:ascii="Calibri" w:hAnsi="Calibri" w:cs="Calibri"/>
          <w:b/>
          <w:bCs/>
          <w:lang w:val="en-GB"/>
        </w:rPr>
        <w:t>13</w:t>
      </w:r>
      <w:r w:rsidRPr="00B779BE">
        <w:rPr>
          <w:rFonts w:ascii="Calibri" w:hAnsi="Calibri" w:cs="Calibri"/>
          <w:lang w:val="en-GB"/>
        </w:rPr>
        <w:t>, 7768.</w:t>
      </w:r>
    </w:p>
    <w:p w14:paraId="5FCF3354"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ISO 14040:2006, </w:t>
      </w:r>
      <w:r w:rsidRPr="00B779BE">
        <w:rPr>
          <w:rFonts w:ascii="Calibri" w:hAnsi="Calibri" w:cs="Calibri"/>
          <w:i/>
          <w:iCs/>
          <w:lang w:val="en-GB"/>
        </w:rPr>
        <w:t>Environmental management — Life cycle assessment — Principles and framework</w:t>
      </w:r>
      <w:r w:rsidRPr="00B779BE">
        <w:rPr>
          <w:rFonts w:ascii="Calibri" w:hAnsi="Calibri" w:cs="Calibri"/>
          <w:lang w:val="en-GB"/>
        </w:rPr>
        <w:t>, 2006.</w:t>
      </w:r>
    </w:p>
    <w:p w14:paraId="2AF11A1F"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ISO 14044:2006, </w:t>
      </w:r>
      <w:r w:rsidRPr="00B779BE">
        <w:rPr>
          <w:rFonts w:ascii="Calibri" w:hAnsi="Calibri" w:cs="Calibri"/>
          <w:i/>
          <w:iCs/>
          <w:lang w:val="en-GB"/>
        </w:rPr>
        <w:t>Environmental management — Life cycle assessment — Requirements and guidelines</w:t>
      </w:r>
      <w:r w:rsidRPr="00B779BE">
        <w:rPr>
          <w:rFonts w:ascii="Calibri" w:hAnsi="Calibri" w:cs="Calibri"/>
          <w:lang w:val="en-GB"/>
        </w:rPr>
        <w:t>, 2006.</w:t>
      </w:r>
    </w:p>
    <w:p w14:paraId="7E83F3B8"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S. Hellweg and L. Milà i Canals, </w:t>
      </w:r>
      <w:r w:rsidRPr="00B779BE">
        <w:rPr>
          <w:rFonts w:ascii="Calibri" w:hAnsi="Calibri" w:cs="Calibri"/>
          <w:i/>
          <w:iCs/>
          <w:lang w:val="en-GB"/>
        </w:rPr>
        <w:t>Science</w:t>
      </w:r>
      <w:r w:rsidRPr="00B779BE">
        <w:rPr>
          <w:rFonts w:ascii="Calibri" w:hAnsi="Calibri" w:cs="Calibri"/>
          <w:lang w:val="en-GB"/>
        </w:rPr>
        <w:t xml:space="preserve">, 2014, </w:t>
      </w:r>
      <w:r w:rsidRPr="00B779BE">
        <w:rPr>
          <w:rFonts w:ascii="Calibri" w:hAnsi="Calibri" w:cs="Calibri"/>
          <w:b/>
          <w:bCs/>
          <w:lang w:val="en-GB"/>
        </w:rPr>
        <w:t>344</w:t>
      </w:r>
      <w:r w:rsidRPr="00B779BE">
        <w:rPr>
          <w:rFonts w:ascii="Calibri" w:hAnsi="Calibri" w:cs="Calibri"/>
          <w:lang w:val="en-GB"/>
        </w:rPr>
        <w:t>, 1109–1113.</w:t>
      </w:r>
    </w:p>
    <w:p w14:paraId="2729DF98" w14:textId="77777777" w:rsidR="008A3579" w:rsidRPr="00B779BE" w:rsidRDefault="008A3579" w:rsidP="00D22FEC">
      <w:pPr>
        <w:pStyle w:val="Bibliography"/>
        <w:numPr>
          <w:ilvl w:val="0"/>
          <w:numId w:val="1"/>
        </w:numPr>
        <w:spacing w:after="0"/>
        <w:ind w:left="360"/>
        <w:jc w:val="both"/>
        <w:rPr>
          <w:rFonts w:ascii="Calibri" w:hAnsi="Calibri" w:cs="Calibri"/>
          <w:lang w:val="en-GB"/>
        </w:rPr>
      </w:pPr>
      <w:r w:rsidRPr="00B779BE">
        <w:rPr>
          <w:rFonts w:ascii="Calibri" w:hAnsi="Calibri" w:cs="Calibri"/>
          <w:lang w:val="en-GB"/>
        </w:rPr>
        <w:t xml:space="preserve">G. Wernet, C. Bauer, B. Steubing, J. Reinhard, E. Moreno-Ruiz and B. Weidema, </w:t>
      </w:r>
      <w:r w:rsidRPr="00B779BE">
        <w:rPr>
          <w:rFonts w:ascii="Calibri" w:hAnsi="Calibri" w:cs="Calibri"/>
          <w:i/>
          <w:iCs/>
          <w:lang w:val="en-GB"/>
        </w:rPr>
        <w:t>Int. J. Life Cycle Assess.</w:t>
      </w:r>
      <w:r w:rsidRPr="00B779BE">
        <w:rPr>
          <w:rFonts w:ascii="Calibri" w:hAnsi="Calibri" w:cs="Calibri"/>
          <w:lang w:val="en-GB"/>
        </w:rPr>
        <w:t xml:space="preserve">, 2016, </w:t>
      </w:r>
      <w:r w:rsidRPr="00B779BE">
        <w:rPr>
          <w:rFonts w:ascii="Calibri" w:hAnsi="Calibri" w:cs="Calibri"/>
          <w:b/>
          <w:bCs/>
          <w:lang w:val="en-GB"/>
        </w:rPr>
        <w:t>21</w:t>
      </w:r>
      <w:r w:rsidRPr="00B779BE">
        <w:rPr>
          <w:rFonts w:ascii="Calibri" w:hAnsi="Calibri" w:cs="Calibri"/>
          <w:lang w:val="en-GB"/>
        </w:rPr>
        <w:t>, 1218–1230.</w:t>
      </w:r>
    </w:p>
    <w:p w14:paraId="0F93D0B6" w14:textId="544E1528" w:rsidR="001247FE" w:rsidRPr="00B779BE" w:rsidRDefault="008A3579" w:rsidP="00D22FEC">
      <w:pPr>
        <w:pStyle w:val="Bibliography"/>
        <w:numPr>
          <w:ilvl w:val="0"/>
          <w:numId w:val="1"/>
        </w:numPr>
        <w:spacing w:after="0"/>
        <w:ind w:left="360"/>
        <w:jc w:val="both"/>
        <w:rPr>
          <w:lang w:val="en-GB"/>
        </w:rPr>
      </w:pPr>
      <w:r w:rsidRPr="00B779BE">
        <w:rPr>
          <w:rFonts w:ascii="Calibri" w:hAnsi="Calibri" w:cs="Calibri"/>
          <w:lang w:val="en-GB"/>
        </w:rPr>
        <w:t xml:space="preserve">M. A. J. Huijbregts, Z. J. N. Steinmann, P. M. F. Elshout, G. Stam, F. Verones, M. Vieira, M. Zijp, A. Hollander and R. van Zelm, </w:t>
      </w:r>
      <w:r w:rsidRPr="00B779BE">
        <w:rPr>
          <w:rFonts w:ascii="Calibri" w:hAnsi="Calibri" w:cs="Calibri"/>
          <w:i/>
          <w:iCs/>
          <w:lang w:val="en-GB"/>
        </w:rPr>
        <w:t>Int. J. Life Cycle Assess.</w:t>
      </w:r>
      <w:r w:rsidRPr="00B779BE">
        <w:rPr>
          <w:rFonts w:ascii="Calibri" w:hAnsi="Calibri" w:cs="Calibri"/>
          <w:lang w:val="en-GB"/>
        </w:rPr>
        <w:t xml:space="preserve">, 2017, </w:t>
      </w:r>
      <w:r w:rsidRPr="00B779BE">
        <w:rPr>
          <w:rFonts w:ascii="Calibri" w:hAnsi="Calibri" w:cs="Calibri"/>
          <w:b/>
          <w:bCs/>
          <w:lang w:val="en-GB"/>
        </w:rPr>
        <w:t>22</w:t>
      </w:r>
      <w:r w:rsidRPr="00B779BE">
        <w:rPr>
          <w:rFonts w:ascii="Calibri" w:hAnsi="Calibri" w:cs="Calibri"/>
          <w:lang w:val="en-GB"/>
        </w:rPr>
        <w:t>, 138–147.</w:t>
      </w:r>
      <w:r w:rsidRPr="00B779BE">
        <w:rPr>
          <w:rFonts w:cstheme="minorHAnsi"/>
          <w:lang w:val="en-GB"/>
        </w:rPr>
        <w:fldChar w:fldCharType="end"/>
      </w:r>
      <w:bookmarkEnd w:id="0"/>
      <w:bookmarkEnd w:id="1"/>
      <w:bookmarkEnd w:id="2"/>
      <w:bookmarkEnd w:id="12"/>
    </w:p>
    <w:sectPr w:rsidR="001247FE" w:rsidRPr="00B779BE" w:rsidSect="008B6C29">
      <w:footerReference w:type="default" r:id="rId18"/>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Nabera  Abhinandan" w:date="2023-03-20T18:13:00Z" w:initials="NA">
    <w:p w14:paraId="22A9460B" w14:textId="172A15E8" w:rsidR="00EA3B49" w:rsidRDefault="00EA3B49">
      <w:pPr>
        <w:pStyle w:val="CommentText"/>
      </w:pPr>
      <w:r>
        <w:rPr>
          <w:rStyle w:val="CommentReference"/>
        </w:rPr>
        <w:annotationRef/>
      </w:r>
      <w:r>
        <w:t xml:space="preserve">Add </w:t>
      </w:r>
      <w:r w:rsidRPr="00EA3B49">
        <w:t>https://onlinelibrary.wiley.com/doi/full/10.1002/anie.201805514</w:t>
      </w:r>
    </w:p>
  </w:comment>
  <w:comment w:id="4" w:author="Nabera  Abhinandan" w:date="2023-03-20T18:17:00Z" w:initials="NA">
    <w:p w14:paraId="449513C6" w14:textId="48950920" w:rsidR="008E1701" w:rsidRDefault="008E1701">
      <w:pPr>
        <w:pStyle w:val="CommentText"/>
      </w:pPr>
      <w:r>
        <w:rPr>
          <w:rStyle w:val="CommentReference"/>
        </w:rPr>
        <w:annotationRef/>
      </w:r>
      <w:r w:rsidRPr="008E1701">
        <w:t>https://onlinelibrary.wiley.com/doi/full/10.1002/advs.201801903</w:t>
      </w:r>
    </w:p>
  </w:comment>
  <w:comment w:id="5" w:author="Nabera  Abhinandan" w:date="2023-03-20T18:16:00Z" w:initials="NA">
    <w:p w14:paraId="3D18E572" w14:textId="12E3B4A0" w:rsidR="008E1701" w:rsidRDefault="008E1701">
      <w:pPr>
        <w:pStyle w:val="CommentText"/>
      </w:pPr>
      <w:r>
        <w:rPr>
          <w:rStyle w:val="CommentReference"/>
        </w:rPr>
        <w:annotationRef/>
      </w:r>
      <w:r>
        <w:t xml:space="preserve">Add </w:t>
      </w:r>
      <w:r w:rsidRPr="008E1701">
        <w:t>https://www.sciencedirect.com/science/article/pii/S2542435118300965</w:t>
      </w:r>
    </w:p>
  </w:comment>
  <w:comment w:id="6" w:author="Nabera  Abhinandan" w:date="2023-03-20T18:11:00Z" w:initials="NA">
    <w:p w14:paraId="3E92C3DB" w14:textId="643364A7" w:rsidR="00EA3B49" w:rsidRDefault="00EA3B49">
      <w:pPr>
        <w:pStyle w:val="CommentText"/>
      </w:pPr>
      <w:r>
        <w:rPr>
          <w:rStyle w:val="CommentReference"/>
        </w:rPr>
        <w:annotationRef/>
      </w:r>
      <w:r>
        <w:t xml:space="preserve">Add </w:t>
      </w:r>
      <w:r w:rsidRPr="00EA3B49">
        <w:t>https://www.cell.com/joule/pdf/S2542-4351(18)30178-8.pdf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2A9460B" w15:done="0"/>
  <w15:commentEx w15:paraId="449513C6" w15:done="0"/>
  <w15:commentEx w15:paraId="3D18E572" w15:done="0"/>
  <w15:commentEx w15:paraId="3E92C3D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2A9460B" w16cid:durableId="27C320BA"/>
  <w16cid:commentId w16cid:paraId="449513C6" w16cid:durableId="27C3219C"/>
  <w16cid:commentId w16cid:paraId="3D18E572" w16cid:durableId="27C32178"/>
  <w16cid:commentId w16cid:paraId="3E92C3DB" w16cid:durableId="27C320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29EBE5" w14:textId="77777777" w:rsidR="00E14F7B" w:rsidRDefault="00E14F7B">
      <w:pPr>
        <w:spacing w:after="0" w:line="240" w:lineRule="auto"/>
      </w:pPr>
      <w:r>
        <w:separator/>
      </w:r>
    </w:p>
  </w:endnote>
  <w:endnote w:type="continuationSeparator" w:id="0">
    <w:p w14:paraId="7F8D11F0" w14:textId="77777777" w:rsidR="00E14F7B" w:rsidRDefault="00E14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6417495"/>
      <w:docPartObj>
        <w:docPartGallery w:val="Page Numbers (Bottom of Page)"/>
        <w:docPartUnique/>
      </w:docPartObj>
    </w:sdtPr>
    <w:sdtEndPr>
      <w:rPr>
        <w:noProof/>
      </w:rPr>
    </w:sdtEndPr>
    <w:sdtContent>
      <w:p w14:paraId="0EFFF434" w14:textId="77777777" w:rsidR="001247FE" w:rsidRDefault="001247F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C481A0E" w14:textId="77777777" w:rsidR="001247FE" w:rsidRDefault="001247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37CD83" w14:textId="77777777" w:rsidR="00E14F7B" w:rsidRDefault="00E14F7B">
      <w:pPr>
        <w:spacing w:after="0" w:line="240" w:lineRule="auto"/>
      </w:pPr>
      <w:r>
        <w:separator/>
      </w:r>
    </w:p>
  </w:footnote>
  <w:footnote w:type="continuationSeparator" w:id="0">
    <w:p w14:paraId="310112EE" w14:textId="77777777" w:rsidR="00E14F7B" w:rsidRDefault="00E14F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3C60B0"/>
    <w:multiLevelType w:val="hybridMultilevel"/>
    <w:tmpl w:val="1616D13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bera  Abhinandan">
    <w15:presenceInfo w15:providerId="AD" w15:userId="S-1-5-21-2025429265-764733703-1417001333-531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ocumentProtection w:edit="trackedChange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579"/>
    <w:rsid w:val="000027F9"/>
    <w:rsid w:val="0001168C"/>
    <w:rsid w:val="000246AC"/>
    <w:rsid w:val="00026FCA"/>
    <w:rsid w:val="00032C70"/>
    <w:rsid w:val="000349D4"/>
    <w:rsid w:val="00035625"/>
    <w:rsid w:val="00040273"/>
    <w:rsid w:val="000604E7"/>
    <w:rsid w:val="000653AE"/>
    <w:rsid w:val="00066913"/>
    <w:rsid w:val="0006761E"/>
    <w:rsid w:val="000831C0"/>
    <w:rsid w:val="00087047"/>
    <w:rsid w:val="000A33A9"/>
    <w:rsid w:val="000C1D09"/>
    <w:rsid w:val="000E14F1"/>
    <w:rsid w:val="000E6FA5"/>
    <w:rsid w:val="000F182C"/>
    <w:rsid w:val="000F5A02"/>
    <w:rsid w:val="000F6B56"/>
    <w:rsid w:val="00102A51"/>
    <w:rsid w:val="00105BA1"/>
    <w:rsid w:val="0012111D"/>
    <w:rsid w:val="001247FE"/>
    <w:rsid w:val="0012667D"/>
    <w:rsid w:val="0014665C"/>
    <w:rsid w:val="00162E72"/>
    <w:rsid w:val="001641AE"/>
    <w:rsid w:val="00165BB9"/>
    <w:rsid w:val="00166588"/>
    <w:rsid w:val="00181B33"/>
    <w:rsid w:val="00182D93"/>
    <w:rsid w:val="001975E3"/>
    <w:rsid w:val="001A0645"/>
    <w:rsid w:val="001A4E8B"/>
    <w:rsid w:val="001B23B5"/>
    <w:rsid w:val="001B29BD"/>
    <w:rsid w:val="001B516D"/>
    <w:rsid w:val="001C782A"/>
    <w:rsid w:val="001D4169"/>
    <w:rsid w:val="001E19F8"/>
    <w:rsid w:val="001F1F26"/>
    <w:rsid w:val="00201F32"/>
    <w:rsid w:val="0020328A"/>
    <w:rsid w:val="002105A0"/>
    <w:rsid w:val="00224E1F"/>
    <w:rsid w:val="0023004D"/>
    <w:rsid w:val="00252064"/>
    <w:rsid w:val="00265A6F"/>
    <w:rsid w:val="0026672C"/>
    <w:rsid w:val="00273CBF"/>
    <w:rsid w:val="00287D92"/>
    <w:rsid w:val="00297C9C"/>
    <w:rsid w:val="002A1DF7"/>
    <w:rsid w:val="002A5761"/>
    <w:rsid w:val="002B2450"/>
    <w:rsid w:val="002C03AB"/>
    <w:rsid w:val="002C79A5"/>
    <w:rsid w:val="002D655D"/>
    <w:rsid w:val="002E5DC0"/>
    <w:rsid w:val="00303E52"/>
    <w:rsid w:val="00307421"/>
    <w:rsid w:val="00317054"/>
    <w:rsid w:val="003248E2"/>
    <w:rsid w:val="00340CE4"/>
    <w:rsid w:val="00342FD2"/>
    <w:rsid w:val="00354DFE"/>
    <w:rsid w:val="00367384"/>
    <w:rsid w:val="0037093E"/>
    <w:rsid w:val="00375080"/>
    <w:rsid w:val="003A6936"/>
    <w:rsid w:val="003B0718"/>
    <w:rsid w:val="003B2D52"/>
    <w:rsid w:val="003B5D5A"/>
    <w:rsid w:val="003C2A78"/>
    <w:rsid w:val="003C31B5"/>
    <w:rsid w:val="003C4DE3"/>
    <w:rsid w:val="003E3403"/>
    <w:rsid w:val="004017D0"/>
    <w:rsid w:val="00404448"/>
    <w:rsid w:val="004115C5"/>
    <w:rsid w:val="00414424"/>
    <w:rsid w:val="00420B7C"/>
    <w:rsid w:val="00421538"/>
    <w:rsid w:val="00421811"/>
    <w:rsid w:val="00434C13"/>
    <w:rsid w:val="004418A1"/>
    <w:rsid w:val="00452654"/>
    <w:rsid w:val="00452F17"/>
    <w:rsid w:val="004538C8"/>
    <w:rsid w:val="004621F9"/>
    <w:rsid w:val="0046478F"/>
    <w:rsid w:val="004723DE"/>
    <w:rsid w:val="0047272A"/>
    <w:rsid w:val="00473FA4"/>
    <w:rsid w:val="00483C0B"/>
    <w:rsid w:val="0049215D"/>
    <w:rsid w:val="004959C5"/>
    <w:rsid w:val="00496E66"/>
    <w:rsid w:val="004A6DD1"/>
    <w:rsid w:val="004B7E57"/>
    <w:rsid w:val="004C06A5"/>
    <w:rsid w:val="004C0E7C"/>
    <w:rsid w:val="004C2C29"/>
    <w:rsid w:val="004D02FF"/>
    <w:rsid w:val="004F3039"/>
    <w:rsid w:val="004F3369"/>
    <w:rsid w:val="005028D5"/>
    <w:rsid w:val="00506428"/>
    <w:rsid w:val="00511164"/>
    <w:rsid w:val="005161CC"/>
    <w:rsid w:val="00533106"/>
    <w:rsid w:val="0054008C"/>
    <w:rsid w:val="005437BA"/>
    <w:rsid w:val="0054453D"/>
    <w:rsid w:val="00550978"/>
    <w:rsid w:val="00552D16"/>
    <w:rsid w:val="005534CB"/>
    <w:rsid w:val="00561AC6"/>
    <w:rsid w:val="005645CE"/>
    <w:rsid w:val="005760F1"/>
    <w:rsid w:val="00591B82"/>
    <w:rsid w:val="005959F5"/>
    <w:rsid w:val="005971BC"/>
    <w:rsid w:val="005B3FBE"/>
    <w:rsid w:val="005B7710"/>
    <w:rsid w:val="005C4C8F"/>
    <w:rsid w:val="005D6BB3"/>
    <w:rsid w:val="005D7ABC"/>
    <w:rsid w:val="005E3244"/>
    <w:rsid w:val="005E4BD8"/>
    <w:rsid w:val="005E77BC"/>
    <w:rsid w:val="005F05CD"/>
    <w:rsid w:val="005F0C06"/>
    <w:rsid w:val="005F1140"/>
    <w:rsid w:val="005F41DE"/>
    <w:rsid w:val="005F6D2A"/>
    <w:rsid w:val="00604B41"/>
    <w:rsid w:val="00605B66"/>
    <w:rsid w:val="00612E4C"/>
    <w:rsid w:val="0061661C"/>
    <w:rsid w:val="00622E3B"/>
    <w:rsid w:val="00630134"/>
    <w:rsid w:val="00662445"/>
    <w:rsid w:val="00670C2D"/>
    <w:rsid w:val="0067483D"/>
    <w:rsid w:val="00675934"/>
    <w:rsid w:val="00695DFB"/>
    <w:rsid w:val="006B1508"/>
    <w:rsid w:val="006D0B6D"/>
    <w:rsid w:val="006D182F"/>
    <w:rsid w:val="006D647D"/>
    <w:rsid w:val="006E3721"/>
    <w:rsid w:val="006F4C47"/>
    <w:rsid w:val="006F59DF"/>
    <w:rsid w:val="007035ED"/>
    <w:rsid w:val="00713948"/>
    <w:rsid w:val="00731AFA"/>
    <w:rsid w:val="007333FF"/>
    <w:rsid w:val="00742B73"/>
    <w:rsid w:val="00745718"/>
    <w:rsid w:val="007602C4"/>
    <w:rsid w:val="00764E4C"/>
    <w:rsid w:val="00774B39"/>
    <w:rsid w:val="00777C05"/>
    <w:rsid w:val="007916F5"/>
    <w:rsid w:val="007A7207"/>
    <w:rsid w:val="007B01CC"/>
    <w:rsid w:val="007B21A3"/>
    <w:rsid w:val="00803A8A"/>
    <w:rsid w:val="008063A4"/>
    <w:rsid w:val="008106D3"/>
    <w:rsid w:val="00810C45"/>
    <w:rsid w:val="008147FA"/>
    <w:rsid w:val="00814CA7"/>
    <w:rsid w:val="0081736D"/>
    <w:rsid w:val="008277AB"/>
    <w:rsid w:val="00830F8D"/>
    <w:rsid w:val="00833DDB"/>
    <w:rsid w:val="00834A41"/>
    <w:rsid w:val="00840405"/>
    <w:rsid w:val="008458F7"/>
    <w:rsid w:val="008532F0"/>
    <w:rsid w:val="00854191"/>
    <w:rsid w:val="00856EB6"/>
    <w:rsid w:val="008734FF"/>
    <w:rsid w:val="00883ACA"/>
    <w:rsid w:val="0089553F"/>
    <w:rsid w:val="008A1237"/>
    <w:rsid w:val="008A3579"/>
    <w:rsid w:val="008A7377"/>
    <w:rsid w:val="008A7715"/>
    <w:rsid w:val="008B2C71"/>
    <w:rsid w:val="008B6C29"/>
    <w:rsid w:val="008C15F3"/>
    <w:rsid w:val="008D5899"/>
    <w:rsid w:val="008D5DA9"/>
    <w:rsid w:val="008E1701"/>
    <w:rsid w:val="008E701D"/>
    <w:rsid w:val="008F13A9"/>
    <w:rsid w:val="009005B8"/>
    <w:rsid w:val="00907530"/>
    <w:rsid w:val="009130E9"/>
    <w:rsid w:val="00920FE0"/>
    <w:rsid w:val="009276E2"/>
    <w:rsid w:val="00945BA1"/>
    <w:rsid w:val="00945F89"/>
    <w:rsid w:val="00953561"/>
    <w:rsid w:val="009649BA"/>
    <w:rsid w:val="0096504C"/>
    <w:rsid w:val="00972B39"/>
    <w:rsid w:val="00972FB0"/>
    <w:rsid w:val="009866E5"/>
    <w:rsid w:val="009902C4"/>
    <w:rsid w:val="009A7D2D"/>
    <w:rsid w:val="009B0151"/>
    <w:rsid w:val="009D5C3E"/>
    <w:rsid w:val="009E14ED"/>
    <w:rsid w:val="009E4282"/>
    <w:rsid w:val="009E47FC"/>
    <w:rsid w:val="00A05A9D"/>
    <w:rsid w:val="00A07CC4"/>
    <w:rsid w:val="00A166C5"/>
    <w:rsid w:val="00A3497D"/>
    <w:rsid w:val="00A354C2"/>
    <w:rsid w:val="00A8234D"/>
    <w:rsid w:val="00A83309"/>
    <w:rsid w:val="00A86BAD"/>
    <w:rsid w:val="00A9347E"/>
    <w:rsid w:val="00AA0B97"/>
    <w:rsid w:val="00AA485A"/>
    <w:rsid w:val="00AA4E0B"/>
    <w:rsid w:val="00AA7E81"/>
    <w:rsid w:val="00AB2927"/>
    <w:rsid w:val="00AB3714"/>
    <w:rsid w:val="00AB5D88"/>
    <w:rsid w:val="00AC0606"/>
    <w:rsid w:val="00AC76AC"/>
    <w:rsid w:val="00AD1F0F"/>
    <w:rsid w:val="00AD3107"/>
    <w:rsid w:val="00AD5FE2"/>
    <w:rsid w:val="00AE3C28"/>
    <w:rsid w:val="00AF15CD"/>
    <w:rsid w:val="00AF5B55"/>
    <w:rsid w:val="00B04458"/>
    <w:rsid w:val="00B06881"/>
    <w:rsid w:val="00B12530"/>
    <w:rsid w:val="00B21C46"/>
    <w:rsid w:val="00B56532"/>
    <w:rsid w:val="00B60191"/>
    <w:rsid w:val="00B70BC7"/>
    <w:rsid w:val="00B727EA"/>
    <w:rsid w:val="00B779BE"/>
    <w:rsid w:val="00B91A55"/>
    <w:rsid w:val="00BA726D"/>
    <w:rsid w:val="00BA7FD4"/>
    <w:rsid w:val="00BB0657"/>
    <w:rsid w:val="00BB443B"/>
    <w:rsid w:val="00BB63DE"/>
    <w:rsid w:val="00BF0CDD"/>
    <w:rsid w:val="00BF2A49"/>
    <w:rsid w:val="00C20533"/>
    <w:rsid w:val="00C26CAD"/>
    <w:rsid w:val="00C32D3A"/>
    <w:rsid w:val="00C340CC"/>
    <w:rsid w:val="00C42E71"/>
    <w:rsid w:val="00C45FD8"/>
    <w:rsid w:val="00C51528"/>
    <w:rsid w:val="00C53B57"/>
    <w:rsid w:val="00C74307"/>
    <w:rsid w:val="00C8061B"/>
    <w:rsid w:val="00C82E37"/>
    <w:rsid w:val="00C95340"/>
    <w:rsid w:val="00CA11A5"/>
    <w:rsid w:val="00CA2FE1"/>
    <w:rsid w:val="00CA48AB"/>
    <w:rsid w:val="00CA563B"/>
    <w:rsid w:val="00CA7D24"/>
    <w:rsid w:val="00CB30A7"/>
    <w:rsid w:val="00CC44DD"/>
    <w:rsid w:val="00CC5654"/>
    <w:rsid w:val="00CC5A71"/>
    <w:rsid w:val="00CC5CB8"/>
    <w:rsid w:val="00CD0A58"/>
    <w:rsid w:val="00CD7450"/>
    <w:rsid w:val="00CD7D9D"/>
    <w:rsid w:val="00CE67E1"/>
    <w:rsid w:val="00CF1D38"/>
    <w:rsid w:val="00D02932"/>
    <w:rsid w:val="00D02C55"/>
    <w:rsid w:val="00D1207D"/>
    <w:rsid w:val="00D1395E"/>
    <w:rsid w:val="00D14047"/>
    <w:rsid w:val="00D20065"/>
    <w:rsid w:val="00D22FEC"/>
    <w:rsid w:val="00D239E7"/>
    <w:rsid w:val="00D37431"/>
    <w:rsid w:val="00D57D0F"/>
    <w:rsid w:val="00D62296"/>
    <w:rsid w:val="00D766F6"/>
    <w:rsid w:val="00D82E66"/>
    <w:rsid w:val="00D95FFC"/>
    <w:rsid w:val="00D977A5"/>
    <w:rsid w:val="00DC0FF6"/>
    <w:rsid w:val="00DC3BC4"/>
    <w:rsid w:val="00DC6518"/>
    <w:rsid w:val="00DD5E55"/>
    <w:rsid w:val="00DE3301"/>
    <w:rsid w:val="00DE747F"/>
    <w:rsid w:val="00E14F7B"/>
    <w:rsid w:val="00E30EB9"/>
    <w:rsid w:val="00E40490"/>
    <w:rsid w:val="00E415D1"/>
    <w:rsid w:val="00E453B6"/>
    <w:rsid w:val="00E6138B"/>
    <w:rsid w:val="00E634B6"/>
    <w:rsid w:val="00E63D53"/>
    <w:rsid w:val="00E77861"/>
    <w:rsid w:val="00E81FEF"/>
    <w:rsid w:val="00E825C8"/>
    <w:rsid w:val="00E83316"/>
    <w:rsid w:val="00EA3B49"/>
    <w:rsid w:val="00EC3F4F"/>
    <w:rsid w:val="00ED126F"/>
    <w:rsid w:val="00EE119E"/>
    <w:rsid w:val="00EE324B"/>
    <w:rsid w:val="00EE485C"/>
    <w:rsid w:val="00F12E54"/>
    <w:rsid w:val="00F1501D"/>
    <w:rsid w:val="00F269E7"/>
    <w:rsid w:val="00F341F0"/>
    <w:rsid w:val="00F4097B"/>
    <w:rsid w:val="00F40EFF"/>
    <w:rsid w:val="00F45114"/>
    <w:rsid w:val="00F579AF"/>
    <w:rsid w:val="00F6704B"/>
    <w:rsid w:val="00F90036"/>
    <w:rsid w:val="00FA18C9"/>
    <w:rsid w:val="00FA1AC5"/>
    <w:rsid w:val="00FB7765"/>
    <w:rsid w:val="00FC0E97"/>
    <w:rsid w:val="00FC3614"/>
    <w:rsid w:val="00FC5075"/>
    <w:rsid w:val="00FC6420"/>
    <w:rsid w:val="00FD38A7"/>
    <w:rsid w:val="00FD4096"/>
    <w:rsid w:val="00FD43A6"/>
    <w:rsid w:val="00FE022B"/>
    <w:rsid w:val="00FF0FC0"/>
    <w:rsid w:val="00FF6A3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4DA86"/>
  <w14:defaultImageDpi w14:val="32767"/>
  <w15:chartTrackingRefBased/>
  <w15:docId w15:val="{A246349B-0B88-484E-AA6F-175F48F3F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579"/>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8A3579"/>
    <w:pPr>
      <w:keepNext/>
      <w:keepLines/>
      <w:outlineLvl w:val="1"/>
    </w:pPr>
    <w:rPr>
      <w:rFonts w:eastAsiaTheme="majorEastAsia" w:cstheme="majorBidi"/>
      <w:b/>
      <w:szCs w:val="26"/>
      <w:u w:val="single"/>
      <w:lang w:val="en-GB"/>
    </w:rPr>
  </w:style>
  <w:style w:type="paragraph" w:styleId="Heading3">
    <w:name w:val="heading 3"/>
    <w:basedOn w:val="Normal"/>
    <w:next w:val="Normal"/>
    <w:link w:val="Heading3Char"/>
    <w:uiPriority w:val="9"/>
    <w:unhideWhenUsed/>
    <w:qFormat/>
    <w:rsid w:val="008A3579"/>
    <w:pPr>
      <w:keepNext/>
      <w:keepLines/>
      <w:spacing w:before="160" w:after="120"/>
      <w:outlineLvl w:val="2"/>
    </w:pPr>
    <w:rPr>
      <w:rFonts w:ascii="Calibri" w:eastAsiaTheme="majorEastAsia" w:hAnsi="Calibri" w:cstheme="majorBidi"/>
      <w:b/>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8A3579"/>
  </w:style>
  <w:style w:type="character" w:customStyle="1" w:styleId="Heading1Char">
    <w:name w:val="Heading 1 Char"/>
    <w:basedOn w:val="DefaultParagraphFont"/>
    <w:link w:val="Heading1"/>
    <w:uiPriority w:val="9"/>
    <w:rsid w:val="008A3579"/>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8A3579"/>
    <w:rPr>
      <w:rFonts w:eastAsiaTheme="majorEastAsia" w:cstheme="majorBidi"/>
      <w:b/>
      <w:szCs w:val="26"/>
      <w:u w:val="single"/>
      <w:lang w:val="en-GB"/>
    </w:rPr>
  </w:style>
  <w:style w:type="character" w:customStyle="1" w:styleId="Heading3Char">
    <w:name w:val="Heading 3 Char"/>
    <w:basedOn w:val="DefaultParagraphFont"/>
    <w:link w:val="Heading3"/>
    <w:uiPriority w:val="9"/>
    <w:rsid w:val="008A3579"/>
    <w:rPr>
      <w:rFonts w:ascii="Calibri" w:eastAsiaTheme="majorEastAsia" w:hAnsi="Calibri" w:cstheme="majorBidi"/>
      <w:b/>
      <w:szCs w:val="24"/>
      <w:lang w:val="en-GB"/>
    </w:rPr>
  </w:style>
  <w:style w:type="character" w:styleId="Hyperlink">
    <w:name w:val="Hyperlink"/>
    <w:basedOn w:val="DefaultParagraphFont"/>
    <w:uiPriority w:val="99"/>
    <w:unhideWhenUsed/>
    <w:rsid w:val="008A3579"/>
    <w:rPr>
      <w:color w:val="0563C1" w:themeColor="hyperlink"/>
      <w:u w:val="single"/>
    </w:rPr>
  </w:style>
  <w:style w:type="character" w:styleId="CommentReference">
    <w:name w:val="annotation reference"/>
    <w:basedOn w:val="DefaultParagraphFont"/>
    <w:uiPriority w:val="99"/>
    <w:semiHidden/>
    <w:unhideWhenUsed/>
    <w:rsid w:val="008A3579"/>
    <w:rPr>
      <w:sz w:val="16"/>
      <w:szCs w:val="16"/>
    </w:rPr>
  </w:style>
  <w:style w:type="paragraph" w:styleId="CommentText">
    <w:name w:val="annotation text"/>
    <w:basedOn w:val="Normal"/>
    <w:link w:val="CommentTextChar"/>
    <w:uiPriority w:val="99"/>
    <w:unhideWhenUsed/>
    <w:rsid w:val="008A3579"/>
    <w:pPr>
      <w:spacing w:line="240" w:lineRule="auto"/>
    </w:pPr>
    <w:rPr>
      <w:sz w:val="20"/>
      <w:szCs w:val="20"/>
      <w:lang w:val="en-GB"/>
    </w:rPr>
  </w:style>
  <w:style w:type="character" w:customStyle="1" w:styleId="CommentTextChar">
    <w:name w:val="Comment Text Char"/>
    <w:basedOn w:val="DefaultParagraphFont"/>
    <w:link w:val="CommentText"/>
    <w:uiPriority w:val="99"/>
    <w:rsid w:val="008A3579"/>
    <w:rPr>
      <w:sz w:val="20"/>
      <w:szCs w:val="20"/>
      <w:lang w:val="en-GB"/>
    </w:rPr>
  </w:style>
  <w:style w:type="paragraph" w:styleId="Footer">
    <w:name w:val="footer"/>
    <w:basedOn w:val="Normal"/>
    <w:link w:val="FooterChar"/>
    <w:uiPriority w:val="99"/>
    <w:unhideWhenUsed/>
    <w:rsid w:val="008A3579"/>
    <w:pPr>
      <w:tabs>
        <w:tab w:val="center" w:pos="4703"/>
        <w:tab w:val="right" w:pos="9406"/>
      </w:tabs>
      <w:spacing w:after="0" w:line="240" w:lineRule="auto"/>
    </w:pPr>
    <w:rPr>
      <w:lang w:val="en-GB"/>
    </w:rPr>
  </w:style>
  <w:style w:type="character" w:customStyle="1" w:styleId="FooterChar">
    <w:name w:val="Footer Char"/>
    <w:basedOn w:val="DefaultParagraphFont"/>
    <w:link w:val="Footer"/>
    <w:uiPriority w:val="99"/>
    <w:rsid w:val="008A3579"/>
    <w:rPr>
      <w:lang w:val="en-GB"/>
    </w:rPr>
  </w:style>
  <w:style w:type="paragraph" w:styleId="Caption">
    <w:name w:val="caption"/>
    <w:basedOn w:val="Normal"/>
    <w:next w:val="Normal"/>
    <w:uiPriority w:val="35"/>
    <w:unhideWhenUsed/>
    <w:qFormat/>
    <w:rsid w:val="008A3579"/>
    <w:pPr>
      <w:spacing w:after="200" w:line="240" w:lineRule="auto"/>
    </w:pPr>
    <w:rPr>
      <w:i/>
      <w:iCs/>
      <w:color w:val="44546A" w:themeColor="text2"/>
      <w:sz w:val="18"/>
      <w:szCs w:val="18"/>
      <w:lang w:val="en-GB"/>
    </w:rPr>
  </w:style>
  <w:style w:type="table" w:styleId="TableGrid">
    <w:name w:val="Table Grid"/>
    <w:basedOn w:val="TableNormal"/>
    <w:uiPriority w:val="39"/>
    <w:rsid w:val="008A3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DefaultParagraphFont"/>
    <w:rsid w:val="008A3579"/>
    <w:rPr>
      <w:rFonts w:asciiTheme="minorHAnsi" w:hAnsiTheme="minorHAnsi" w:cstheme="minorHAnsi"/>
      <w:vanish w:val="0"/>
      <w:color w:val="FF0000"/>
      <w:lang w:val="en-GB"/>
    </w:rPr>
  </w:style>
  <w:style w:type="paragraph" w:styleId="BalloonText">
    <w:name w:val="Balloon Text"/>
    <w:basedOn w:val="Normal"/>
    <w:link w:val="BalloonTextChar"/>
    <w:uiPriority w:val="99"/>
    <w:semiHidden/>
    <w:unhideWhenUsed/>
    <w:rsid w:val="00273C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3CB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A3B49"/>
    <w:rPr>
      <w:b/>
      <w:bCs/>
      <w:lang w:val="de-CH"/>
    </w:rPr>
  </w:style>
  <w:style w:type="character" w:customStyle="1" w:styleId="CommentSubjectChar">
    <w:name w:val="Comment Subject Char"/>
    <w:basedOn w:val="CommentTextChar"/>
    <w:link w:val="CommentSubject"/>
    <w:uiPriority w:val="99"/>
    <w:semiHidden/>
    <w:rsid w:val="00EA3B49"/>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nzalo.guillen.gosalbez@chem.ethz.ch" TargetMode="External"/><Relationship Id="rId13" Type="http://schemas.openxmlformats.org/officeDocument/2006/relationships/oleObject" Target="embeddings/oleObject1.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24734-CC89-4FDE-AF8E-F09B2F9F8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17675</Words>
  <Characters>111359</Characters>
  <Application>Microsoft Office Word</Application>
  <DocSecurity>0</DocSecurity>
  <Lines>927</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544</cp:revision>
  <cp:lastPrinted>2023-03-17T09:24:00Z</cp:lastPrinted>
  <dcterms:created xsi:type="dcterms:W3CDTF">2023-03-16T08:38:00Z</dcterms:created>
  <dcterms:modified xsi:type="dcterms:W3CDTF">2023-03-25T14:35:00Z</dcterms:modified>
</cp:coreProperties>
</file>