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7A69C5" w14:textId="77777777" w:rsidR="00BF17FF" w:rsidRPr="00C03C35" w:rsidRDefault="00BF17FF" w:rsidP="00BF17FF">
      <w:pPr>
        <w:pStyle w:val="Heading1"/>
        <w:spacing w:before="0" w:after="160"/>
        <w:jc w:val="center"/>
        <w:rPr>
          <w:rFonts w:asciiTheme="minorHAnsi" w:hAnsiTheme="minorHAnsi" w:cstheme="minorHAnsi"/>
          <w:lang w:val="en-GB"/>
        </w:rPr>
      </w:pPr>
      <w:r w:rsidRPr="00C03C35">
        <w:rPr>
          <w:rFonts w:asciiTheme="minorHAnsi" w:hAnsiTheme="minorHAnsi" w:cstheme="minorHAnsi"/>
          <w:lang w:val="en-GB"/>
        </w:rPr>
        <w:t>Electronic Supplementary Information</w:t>
      </w:r>
    </w:p>
    <w:p w14:paraId="5E38A3A6" w14:textId="77777777" w:rsidR="00BF17FF" w:rsidRPr="00C03C35" w:rsidRDefault="00BF17FF" w:rsidP="00BF17FF">
      <w:pPr>
        <w:pStyle w:val="Heading1"/>
        <w:spacing w:before="0" w:after="160"/>
        <w:jc w:val="left"/>
        <w:rPr>
          <w:rFonts w:asciiTheme="minorHAnsi" w:hAnsiTheme="minorHAnsi" w:cstheme="minorHAnsi"/>
          <w:lang w:val="en-GB"/>
        </w:rPr>
      </w:pPr>
      <w:r w:rsidRPr="00C03C35">
        <w:rPr>
          <w:rFonts w:asciiTheme="minorHAnsi" w:hAnsiTheme="minorHAnsi" w:cstheme="minorHAnsi"/>
          <w:lang w:val="en-GB"/>
        </w:rPr>
        <w:t>Energy crisis in Europe revamps the economic competitiveness of green chemicals</w:t>
      </w:r>
    </w:p>
    <w:p w14:paraId="3DEB0586" w14:textId="77777777" w:rsidR="00BF17FF" w:rsidRPr="00C03C35" w:rsidRDefault="00BF17FF" w:rsidP="00BF17FF">
      <w:pPr>
        <w:rPr>
          <w:rFonts w:cstheme="minorHAnsi"/>
          <w:vertAlign w:val="superscript"/>
          <w:lang w:val="en-GB"/>
        </w:rPr>
      </w:pPr>
      <w:r w:rsidRPr="00C03C35">
        <w:rPr>
          <w:rFonts w:cstheme="minorHAnsi"/>
          <w:lang w:val="en-GB"/>
        </w:rPr>
        <w:t>Abhinandan Nabera, Ioan</w:t>
      </w:r>
      <w:r w:rsidRPr="00C03C35">
        <w:rPr>
          <w:rFonts w:cstheme="minorHAnsi"/>
          <w:lang w:val="en-GB"/>
        </w:rPr>
        <w:noBreakHyphen/>
        <w:t xml:space="preserve">Robert Istrate, </w:t>
      </w:r>
      <w:r w:rsidRPr="00C03C35">
        <w:rPr>
          <w:lang w:val="en-GB"/>
        </w:rPr>
        <w:t xml:space="preserve">Antonio José Martín, </w:t>
      </w:r>
      <w:r w:rsidRPr="00C03C35">
        <w:rPr>
          <w:rFonts w:cstheme="minorHAnsi"/>
          <w:lang w:val="en-GB"/>
        </w:rPr>
        <w:t>Javier Pérez</w:t>
      </w:r>
      <w:r w:rsidRPr="00C03C35">
        <w:rPr>
          <w:rFonts w:cstheme="minorHAnsi"/>
          <w:lang w:val="en-GB"/>
        </w:rPr>
        <w:noBreakHyphen/>
        <w:t>Ramírez</w:t>
      </w:r>
      <w:r w:rsidRPr="00C03C35">
        <w:rPr>
          <w:rFonts w:cstheme="minorHAnsi"/>
          <w:sz w:val="20"/>
          <w:szCs w:val="20"/>
          <w:vertAlign w:val="superscript"/>
          <w:lang w:val="en-GB"/>
        </w:rPr>
        <w:t>*</w:t>
      </w:r>
      <w:r w:rsidRPr="00C03C35">
        <w:rPr>
          <w:rFonts w:cstheme="minorHAnsi"/>
          <w:lang w:val="en-GB"/>
        </w:rPr>
        <w:t xml:space="preserve"> and </w:t>
      </w:r>
      <w:bookmarkStart w:id="0" w:name="_GoBack"/>
      <w:bookmarkEnd w:id="0"/>
      <w:r w:rsidRPr="00C03C35">
        <w:rPr>
          <w:rFonts w:cstheme="minorHAnsi"/>
          <w:lang w:val="en-GB"/>
        </w:rPr>
        <w:t>Gonzalo Guillén</w:t>
      </w:r>
      <w:r w:rsidRPr="00C03C35">
        <w:rPr>
          <w:rFonts w:cstheme="minorHAnsi"/>
          <w:lang w:val="en-GB"/>
        </w:rPr>
        <w:noBreakHyphen/>
        <w:t>Gosálbez</w:t>
      </w:r>
      <w:r w:rsidRPr="00C03C35">
        <w:rPr>
          <w:rFonts w:cstheme="minorHAnsi"/>
          <w:sz w:val="20"/>
          <w:szCs w:val="20"/>
          <w:vertAlign w:val="superscript"/>
          <w:lang w:val="en-GB"/>
        </w:rPr>
        <w:t>*</w:t>
      </w:r>
    </w:p>
    <w:p w14:paraId="7C3FC6EF" w14:textId="77777777" w:rsidR="00BF17FF" w:rsidRPr="00C03C35" w:rsidRDefault="00BF17FF" w:rsidP="00BF17FF">
      <w:pPr>
        <w:jc w:val="both"/>
        <w:rPr>
          <w:rFonts w:cstheme="minorHAnsi"/>
          <w:sz w:val="20"/>
          <w:szCs w:val="20"/>
          <w:lang w:val="en-GB"/>
        </w:rPr>
      </w:pPr>
      <w:r w:rsidRPr="00C03C35">
        <w:rPr>
          <w:rFonts w:cstheme="minorHAnsi"/>
          <w:sz w:val="20"/>
          <w:szCs w:val="20"/>
          <w:lang w:val="en-GB"/>
        </w:rPr>
        <w:t>Institute for Chemical and Bioengineering, Department of Chemistry and Applied Biosciences, ETH Zürich, Vladimir</w:t>
      </w:r>
      <w:r w:rsidRPr="00C03C35">
        <w:rPr>
          <w:rFonts w:cstheme="minorHAnsi"/>
          <w:sz w:val="20"/>
          <w:szCs w:val="20"/>
          <w:lang w:val="en-GB"/>
        </w:rPr>
        <w:noBreakHyphen/>
        <w:t>Prelog</w:t>
      </w:r>
      <w:r w:rsidRPr="00C03C35">
        <w:rPr>
          <w:rFonts w:cstheme="minorHAnsi"/>
          <w:sz w:val="20"/>
          <w:szCs w:val="20"/>
          <w:lang w:val="en-GB"/>
        </w:rPr>
        <w:noBreakHyphen/>
        <w:t>Weg 1, Zürich 8093, Switzerland</w:t>
      </w:r>
    </w:p>
    <w:p w14:paraId="16BD108E" w14:textId="77777777" w:rsidR="00BF17FF" w:rsidRPr="00C03C35" w:rsidRDefault="00BF17FF" w:rsidP="00BF17FF">
      <w:pPr>
        <w:pStyle w:val="Heading2"/>
        <w:rPr>
          <w:lang w:val="en-GB"/>
        </w:rPr>
      </w:pPr>
      <w:r w:rsidRPr="00C03C35">
        <w:rPr>
          <w:lang w:val="en-GB"/>
        </w:rPr>
        <w:t>Production routes</w:t>
      </w:r>
    </w:p>
    <w:p w14:paraId="6E30C524" w14:textId="77777777" w:rsidR="00BF17FF" w:rsidRPr="00C03C35" w:rsidRDefault="00BF17FF" w:rsidP="00BF17FF">
      <w:pPr>
        <w:pStyle w:val="Heading2"/>
        <w:numPr>
          <w:ilvl w:val="0"/>
          <w:numId w:val="0"/>
        </w:numPr>
        <w:rPr>
          <w:lang w:val="en-GB"/>
        </w:rPr>
      </w:pPr>
      <w:r w:rsidRPr="00C03C35">
        <w:rPr>
          <w:lang w:val="en-GB"/>
        </w:rPr>
        <w:t>Ammonia</w:t>
      </w:r>
    </w:p>
    <w:p w14:paraId="6007E0B3" w14:textId="55AC4895" w:rsidR="00BF17FF" w:rsidRPr="00C03C35" w:rsidRDefault="00C437B3" w:rsidP="00BF17FF">
      <w:pPr>
        <w:spacing w:after="0"/>
        <w:jc w:val="both"/>
        <w:rPr>
          <w:rFonts w:cstheme="minorHAnsi"/>
          <w:lang w:val="en-GB"/>
        </w:rPr>
      </w:pPr>
      <w:r w:rsidRPr="00C03C35">
        <w:rPr>
          <w:rFonts w:cstheme="minorHAnsi"/>
          <w:lang w:val="en-GB"/>
        </w:rPr>
        <w:t xml:space="preserve">In the work by </w:t>
      </w:r>
      <w:r w:rsidR="00BF17FF" w:rsidRPr="00C03C35">
        <w:rPr>
          <w:rFonts w:cstheme="minorHAnsi"/>
          <w:lang w:val="en-GB"/>
        </w:rPr>
        <w:t xml:space="preserve">D’Angelo </w:t>
      </w:r>
      <w:r w:rsidR="00BF17FF" w:rsidRPr="00C03C35">
        <w:rPr>
          <w:rFonts w:cstheme="minorHAnsi"/>
          <w:i/>
          <w:lang w:val="en-GB"/>
        </w:rPr>
        <w:t>et al.</w:t>
      </w:r>
      <w:r w:rsidR="00BF17FF" w:rsidRPr="00C03C35">
        <w:rPr>
          <w:rFonts w:cstheme="minorHAnsi"/>
          <w:lang w:val="en-GB"/>
        </w:rPr>
        <w:fldChar w:fldCharType="begin"/>
      </w:r>
      <w:r w:rsidR="003070D5">
        <w:rPr>
          <w:rFonts w:cstheme="minorHAnsi"/>
          <w:lang w:val="en-GB"/>
        </w:rPr>
        <w:instrText xml:space="preserve"> ADDIN ZOTERO_ITEM CSL_CITATION {"citationID":"jw3WHYLI","properties":{"formattedCitation":"\\super 1\\nosupersub{}","plainCitation":"1","noteIndex":0},"citationItems":[{"id":"dHwHotKY/5mm4tg0v","uris":["http://zotero.org/users/9157291/items/AFKW7KRC"],"itemData":{"id":3860,"type":"article-journal","abstract":"At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BF17FF" w:rsidRPr="00C03C35">
        <w:rPr>
          <w:rFonts w:cstheme="minorHAnsi"/>
          <w:lang w:val="en-GB"/>
        </w:rPr>
        <w:fldChar w:fldCharType="separate"/>
      </w:r>
      <w:r w:rsidR="00BF17FF" w:rsidRPr="00C03C35">
        <w:rPr>
          <w:rFonts w:ascii="Calibri" w:hAnsi="Calibri" w:cs="Calibri"/>
          <w:szCs w:val="24"/>
          <w:vertAlign w:val="superscript"/>
          <w:lang w:val="en-GB"/>
        </w:rPr>
        <w:t>1</w:t>
      </w:r>
      <w:r w:rsidR="00BF17FF" w:rsidRPr="00C03C35">
        <w:rPr>
          <w:rFonts w:cstheme="minorHAnsi"/>
          <w:lang w:val="en-GB"/>
        </w:rPr>
        <w:fldChar w:fldCharType="end"/>
      </w:r>
      <w:r w:rsidRPr="00C03C35">
        <w:rPr>
          <w:rFonts w:cstheme="minorHAnsi"/>
          <w:lang w:val="en-GB"/>
        </w:rPr>
        <w:t>, the process models used for the fossil and green ammonia routes were developed in Aspen HYSYS.</w:t>
      </w:r>
      <w:r w:rsidR="00DD0A1A" w:rsidRPr="00C03C35">
        <w:rPr>
          <w:rFonts w:cstheme="minorHAnsi"/>
          <w:lang w:val="en-GB"/>
        </w:rPr>
        <w:t xml:space="preserve"> </w:t>
      </w:r>
      <w:r w:rsidR="00F840C1" w:rsidRPr="00C03C35">
        <w:rPr>
          <w:rFonts w:cstheme="minorHAnsi"/>
          <w:lang w:val="en-GB"/>
        </w:rPr>
        <w:t xml:space="preserve">In order to provide a comprehensive overview of our work, we </w:t>
      </w:r>
      <w:r w:rsidR="003E6280" w:rsidRPr="00C03C35">
        <w:rPr>
          <w:rFonts w:cstheme="minorHAnsi"/>
          <w:lang w:val="en-GB"/>
        </w:rPr>
        <w:t xml:space="preserve">further </w:t>
      </w:r>
      <w:r w:rsidR="00F840C1" w:rsidRPr="00C03C35">
        <w:rPr>
          <w:rFonts w:cstheme="minorHAnsi"/>
          <w:lang w:val="en-GB"/>
        </w:rPr>
        <w:t>outline the process model</w:t>
      </w:r>
      <w:r w:rsidR="00BC2D4C" w:rsidRPr="00C03C35">
        <w:rPr>
          <w:rFonts w:cstheme="minorHAnsi"/>
          <w:lang w:val="en-GB"/>
        </w:rPr>
        <w:t>s</w:t>
      </w:r>
      <w:r w:rsidR="00F840C1" w:rsidRPr="00C03C35">
        <w:rPr>
          <w:rFonts w:cstheme="minorHAnsi"/>
          <w:lang w:val="en-GB"/>
        </w:rPr>
        <w:t xml:space="preserve"> </w:t>
      </w:r>
      <w:r w:rsidR="00FC1179" w:rsidRPr="00C03C35">
        <w:rPr>
          <w:rFonts w:cstheme="minorHAnsi"/>
          <w:lang w:val="en-GB"/>
        </w:rPr>
        <w:t>employed</w:t>
      </w:r>
      <w:r w:rsidR="00F840C1" w:rsidRPr="00C03C35">
        <w:rPr>
          <w:rFonts w:cstheme="minorHAnsi"/>
          <w:lang w:val="en-GB"/>
        </w:rPr>
        <w:t xml:space="preserve"> </w:t>
      </w:r>
      <w:r w:rsidR="00093BE1" w:rsidRPr="00C03C35">
        <w:rPr>
          <w:rFonts w:cstheme="minorHAnsi"/>
          <w:lang w:val="en-GB"/>
        </w:rPr>
        <w:t>from the original article</w:t>
      </w:r>
      <w:r w:rsidRPr="00C03C35">
        <w:rPr>
          <w:rFonts w:cstheme="minorHAnsi"/>
          <w:lang w:val="en-GB"/>
        </w:rPr>
        <w:t xml:space="preserve">. </w:t>
      </w:r>
      <w:r w:rsidR="00BF17FF" w:rsidRPr="00C03C35">
        <w:rPr>
          <w:rFonts w:cstheme="minorHAnsi"/>
          <w:lang w:val="en-GB"/>
        </w:rPr>
        <w:t xml:space="preserve">For fossil ammonia, natural gas and water are mixed and heated to 858 </w:t>
      </w:r>
      <w:r w:rsidR="00BF17FF" w:rsidRPr="00C03C35">
        <w:rPr>
          <w:rFonts w:ascii="Calibri" w:hAnsi="Calibri" w:cs="Calibri"/>
          <w:sz w:val="24"/>
          <w:szCs w:val="24"/>
          <w:lang w:val="en-GB"/>
        </w:rPr>
        <w:t>°</w:t>
      </w:r>
      <w:r w:rsidR="00BF17FF" w:rsidRPr="00C03C35">
        <w:rPr>
          <w:rFonts w:cstheme="minorHAnsi"/>
          <w:lang w:val="en-GB"/>
        </w:rPr>
        <w:t xml:space="preserve">C and fed to a steam methane reforming (SMR) unit where natural gas is converted to carbon monoxide and hydrogen (syngas). The output from the SMR is then fed into an autothermal reformer (ATR) along with air (78% nitrogen, 21% oxygen, and 1% argon). The oxygen in the air reacts with the residual methane and increases the temperature to 1,200 </w:t>
      </w:r>
      <w:r w:rsidR="00BF17FF" w:rsidRPr="00C03C35">
        <w:rPr>
          <w:rFonts w:ascii="Calibri" w:hAnsi="Calibri" w:cs="Calibri"/>
          <w:sz w:val="24"/>
          <w:szCs w:val="24"/>
          <w:lang w:val="en-GB"/>
        </w:rPr>
        <w:t>°</w:t>
      </w:r>
      <w:r w:rsidR="00BF17FF" w:rsidRPr="00C03C35">
        <w:rPr>
          <w:rFonts w:cstheme="minorHAnsi"/>
          <w:lang w:val="en-GB"/>
        </w:rPr>
        <w:t xml:space="preserve">C inside the ATR. The output from the ATR is cooled to 400 </w:t>
      </w:r>
      <w:r w:rsidR="00BF17FF" w:rsidRPr="00C03C35">
        <w:rPr>
          <w:rFonts w:ascii="Calibri" w:hAnsi="Calibri" w:cs="Calibri"/>
          <w:sz w:val="24"/>
          <w:szCs w:val="24"/>
          <w:lang w:val="en-GB"/>
        </w:rPr>
        <w:t>°</w:t>
      </w:r>
      <w:r w:rsidR="00BF17FF" w:rsidRPr="00C03C35">
        <w:rPr>
          <w:rFonts w:cstheme="minorHAnsi"/>
          <w:lang w:val="en-GB"/>
        </w:rPr>
        <w:t>C and sent to a series of water</w:t>
      </w:r>
      <w:r w:rsidR="00BF17FF" w:rsidRPr="00C03C35">
        <w:rPr>
          <w:rFonts w:cstheme="minorHAnsi"/>
          <w:lang w:val="en-GB"/>
        </w:rPr>
        <w:noBreakHyphen/>
        <w:t>gas</w:t>
      </w:r>
      <w:r w:rsidR="00BF17FF" w:rsidRPr="00C03C35">
        <w:rPr>
          <w:rFonts w:cstheme="minorHAnsi"/>
          <w:lang w:val="en-GB"/>
        </w:rPr>
        <w:noBreakHyphen/>
        <w:t>shift (WGS) reactors to convert carbon monoxide to CO</w:t>
      </w:r>
      <w:r w:rsidR="00BF17FF" w:rsidRPr="00C03C35">
        <w:rPr>
          <w:rFonts w:cstheme="minorHAnsi"/>
          <w:vertAlign w:val="subscript"/>
          <w:lang w:val="en-GB"/>
        </w:rPr>
        <w:t>2</w:t>
      </w:r>
      <w:r w:rsidR="00BF17FF" w:rsidRPr="00C03C35">
        <w:rPr>
          <w:rFonts w:cstheme="minorHAnsi"/>
          <w:lang w:val="en-GB"/>
        </w:rPr>
        <w:t>. The first one operates at a high temperature (260 </w:t>
      </w:r>
      <w:r w:rsidR="00BF17FF" w:rsidRPr="00C03C35">
        <w:rPr>
          <w:rFonts w:ascii="Calibri" w:hAnsi="Calibri" w:cs="Calibri"/>
          <w:sz w:val="24"/>
          <w:szCs w:val="24"/>
          <w:lang w:val="en-GB"/>
        </w:rPr>
        <w:t>°</w:t>
      </w:r>
      <w:r w:rsidR="00BF17FF" w:rsidRPr="00C03C35">
        <w:rPr>
          <w:rFonts w:cstheme="minorHAnsi"/>
          <w:lang w:val="en-GB"/>
        </w:rPr>
        <w:t xml:space="preserve">C), </w:t>
      </w:r>
      <w:r w:rsidR="00BF17FF" w:rsidRPr="00C03C35">
        <w:rPr>
          <w:rFonts w:cstheme="minorHAnsi"/>
          <w:i/>
          <w:lang w:val="en-GB"/>
        </w:rPr>
        <w:t>i.e.</w:t>
      </w:r>
      <w:r w:rsidR="00BF17FF" w:rsidRPr="00C03C35">
        <w:rPr>
          <w:rFonts w:cstheme="minorHAnsi"/>
          <w:lang w:val="en-GB"/>
        </w:rPr>
        <w:t>, high-temperature water</w:t>
      </w:r>
      <w:r w:rsidR="00BF17FF" w:rsidRPr="00C03C35">
        <w:rPr>
          <w:rFonts w:cstheme="minorHAnsi"/>
          <w:lang w:val="en-GB"/>
        </w:rPr>
        <w:noBreakHyphen/>
        <w:t>gas</w:t>
      </w:r>
      <w:r w:rsidR="00BF17FF" w:rsidRPr="00C03C35">
        <w:rPr>
          <w:rFonts w:cstheme="minorHAnsi"/>
          <w:lang w:val="en-GB"/>
        </w:rPr>
        <w:noBreakHyphen/>
        <w:t>shift (HTWGS) reactor. The output stream from the HTWGS is fed to a low-temperature water</w:t>
      </w:r>
      <w:r w:rsidR="00BF17FF" w:rsidRPr="00C03C35">
        <w:rPr>
          <w:rFonts w:cstheme="minorHAnsi"/>
          <w:lang w:val="en-GB"/>
        </w:rPr>
        <w:noBreakHyphen/>
        <w:t>gas</w:t>
      </w:r>
      <w:r w:rsidR="00BF17FF" w:rsidRPr="00C03C35">
        <w:rPr>
          <w:rFonts w:cstheme="minorHAnsi"/>
          <w:lang w:val="en-GB"/>
        </w:rPr>
        <w:noBreakHyphen/>
        <w:t xml:space="preserve">shift (LTWGS) reactor, which operates at 50 </w:t>
      </w:r>
      <w:r w:rsidR="00BF17FF" w:rsidRPr="00C03C35">
        <w:rPr>
          <w:rFonts w:ascii="Calibri" w:hAnsi="Calibri" w:cs="Calibri"/>
          <w:sz w:val="24"/>
          <w:szCs w:val="24"/>
          <w:lang w:val="en-GB"/>
        </w:rPr>
        <w:t>°</w:t>
      </w:r>
      <w:r w:rsidR="00BF17FF" w:rsidRPr="00C03C35">
        <w:rPr>
          <w:rFonts w:cstheme="minorHAnsi"/>
          <w:lang w:val="en-GB"/>
        </w:rPr>
        <w:t>C. The output stream from the WGS reactors is rich in CO</w:t>
      </w:r>
      <w:r w:rsidR="00BF17FF" w:rsidRPr="00C03C35">
        <w:rPr>
          <w:rFonts w:cstheme="minorHAnsi"/>
          <w:vertAlign w:val="subscript"/>
          <w:lang w:val="en-GB"/>
        </w:rPr>
        <w:t>2</w:t>
      </w:r>
      <w:r w:rsidR="00BF17FF" w:rsidRPr="00C03C35">
        <w:rPr>
          <w:rFonts w:cstheme="minorHAnsi"/>
          <w:lang w:val="en-GB"/>
        </w:rPr>
        <w:t>, which needs to be removed. This is done in an absorption column using a lean solvent stream with a composition of 90% water and 10% monoethanolamine (MEA) where 99.7% of the input CO</w:t>
      </w:r>
      <w:r w:rsidR="00BF17FF" w:rsidRPr="00C03C35">
        <w:rPr>
          <w:rFonts w:cstheme="minorHAnsi"/>
          <w:vertAlign w:val="subscript"/>
          <w:lang w:val="en-GB"/>
        </w:rPr>
        <w:t xml:space="preserve">2 </w:t>
      </w:r>
      <w:r w:rsidR="00BF17FF" w:rsidRPr="00C03C35">
        <w:rPr>
          <w:rFonts w:cstheme="minorHAnsi"/>
          <w:lang w:val="en-GB"/>
        </w:rPr>
        <w:t>is absorbed and removed in the liquid stream. The residual carbon monoxide and CO</w:t>
      </w:r>
      <w:r w:rsidR="00BF17FF" w:rsidRPr="00C03C35">
        <w:rPr>
          <w:rFonts w:cstheme="minorHAnsi"/>
          <w:vertAlign w:val="subscript"/>
          <w:lang w:val="en-GB"/>
        </w:rPr>
        <w:t xml:space="preserve">2 </w:t>
      </w:r>
      <w:r w:rsidR="00BF17FF" w:rsidRPr="00C03C35">
        <w:rPr>
          <w:rFonts w:cstheme="minorHAnsi"/>
          <w:lang w:val="en-GB"/>
        </w:rPr>
        <w:t>are eliminated to avoid poisoning the catalyst in the Haber-Bosch process.</w:t>
      </w:r>
      <w:r w:rsidR="00BF17FF" w:rsidRPr="00C03C35">
        <w:rPr>
          <w:rFonts w:cstheme="minorHAnsi"/>
          <w:lang w:val="en-GB"/>
        </w:rPr>
        <w:fldChar w:fldCharType="begin"/>
      </w:r>
      <w:r w:rsidR="00BF17FF" w:rsidRPr="00C03C35">
        <w:rPr>
          <w:rFonts w:cstheme="minorHAnsi"/>
          <w:lang w:val="en-GB"/>
        </w:rPr>
        <w:instrText xml:space="preserve"> ADDIN ZOTERO_ITEM CSL_CITATION {"citationID":"qHAYkTzO","properties":{"formattedCitation":"\\super 2\\nosupersub{}","plainCitation":"2","noteIndex":0},"citationItems":[{"id":185,"uris":["http://zotero.org/users/local/gMmtBwrT/items/JTSQAAKS"],"itemData":{"id":185,"type":"chapter","container-title":"Ullmann's Encyclopedia of Industrial Chemistry","event-place":"Weinheim, Germany","ISBN":"978-3-527-30673-2","language":"en","note":"DOI: 10.1002/14356007.o02_o11","page":"o02_o11","publisher":"Wiley-VCH Verlag GmbH &amp; Co. KGaA","publisher-place":"Weinheim, Germany","source":"DOI.org (Crossref)","title":"Ammonia, 2. Production Processes","URL":"https://onlinelibrary.wiley.com/doi/10.1002/14356007.o02_o11","editor":[{"literal":"Wiley-VCH Verlag GmbH &amp; Co. KGaA"}],"author":[{"family":"Appl","given":"Max"}],"accessed":{"date-parts":[["2023",3,15]]},"issued":{"date-parts":[["2011",10,15]]}}}],"schema":"https://github.com/citation-style-language/schema/raw/master/csl-citation.json"} </w:instrText>
      </w:r>
      <w:r w:rsidR="00BF17FF" w:rsidRPr="00C03C35">
        <w:rPr>
          <w:rFonts w:cstheme="minorHAnsi"/>
          <w:lang w:val="en-GB"/>
        </w:rPr>
        <w:fldChar w:fldCharType="separate"/>
      </w:r>
      <w:r w:rsidR="00BF17FF" w:rsidRPr="00C03C35">
        <w:rPr>
          <w:rFonts w:ascii="Calibri" w:hAnsi="Calibri" w:cs="Calibri"/>
          <w:szCs w:val="24"/>
          <w:vertAlign w:val="superscript"/>
          <w:lang w:val="en-GB"/>
        </w:rPr>
        <w:t>2</w:t>
      </w:r>
      <w:r w:rsidR="00BF17FF" w:rsidRPr="00C03C35">
        <w:rPr>
          <w:rFonts w:cstheme="minorHAnsi"/>
          <w:lang w:val="en-GB"/>
        </w:rPr>
        <w:fldChar w:fldCharType="end"/>
      </w:r>
      <w:r w:rsidR="00BF17FF" w:rsidRPr="00C03C35">
        <w:rPr>
          <w:rFonts w:cstheme="minorHAnsi"/>
          <w:lang w:val="en-GB"/>
        </w:rPr>
        <w:t xml:space="preserve"> Accordingly, a methanation unit converts the residual carbon oxides to methane. In the Haber-Bosch process, the CO</w:t>
      </w:r>
      <w:r w:rsidR="00BF17FF" w:rsidRPr="00C03C35">
        <w:rPr>
          <w:rFonts w:cstheme="minorHAnsi"/>
          <w:vertAlign w:val="subscript"/>
          <w:lang w:val="en-GB"/>
        </w:rPr>
        <w:t xml:space="preserve">2 </w:t>
      </w:r>
      <w:r w:rsidR="00BF17FF" w:rsidRPr="00C03C35">
        <w:rPr>
          <w:rFonts w:cstheme="minorHAnsi"/>
          <w:lang w:val="en-GB"/>
        </w:rPr>
        <w:t xml:space="preserve">and carbon monoxide free stream are then compressed to 196 </w:t>
      </w:r>
      <w:proofErr w:type="gramStart"/>
      <w:r w:rsidR="00BF17FF" w:rsidRPr="00C03C35">
        <w:rPr>
          <w:rFonts w:cstheme="minorHAnsi"/>
          <w:lang w:val="en-GB"/>
        </w:rPr>
        <w:t>bar</w:t>
      </w:r>
      <w:proofErr w:type="gramEnd"/>
      <w:r w:rsidR="00BF17FF" w:rsidRPr="00C03C35">
        <w:rPr>
          <w:rFonts w:cstheme="minorHAnsi"/>
          <w:lang w:val="en-GB"/>
        </w:rPr>
        <w:t xml:space="preserve">, mixed with the recycle stream, and sent to a flash separator. This stream is then sent to a series of three reactors where nitrogen and hydrogen react to produce ammonia. As mentioned previously, the outlet stream from these three reactors is cooled and mixed with the fresh feed and sent to a flash unit. The liquid stream from this flash is rich in ammonia, which is further purified with a pair of flash separators to meet industrial standards (99.6%). For the production of ammonia using green hydrogen (electrolytic hydrogen using wind or solar electricity) and blue hydrogen (SMR coupled with CCS), nitrogen from cryogenic air separation and hydrogen is mixed in the ratio 1:3 and sent to the Haber-Bosch process described earlier. A Proton Exchange Membrane (PEM) electrolyser with a stack lifetime of 60,000 hours is considered for producing green hydrogen </w:t>
      </w:r>
      <w:r w:rsidR="00BF17FF" w:rsidRPr="00C03C35">
        <w:rPr>
          <w:rFonts w:cstheme="minorHAnsi"/>
          <w:i/>
          <w:iCs/>
          <w:lang w:val="en-GB"/>
        </w:rPr>
        <w:t>via</w:t>
      </w:r>
      <w:r w:rsidR="00BF17FF" w:rsidRPr="00C03C35">
        <w:rPr>
          <w:rFonts w:cstheme="minorHAnsi"/>
          <w:lang w:val="en-GB"/>
        </w:rPr>
        <w:t xml:space="preserve"> water electrolysis. </w:t>
      </w:r>
      <w:r w:rsidR="00BF17FF" w:rsidRPr="00C03C35">
        <w:rPr>
          <w:rFonts w:cstheme="minorHAnsi"/>
          <w:b/>
          <w:lang w:val="en-GB"/>
        </w:rPr>
        <w:t>Figure S1</w:t>
      </w:r>
      <w:r w:rsidR="00BF17FF" w:rsidRPr="00C03C35">
        <w:rPr>
          <w:rFonts w:cstheme="minorHAnsi"/>
          <w:lang w:val="en-GB"/>
        </w:rPr>
        <w:t xml:space="preserve"> shows a basic visual representation of the ammonia production process.</w:t>
      </w:r>
    </w:p>
    <w:p w14:paraId="29441F27" w14:textId="77777777" w:rsidR="00BF17FF" w:rsidRPr="00C03C35" w:rsidRDefault="00BF17FF" w:rsidP="00BF17FF">
      <w:pPr>
        <w:keepNext/>
        <w:spacing w:after="0"/>
        <w:jc w:val="center"/>
        <w:rPr>
          <w:lang w:val="en-GB"/>
        </w:rPr>
      </w:pPr>
      <w:r w:rsidRPr="00C03C35">
        <w:rPr>
          <w:noProof/>
          <w:lang w:val="en-GB"/>
        </w:rPr>
        <w:lastRenderedPageBreak/>
        <w:drawing>
          <wp:inline distT="0" distB="0" distL="0" distR="0" wp14:anchorId="191BA30E" wp14:editId="544B1EE9">
            <wp:extent cx="5524511" cy="41148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mmoniaFlowsheet.png"/>
                    <pic:cNvPicPr/>
                  </pic:nvPicPr>
                  <pic:blipFill>
                    <a:blip r:embed="rId8">
                      <a:extLst>
                        <a:ext uri="{28A0092B-C50C-407E-A947-70E740481C1C}">
                          <a14:useLocalDpi xmlns:a14="http://schemas.microsoft.com/office/drawing/2010/main"/>
                        </a:ext>
                      </a:extLst>
                    </a:blip>
                    <a:stretch>
                      <a:fillRect/>
                    </a:stretch>
                  </pic:blipFill>
                  <pic:spPr>
                    <a:xfrm>
                      <a:off x="0" y="0"/>
                      <a:ext cx="5524511" cy="4114808"/>
                    </a:xfrm>
                    <a:prstGeom prst="rect">
                      <a:avLst/>
                    </a:prstGeom>
                  </pic:spPr>
                </pic:pic>
              </a:graphicData>
            </a:graphic>
          </wp:inline>
        </w:drawing>
      </w:r>
    </w:p>
    <w:p w14:paraId="356BD2C4" w14:textId="1313F0EB" w:rsidR="00BF17FF" w:rsidRPr="00C03C35" w:rsidRDefault="00BF17FF" w:rsidP="00BF17FF">
      <w:pPr>
        <w:pStyle w:val="Caption"/>
        <w:jc w:val="both"/>
        <w:rPr>
          <w:i w:val="0"/>
          <w:color w:val="auto"/>
          <w:sz w:val="20"/>
          <w:szCs w:val="20"/>
        </w:rPr>
      </w:pPr>
      <w:r w:rsidRPr="00C03C35">
        <w:rPr>
          <w:b/>
          <w:i w:val="0"/>
          <w:color w:val="auto"/>
          <w:sz w:val="20"/>
          <w:szCs w:val="20"/>
        </w:rPr>
        <w:t>Figure S1. Flowsheet for the production of fossil ammonia.</w:t>
      </w:r>
      <w:r w:rsidRPr="00C03C35">
        <w:rPr>
          <w:i w:val="0"/>
          <w:color w:val="auto"/>
          <w:sz w:val="20"/>
          <w:szCs w:val="20"/>
        </w:rPr>
        <w:t xml:space="preserve"> For green ammonia, green hydrogen from water electrolysis and nitrogen from cryogenic air separation are mixed in the ratio 3:1 to prepare the Haber-Bosch feed.</w:t>
      </w:r>
      <w:r w:rsidRPr="00C03C35">
        <w:rPr>
          <w:i w:val="0"/>
          <w:color w:val="auto"/>
          <w:sz w:val="20"/>
          <w:szCs w:val="20"/>
        </w:rPr>
        <w:fldChar w:fldCharType="begin"/>
      </w:r>
      <w:r w:rsidR="003070D5">
        <w:rPr>
          <w:i w:val="0"/>
          <w:color w:val="auto"/>
          <w:sz w:val="20"/>
          <w:szCs w:val="20"/>
        </w:rPr>
        <w:instrText xml:space="preserve"> ADDIN ZOTERO_ITEM CSL_CITATION {"citationID":"FPBdjLqv","properties":{"formattedCitation":"\\super 1\\nosupersub{}","plainCitation":"1","noteIndex":0},"citationItems":[{"id":"dHwHotKY/5mm4tg0v","uris":["http://zotero.org/users/9157291/items/AFKW7KRC"],"itemData":{"id":"gaHE3NOR/RP6IXmnB","type":"article-journal","abstract":"At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Pr="00C03C35">
        <w:rPr>
          <w:i w:val="0"/>
          <w:color w:val="auto"/>
          <w:sz w:val="20"/>
          <w:szCs w:val="20"/>
        </w:rPr>
        <w:fldChar w:fldCharType="separate"/>
      </w:r>
      <w:r w:rsidRPr="00C03C35">
        <w:rPr>
          <w:rFonts w:ascii="Calibri" w:hAnsi="Calibri" w:cs="Calibri"/>
          <w:i w:val="0"/>
          <w:color w:val="auto"/>
          <w:sz w:val="20"/>
          <w:szCs w:val="24"/>
          <w:vertAlign w:val="superscript"/>
        </w:rPr>
        <w:t>1</w:t>
      </w:r>
      <w:r w:rsidRPr="00C03C35">
        <w:rPr>
          <w:i w:val="0"/>
          <w:color w:val="auto"/>
          <w:sz w:val="20"/>
          <w:szCs w:val="20"/>
        </w:rPr>
        <w:fldChar w:fldCharType="end"/>
      </w:r>
    </w:p>
    <w:p w14:paraId="04817A81" w14:textId="77777777" w:rsidR="00BF17FF" w:rsidRPr="00C03C35" w:rsidRDefault="00BF17FF" w:rsidP="00BF17FF">
      <w:pPr>
        <w:pStyle w:val="Heading3"/>
        <w:jc w:val="both"/>
        <w:rPr>
          <w:lang w:val="en-GB"/>
        </w:rPr>
      </w:pPr>
      <w:r w:rsidRPr="00C03C35">
        <w:rPr>
          <w:lang w:val="en-GB"/>
        </w:rPr>
        <w:t>Methanol</w:t>
      </w:r>
    </w:p>
    <w:p w14:paraId="76455D68" w14:textId="165FDCA8" w:rsidR="00BF17FF" w:rsidRPr="00C03C35" w:rsidRDefault="009D4401" w:rsidP="00BF17FF">
      <w:pPr>
        <w:spacing w:after="0"/>
        <w:jc w:val="both"/>
        <w:rPr>
          <w:rFonts w:cstheme="minorHAnsi"/>
          <w:lang w:val="en-GB"/>
        </w:rPr>
      </w:pPr>
      <w:r w:rsidRPr="00C03C35">
        <w:rPr>
          <w:rFonts w:cstheme="minorHAnsi"/>
          <w:lang w:val="en-GB"/>
        </w:rPr>
        <w:t xml:space="preserve">The production routes for fossil and green methanol, as outlined in this article, rely on process models originally developed by </w:t>
      </w:r>
      <w:r w:rsidR="00BF17FF" w:rsidRPr="00C03C35">
        <w:rPr>
          <w:rFonts w:cstheme="minorHAnsi"/>
          <w:lang w:val="en-GB"/>
        </w:rPr>
        <w:t xml:space="preserve">González-Garay </w:t>
      </w:r>
      <w:r w:rsidR="00BF17FF" w:rsidRPr="00C03C35">
        <w:rPr>
          <w:rFonts w:cstheme="minorHAnsi"/>
          <w:i/>
          <w:lang w:val="en-GB"/>
        </w:rPr>
        <w:t>et al.</w:t>
      </w:r>
      <w:r w:rsidR="00BF17FF" w:rsidRPr="00C03C35">
        <w:rPr>
          <w:bCs/>
          <w:iCs/>
          <w:sz w:val="20"/>
          <w:szCs w:val="20"/>
          <w:lang w:val="en-GB"/>
        </w:rPr>
        <w:fldChar w:fldCharType="begin"/>
      </w:r>
      <w:r w:rsidR="003070D5">
        <w:rPr>
          <w:bCs/>
          <w:iCs/>
          <w:sz w:val="20"/>
          <w:szCs w:val="20"/>
          <w:lang w:val="en-GB"/>
        </w:rPr>
        <w:instrText xml:space="preserve"> ADDIN ZOTERO_ITEM CSL_CITATION {"citationID":"0utTuTWq","properties":{"formattedCitation":"\\super 3\\nosupersub{}","plainCitation":"3","noteIndex":0},"citationItems":[{"id":"dHwHotKY/12cLPJSI","uris":["http://www.mendeley.com/documents/?uuid=3598e592-4386-46f5-b0ae-cec5a0ada220"],"itemData":{"DOI":"10.1039/c9ee01673b","abstract":"A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advances.","author":[{"dropping-particle":"","family":"González-Garay","given":"Andrés","non-dropping-particle":"","parse-names":false,"suffix":""},{"dropping-particle":"","family":"Frei","given":"Matthias S","non-dropping-particle":"","parse-names":false,"suffix":""},{"dropping-particle":"","family":"Al-Qahtani","given":"Amjad","non-dropping-particle":"","parse-names":false,"suffix":""},{"dropping-particle":"","family":"Mondelli","given":"Cecilia","non-dropping-particle":"","parse-names":false,"suffix":""},{"dropping-particle":"","family":"Guillén-Gosálbez","given":"Gonzalo","non-dropping-particle":"","parse-names":false,"suffix":""},{"dropping-particle":"","family":"Pérez-Ramírez","given":"Javier","non-dropping-particle":"","parse-names":false,"suffix":""}],"container-title":"Energy and Environmental Science","id":"JLxsTSMP/HsSp6KGv","issue":"12","issued":{"date-parts":[["2019"]]},"page":"3425-3436","publisher":"Royal Society of Chemistry","title":"Plant-to-planet analysis of CO2-based methanol processes","type":"article-journal","volume":"12"}}],"schema":"https://github.com/citation-style-language/schema/raw/master/csl-citation.json"} </w:instrText>
      </w:r>
      <w:r w:rsidR="00BF17FF" w:rsidRPr="00C03C35">
        <w:rPr>
          <w:bCs/>
          <w:iCs/>
          <w:sz w:val="20"/>
          <w:szCs w:val="20"/>
          <w:lang w:val="en-GB"/>
        </w:rPr>
        <w:fldChar w:fldCharType="separate"/>
      </w:r>
      <w:r w:rsidR="00BF17FF" w:rsidRPr="00C03C35">
        <w:rPr>
          <w:rFonts w:ascii="Calibri" w:hAnsi="Calibri" w:cs="Calibri"/>
          <w:sz w:val="20"/>
          <w:szCs w:val="24"/>
          <w:vertAlign w:val="superscript"/>
          <w:lang w:val="en-GB"/>
        </w:rPr>
        <w:t>3</w:t>
      </w:r>
      <w:r w:rsidR="00BF17FF" w:rsidRPr="00C03C35">
        <w:rPr>
          <w:bCs/>
          <w:iCs/>
          <w:sz w:val="20"/>
          <w:szCs w:val="20"/>
          <w:lang w:val="en-GB"/>
        </w:rPr>
        <w:fldChar w:fldCharType="end"/>
      </w:r>
      <w:r w:rsidR="00CA6EE5" w:rsidRPr="00C03C35">
        <w:rPr>
          <w:bCs/>
          <w:iCs/>
          <w:sz w:val="20"/>
          <w:szCs w:val="20"/>
          <w:lang w:val="en-GB"/>
        </w:rPr>
        <w:t xml:space="preserve"> </w:t>
      </w:r>
      <w:r w:rsidRPr="00C03C35">
        <w:rPr>
          <w:bCs/>
          <w:iCs/>
          <w:lang w:val="en-GB"/>
        </w:rPr>
        <w:t>using</w:t>
      </w:r>
      <w:r w:rsidR="00CA6EE5" w:rsidRPr="00C03C35">
        <w:rPr>
          <w:bCs/>
          <w:iCs/>
          <w:lang w:val="en-GB"/>
        </w:rPr>
        <w:t xml:space="preserve"> Aspen HYSYS</w:t>
      </w:r>
      <w:r w:rsidR="00CA6EE5" w:rsidRPr="00C03C35">
        <w:rPr>
          <w:bCs/>
          <w:iCs/>
          <w:sz w:val="20"/>
          <w:szCs w:val="20"/>
          <w:lang w:val="en-GB"/>
        </w:rPr>
        <w:t>.</w:t>
      </w:r>
      <w:r w:rsidR="00BF17FF" w:rsidRPr="00C03C35">
        <w:rPr>
          <w:rFonts w:cstheme="minorHAnsi"/>
          <w:lang w:val="en-GB"/>
        </w:rPr>
        <w:t xml:space="preserve"> Fossil methanol is produced from syngas from natural gas </w:t>
      </w:r>
      <w:r w:rsidR="00BF17FF" w:rsidRPr="00C03C35">
        <w:rPr>
          <w:rFonts w:cstheme="minorHAnsi"/>
          <w:i/>
          <w:iCs/>
          <w:lang w:val="en-GB"/>
        </w:rPr>
        <w:t>via</w:t>
      </w:r>
      <w:r w:rsidR="00BF17FF" w:rsidRPr="00C03C35">
        <w:rPr>
          <w:rFonts w:cstheme="minorHAnsi"/>
          <w:lang w:val="en-GB"/>
        </w:rPr>
        <w:t xml:space="preserve"> SMR. Syngas is then compressed to 110 bar, mixed with the recycle streams and then heated to 150 </w:t>
      </w:r>
      <w:r w:rsidR="00BF17FF" w:rsidRPr="00C03C35">
        <w:rPr>
          <w:rFonts w:ascii="Calibri" w:hAnsi="Calibri" w:cs="Calibri"/>
          <w:sz w:val="24"/>
          <w:szCs w:val="24"/>
          <w:lang w:val="en-GB"/>
        </w:rPr>
        <w:t>°</w:t>
      </w:r>
      <w:r w:rsidR="00BF17FF" w:rsidRPr="00C03C35">
        <w:rPr>
          <w:rFonts w:cstheme="minorHAnsi"/>
          <w:lang w:val="en-GB"/>
        </w:rPr>
        <w:t>C before being fed to a plug-flow reactor where syngas is converted to methanol following the kinetic model in Bussche and Froment.</w:t>
      </w:r>
      <w:r w:rsidR="00BF17FF" w:rsidRPr="00C03C35">
        <w:rPr>
          <w:rFonts w:cstheme="minorHAnsi"/>
          <w:lang w:val="en-GB"/>
        </w:rPr>
        <w:fldChar w:fldCharType="begin"/>
      </w:r>
      <w:r w:rsidR="00BF17FF" w:rsidRPr="00C03C35">
        <w:rPr>
          <w:rFonts w:cstheme="minorHAnsi"/>
          <w:lang w:val="en-GB"/>
        </w:rPr>
        <w:instrText xml:space="preserve"> ADDIN ZOTERO_ITEM CSL_CITATION {"citationID":"3rVx6DwQ","properties":{"formattedCitation":"\\super 4\\nosupersub{}","plainCitation":"4","noteIndex":0},"citationItems":[{"id":113,"uris":["http://zotero.org/users/local/gMmtBwrT/items/WH37U8N3"],"itemData":{"id":113,"type":"report","abstract":"A detailed reaction network, derived from literature data and our own experimental work, is used as a basis for the development of a steady-state kinetic model for methanol synthesis and the water gas shift reaction on a commercial Cu/ZnO/Al 2 O 3 catalyst. Experimental data, obtained in a bench scale setup, operating between 180 and 280 • C and at pressures up to 51 bar, are subsequently used for the estimation of the parameters in the proposed model. The result is a mechanistically sound kinetic model, comprising a set of statistically significant and physically meaningful parameter groups. It accurately predicts the experimentally obtained conversions, even upon extrapolation outside the originally applied experimental window. Using this model, the influence of inlet temperature, pressure, and the ratio of p CO and p CO 2 are briefly illustrated.","note":"container-title: JOURNAL OF CATALYSIS\nvolume: 161","page":"1-10","title":"Methanol kinetics","author":[{"family":"Bussche","given":"K M Vanden"},{"family":"Froment","given":"G F"}],"issued":{"date-parts":[["1996"]]}}}],"schema":"https://github.com/citation-style-language/schema/raw/master/csl-citation.json"} </w:instrText>
      </w:r>
      <w:r w:rsidR="00BF17FF" w:rsidRPr="00C03C35">
        <w:rPr>
          <w:rFonts w:cstheme="minorHAnsi"/>
          <w:lang w:val="en-GB"/>
        </w:rPr>
        <w:fldChar w:fldCharType="separate"/>
      </w:r>
      <w:r w:rsidR="00BF17FF" w:rsidRPr="00C03C35">
        <w:rPr>
          <w:rFonts w:ascii="Calibri" w:hAnsi="Calibri" w:cs="Calibri"/>
          <w:szCs w:val="24"/>
          <w:vertAlign w:val="superscript"/>
          <w:lang w:val="en-GB"/>
        </w:rPr>
        <w:t>4</w:t>
      </w:r>
      <w:r w:rsidR="00BF17FF" w:rsidRPr="00C03C35">
        <w:rPr>
          <w:rFonts w:cstheme="minorHAnsi"/>
          <w:lang w:val="en-GB"/>
        </w:rPr>
        <w:fldChar w:fldCharType="end"/>
      </w:r>
      <w:r w:rsidR="00BF17FF" w:rsidRPr="00C03C35">
        <w:rPr>
          <w:rFonts w:cstheme="minorHAnsi"/>
          <w:lang w:val="en-GB"/>
        </w:rPr>
        <w:t xml:space="preserve"> The output stream from the reactor is cooled to 38 </w:t>
      </w:r>
      <w:r w:rsidR="00BF17FF" w:rsidRPr="00C03C35">
        <w:rPr>
          <w:rFonts w:ascii="Calibri" w:hAnsi="Calibri" w:cs="Calibri"/>
          <w:sz w:val="24"/>
          <w:szCs w:val="24"/>
          <w:lang w:val="en-GB"/>
        </w:rPr>
        <w:t>°</w:t>
      </w:r>
      <w:r w:rsidR="00BF17FF" w:rsidRPr="00C03C35">
        <w:rPr>
          <w:rFonts w:cstheme="minorHAnsi"/>
          <w:lang w:val="en-GB"/>
        </w:rPr>
        <w:t>C and sent to a flash separator. A small portion of the gas stream from the flash separator is purged whereas the rest is pressurized to 110 bar and recycled. The liquid stream from the flash separator is expanded to 2 bar and sent to a second flash unit, where the gas stream is again pressurized to 110 bar and recycled, and the liquid stream is sent to a distillation column. The distillation column separates liquid methanol (at the condenser) with a purity of 99.9% and water (at the bottom). To produce methanol using green and blue hydrogen, CO</w:t>
      </w:r>
      <w:r w:rsidR="00BF17FF" w:rsidRPr="00C03C35">
        <w:rPr>
          <w:rFonts w:cstheme="minorHAnsi"/>
          <w:vertAlign w:val="subscript"/>
          <w:lang w:val="en-GB"/>
        </w:rPr>
        <w:t xml:space="preserve">2 </w:t>
      </w:r>
      <w:r w:rsidR="00BF17FF" w:rsidRPr="00C03C35">
        <w:rPr>
          <w:rFonts w:cstheme="minorHAnsi"/>
          <w:lang w:val="en-GB"/>
        </w:rPr>
        <w:t xml:space="preserve">from DAC and hydrogen is mixed with the recycle streams, compressed to 50 </w:t>
      </w:r>
      <w:proofErr w:type="gramStart"/>
      <w:r w:rsidR="00BF17FF" w:rsidRPr="00C03C35">
        <w:rPr>
          <w:rFonts w:cstheme="minorHAnsi"/>
          <w:lang w:val="en-GB"/>
        </w:rPr>
        <w:t>bar</w:t>
      </w:r>
      <w:proofErr w:type="gramEnd"/>
      <w:r w:rsidR="00BF17FF" w:rsidRPr="00C03C35">
        <w:rPr>
          <w:rFonts w:cstheme="minorHAnsi"/>
          <w:lang w:val="en-GB"/>
        </w:rPr>
        <w:t xml:space="preserve">, and heated to 180-280 </w:t>
      </w:r>
      <w:r w:rsidR="00BF17FF" w:rsidRPr="00C03C35">
        <w:rPr>
          <w:rFonts w:ascii="Calibri" w:hAnsi="Calibri" w:cs="Calibri"/>
          <w:sz w:val="24"/>
          <w:szCs w:val="24"/>
          <w:lang w:val="en-GB"/>
        </w:rPr>
        <w:t>°</w:t>
      </w:r>
      <w:r w:rsidR="00BF17FF" w:rsidRPr="00C03C35">
        <w:rPr>
          <w:rFonts w:cstheme="minorHAnsi"/>
          <w:lang w:val="en-GB"/>
        </w:rPr>
        <w:t>C. This stream is then sent to a reactor where, the reverse water</w:t>
      </w:r>
      <w:r w:rsidR="00237648">
        <w:rPr>
          <w:rFonts w:cstheme="minorHAnsi"/>
          <w:lang w:val="en-GB"/>
        </w:rPr>
        <w:noBreakHyphen/>
      </w:r>
      <w:r w:rsidR="00BF17FF" w:rsidRPr="00C03C35">
        <w:rPr>
          <w:rFonts w:cstheme="minorHAnsi"/>
          <w:lang w:val="en-GB"/>
        </w:rPr>
        <w:t>gas</w:t>
      </w:r>
      <w:r w:rsidR="00D2727E">
        <w:rPr>
          <w:rFonts w:cstheme="minorHAnsi"/>
          <w:lang w:val="en-GB"/>
        </w:rPr>
        <w:t xml:space="preserve"> </w:t>
      </w:r>
      <w:r w:rsidR="00BF17FF" w:rsidRPr="00C03C35">
        <w:rPr>
          <w:rFonts w:cstheme="minorHAnsi"/>
          <w:lang w:val="en-GB"/>
        </w:rPr>
        <w:t>shift (RWGS) reaction takes place, converting CO</w:t>
      </w:r>
      <w:r w:rsidR="00BF17FF" w:rsidRPr="00C03C35">
        <w:rPr>
          <w:rFonts w:cstheme="minorHAnsi"/>
          <w:vertAlign w:val="subscript"/>
          <w:lang w:val="en-GB"/>
        </w:rPr>
        <w:t xml:space="preserve">2 </w:t>
      </w:r>
      <w:r w:rsidR="00BF17FF" w:rsidRPr="00C03C35">
        <w:rPr>
          <w:rFonts w:cstheme="minorHAnsi"/>
          <w:lang w:val="en-GB"/>
        </w:rPr>
        <w:t>to carbon monoxide, which is consequently hydrogenated to methanol. Similar to fossil methanol, the outlet from the reactor is sent to a series of two flash separators where the gas stream from the first flash is recycled (with a purge). The liquid stream from the second flash unit is sent to a distillation column which recovers methanol at a purity of 99.9%. The CO</w:t>
      </w:r>
      <w:r w:rsidR="00BF17FF" w:rsidRPr="00C03C35">
        <w:rPr>
          <w:rFonts w:cstheme="minorHAnsi"/>
          <w:vertAlign w:val="subscript"/>
          <w:lang w:val="en-GB"/>
        </w:rPr>
        <w:t xml:space="preserve">2 </w:t>
      </w:r>
      <w:r w:rsidR="00BF17FF" w:rsidRPr="00C03C35">
        <w:rPr>
          <w:rFonts w:cstheme="minorHAnsi"/>
          <w:lang w:val="en-GB"/>
        </w:rPr>
        <w:t xml:space="preserve">fed to the reactor is obtained </w:t>
      </w:r>
      <w:r w:rsidR="00BF17FF" w:rsidRPr="00C03C35">
        <w:rPr>
          <w:rFonts w:cstheme="minorHAnsi"/>
          <w:i/>
          <w:lang w:val="en-GB"/>
        </w:rPr>
        <w:t>via</w:t>
      </w:r>
      <w:r w:rsidR="00BF17FF" w:rsidRPr="00C03C35">
        <w:rPr>
          <w:rFonts w:cstheme="minorHAnsi"/>
          <w:lang w:val="en-GB"/>
        </w:rPr>
        <w:t xml:space="preserve"> the DAC technology adapted from the work by Keith </w:t>
      </w:r>
      <w:r w:rsidR="00BF17FF" w:rsidRPr="00C03C35">
        <w:rPr>
          <w:rFonts w:cstheme="minorHAnsi"/>
          <w:i/>
          <w:lang w:val="en-GB"/>
        </w:rPr>
        <w:t>et al.</w:t>
      </w:r>
      <w:r w:rsidR="00BF17FF" w:rsidRPr="00C03C35">
        <w:rPr>
          <w:rFonts w:cstheme="minorHAnsi"/>
          <w:i/>
          <w:lang w:val="en-GB"/>
        </w:rPr>
        <w:fldChar w:fldCharType="begin"/>
      </w:r>
      <w:r w:rsidR="003070D5">
        <w:rPr>
          <w:rFonts w:cstheme="minorHAnsi"/>
          <w:i/>
          <w:lang w:val="en-GB"/>
        </w:rPr>
        <w:instrText xml:space="preserve"> ADDIN ZOTERO_ITEM CSL_CITATION {"citationID":"75E2jXmh","properties":{"formattedCitation":"\\super 5\\nosupersub{}","plainCitation":"5","noteIndex":0},"citationItems":[{"id":"dHwHotKY/pOnJPbl1","uris":["http://zotero.org/users/9157291/items/SHKUDHUW"],"itemData":{"id":"gaHE3NOR/Dz2yJwUq","type":"article-journal","abstract":"We describe a process for capturing CO2 from the atmosphere in an industrial plant. The design captures </w:instrText>
      </w:r>
      <w:r w:rsidR="003070D5">
        <w:rPr>
          <w:rFonts w:ascii="Cambria Math" w:hAnsi="Cambria Math" w:cs="Cambria Math"/>
          <w:i/>
          <w:lang w:val="en-GB"/>
        </w:rPr>
        <w:instrText>∼</w:instrText>
      </w:r>
      <w:r w:rsidR="003070D5">
        <w:rPr>
          <w:rFonts w:cstheme="minorHAnsi"/>
          <w:i/>
          <w:lang w:val="en-GB"/>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BF17FF" w:rsidRPr="00C03C35">
        <w:rPr>
          <w:rFonts w:cstheme="minorHAnsi"/>
          <w:i/>
          <w:lang w:val="en-GB"/>
        </w:rPr>
        <w:fldChar w:fldCharType="separate"/>
      </w:r>
      <w:r w:rsidR="00BF17FF" w:rsidRPr="00C03C35">
        <w:rPr>
          <w:rFonts w:ascii="Calibri" w:hAnsi="Calibri" w:cs="Calibri"/>
          <w:szCs w:val="24"/>
          <w:vertAlign w:val="superscript"/>
          <w:lang w:val="en-GB"/>
        </w:rPr>
        <w:t>5</w:t>
      </w:r>
      <w:r w:rsidR="00BF17FF" w:rsidRPr="00C03C35">
        <w:rPr>
          <w:rFonts w:cstheme="minorHAnsi"/>
          <w:i/>
          <w:lang w:val="en-GB"/>
        </w:rPr>
        <w:fldChar w:fldCharType="end"/>
      </w:r>
      <w:r w:rsidR="00BF17FF" w:rsidRPr="00C03C35">
        <w:rPr>
          <w:rFonts w:cstheme="minorHAnsi"/>
          <w:lang w:val="en-GB"/>
        </w:rPr>
        <w:t xml:space="preserve"> Here, aqueous potassium hydroxide (KOH) is used as a sorbent and a caustic calcium cycle is implemented for the regeneration of KOH. However, </w:t>
      </w:r>
      <w:r w:rsidR="00BF17FF" w:rsidRPr="00C03C35">
        <w:rPr>
          <w:rFonts w:cstheme="minorHAnsi"/>
          <w:lang w:val="en-GB"/>
        </w:rPr>
        <w:lastRenderedPageBreak/>
        <w:t xml:space="preserve">energy from natural gas is required for the calciner in the recovery cycle. </w:t>
      </w:r>
      <w:r w:rsidR="00BF17FF" w:rsidRPr="00C03C35">
        <w:rPr>
          <w:rFonts w:cstheme="minorHAnsi"/>
          <w:b/>
          <w:lang w:val="en-GB"/>
        </w:rPr>
        <w:t>Figure S2</w:t>
      </w:r>
      <w:r w:rsidR="00BF17FF" w:rsidRPr="00C03C35">
        <w:rPr>
          <w:rFonts w:cstheme="minorHAnsi"/>
          <w:lang w:val="en-GB"/>
        </w:rPr>
        <w:t xml:space="preserve"> shows a basic visual representation of the methanol production process.</w:t>
      </w:r>
    </w:p>
    <w:p w14:paraId="5E1D67F9" w14:textId="77777777" w:rsidR="00BF17FF" w:rsidRPr="00C03C35" w:rsidRDefault="00BF17FF" w:rsidP="00BF17FF">
      <w:pPr>
        <w:keepNext/>
        <w:spacing w:after="0"/>
        <w:jc w:val="center"/>
        <w:rPr>
          <w:lang w:val="en-GB"/>
        </w:rPr>
      </w:pPr>
      <w:r w:rsidRPr="00C03C35">
        <w:rPr>
          <w:noProof/>
          <w:lang w:val="en-GB"/>
        </w:rPr>
        <w:drawing>
          <wp:inline distT="0" distB="0" distL="0" distR="0" wp14:anchorId="60EDADC7" wp14:editId="1930A308">
            <wp:extent cx="5524511" cy="32004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thanolFlowsheet.png"/>
                    <pic:cNvPicPr/>
                  </pic:nvPicPr>
                  <pic:blipFill>
                    <a:blip r:embed="rId9">
                      <a:extLst>
                        <a:ext uri="{28A0092B-C50C-407E-A947-70E740481C1C}">
                          <a14:useLocalDpi xmlns:a14="http://schemas.microsoft.com/office/drawing/2010/main"/>
                        </a:ext>
                      </a:extLst>
                    </a:blip>
                    <a:stretch>
                      <a:fillRect/>
                    </a:stretch>
                  </pic:blipFill>
                  <pic:spPr>
                    <a:xfrm>
                      <a:off x="0" y="0"/>
                      <a:ext cx="5524511" cy="3200407"/>
                    </a:xfrm>
                    <a:prstGeom prst="rect">
                      <a:avLst/>
                    </a:prstGeom>
                  </pic:spPr>
                </pic:pic>
              </a:graphicData>
            </a:graphic>
          </wp:inline>
        </w:drawing>
      </w:r>
    </w:p>
    <w:p w14:paraId="292AABC7" w14:textId="55582262" w:rsidR="00BF17FF" w:rsidRPr="00C03C35" w:rsidRDefault="00BF17FF" w:rsidP="00BF17FF">
      <w:pPr>
        <w:pStyle w:val="Caption"/>
        <w:jc w:val="both"/>
      </w:pPr>
      <w:r w:rsidRPr="00C03C35">
        <w:rPr>
          <w:b/>
          <w:i w:val="0"/>
          <w:color w:val="auto"/>
          <w:sz w:val="20"/>
          <w:szCs w:val="20"/>
        </w:rPr>
        <w:t>Figure S2. Flowsheet for the production of fossil methanol.</w:t>
      </w:r>
      <w:r w:rsidRPr="00C03C35">
        <w:rPr>
          <w:i w:val="0"/>
          <w:color w:val="auto"/>
          <w:sz w:val="20"/>
          <w:szCs w:val="20"/>
        </w:rPr>
        <w:t xml:space="preserve"> For green methanol, CO</w:t>
      </w:r>
      <w:r w:rsidRPr="00C03C35">
        <w:rPr>
          <w:i w:val="0"/>
          <w:color w:val="auto"/>
          <w:sz w:val="20"/>
          <w:szCs w:val="20"/>
          <w:vertAlign w:val="subscript"/>
        </w:rPr>
        <w:t>2</w:t>
      </w:r>
      <w:r w:rsidRPr="00C03C35">
        <w:rPr>
          <w:i w:val="0"/>
          <w:color w:val="auto"/>
          <w:sz w:val="20"/>
          <w:szCs w:val="20"/>
        </w:rPr>
        <w:t xml:space="preserve"> from DAC and hydrogen from water electrolysis are mixed in the ratio of around 1:3 and the reactor operates at 50 bar.</w:t>
      </w:r>
      <w:r w:rsidRPr="00C03C35">
        <w:rPr>
          <w:i w:val="0"/>
          <w:color w:val="auto"/>
          <w:sz w:val="20"/>
          <w:szCs w:val="20"/>
        </w:rPr>
        <w:fldChar w:fldCharType="begin"/>
      </w:r>
      <w:r w:rsidR="003070D5">
        <w:rPr>
          <w:i w:val="0"/>
          <w:color w:val="auto"/>
          <w:sz w:val="20"/>
          <w:szCs w:val="20"/>
        </w:rPr>
        <w:instrText xml:space="preserve"> ADDIN ZOTERO_ITEM CSL_CITATION {"citationID":"TgoerqVX","properties":{"formattedCitation":"\\super 3\\nosupersub{}","plainCitation":"3","noteIndex":0},"citationItems":[{"id":"dHwHotKY/12cLPJSI","uris":["http://www.mendeley.com/documents/?uuid=3598e592-4386-46f5-b0ae-cec5a0ada220"],"itemData":{"DOI":"10.1039/c9ee01673b","abstract":"A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advances.","author":[{"dropping-particle":"","family":"González-Garay","given":"Andrés","non-dropping-particle":"","parse-names":false,"suffix":""},{"dropping-particle":"","family":"Frei","given":"Matthias S","non-dropping-particle":"","parse-names":false,"suffix":""},{"dropping-particle":"","family":"Al-Qahtani","given":"Amjad","non-dropping-particle":"","parse-names":false,"suffix":""},{"dropping-particle":"","family":"Mondelli","given":"Cecilia","non-dropping-particle":"","parse-names":false,"suffix":""},{"dropping-particle":"","family":"Guillén-Gosálbez","given":"Gonzalo","non-dropping-particle":"","parse-names":false,"suffix":""},{"dropping-particle":"","family":"Pérez-Ramírez","given":"Javier","non-dropping-particle":"","parse-names":false,"suffix":""}],"container-title":"Energy and Environmental Science","id":"gaHE3NOR/Y3wgcKHz","issue":"12","issued":{"date-parts":[["2019"]]},"page":"3425-3436","publisher":"Royal Society of Chemistry","title":"Plant-to-planet analysis of CO2-based methanol processes","type":"article-journal","volume":"12"}}],"schema":"https://github.com/citation-style-language/schema/raw/master/csl-citation.json"} </w:instrText>
      </w:r>
      <w:r w:rsidRPr="00C03C35">
        <w:rPr>
          <w:i w:val="0"/>
          <w:color w:val="auto"/>
          <w:sz w:val="20"/>
          <w:szCs w:val="20"/>
        </w:rPr>
        <w:fldChar w:fldCharType="separate"/>
      </w:r>
      <w:r w:rsidRPr="00C03C35">
        <w:rPr>
          <w:rFonts w:ascii="Calibri" w:hAnsi="Calibri" w:cs="Calibri"/>
          <w:i w:val="0"/>
          <w:color w:val="auto"/>
          <w:sz w:val="20"/>
          <w:szCs w:val="24"/>
          <w:vertAlign w:val="superscript"/>
        </w:rPr>
        <w:t>3</w:t>
      </w:r>
      <w:r w:rsidRPr="00C03C35">
        <w:rPr>
          <w:i w:val="0"/>
          <w:color w:val="auto"/>
          <w:sz w:val="20"/>
          <w:szCs w:val="20"/>
        </w:rPr>
        <w:fldChar w:fldCharType="end"/>
      </w:r>
    </w:p>
    <w:p w14:paraId="650CAF7B" w14:textId="77777777" w:rsidR="00BF17FF" w:rsidRPr="00C03C35" w:rsidRDefault="00BF17FF" w:rsidP="00BF17FF">
      <w:pPr>
        <w:pStyle w:val="Heading2"/>
        <w:rPr>
          <w:lang w:val="en-GB"/>
        </w:rPr>
      </w:pPr>
      <w:r w:rsidRPr="00C03C35">
        <w:rPr>
          <w:lang w:val="en-GB"/>
        </w:rPr>
        <w:t>Economic assessment</w:t>
      </w:r>
    </w:p>
    <w:p w14:paraId="32B4F8BF" w14:textId="77814DE8" w:rsidR="00BF17FF" w:rsidRPr="00C03C35" w:rsidRDefault="00BF17FF" w:rsidP="00BF17FF">
      <w:pPr>
        <w:jc w:val="both"/>
        <w:rPr>
          <w:lang w:val="en-GB"/>
        </w:rPr>
      </w:pPr>
      <w:r w:rsidRPr="00C03C35">
        <w:rPr>
          <w:lang w:val="en-GB"/>
        </w:rPr>
        <w:t xml:space="preserve">We used data from process simulations to determine the energy and material inputs and outputs as well as the necessary infrastructure associated with each production route. We then estimated the </w:t>
      </w:r>
      <w:r w:rsidRPr="00C03C35">
        <w:rPr>
          <w:rFonts w:cstheme="minorHAnsi"/>
          <w:bCs/>
          <w:lang w:val="en-GB"/>
        </w:rPr>
        <w:t>operational and capital expenditures (</w:t>
      </w:r>
      <w:r w:rsidRPr="00C03C35">
        <w:rPr>
          <w:lang w:val="en-GB"/>
        </w:rPr>
        <w:t xml:space="preserve">OPEX and CAPEX) for a reference year (2019), adjusting afterwards the results for other years using the Chemical Engineering Plant Cost Index (CEPCI) to account for inflation. For the OPEX calculations, the natural gas and electricity prices were not adjusted for inflation but instead we considered explicitly its fluctuating price at any given point in time (monthly average) based on historical market values. The hydrogen cost, which is part of the OPEX, was estimated from the renewable electricity price and the electrolyser cost following the method in </w:t>
      </w:r>
      <w:r w:rsidR="00C306C5" w:rsidRPr="00C03C35">
        <w:rPr>
          <w:lang w:val="en-GB"/>
        </w:rPr>
        <w:t>Section 2.</w:t>
      </w:r>
      <w:r w:rsidR="002F3504" w:rsidRPr="00C03C35">
        <w:rPr>
          <w:lang w:val="en-GB"/>
        </w:rPr>
        <w:t>4</w:t>
      </w:r>
      <w:r w:rsidRPr="00C03C35">
        <w:rPr>
          <w:lang w:val="en-GB"/>
        </w:rPr>
        <w:t xml:space="preserve">. </w:t>
      </w:r>
      <w:r w:rsidRPr="00C03C35">
        <w:rPr>
          <w:rFonts w:cstheme="minorHAnsi"/>
          <w:b/>
          <w:lang w:val="en-GB"/>
        </w:rPr>
        <w:t>Figure S3</w:t>
      </w:r>
      <w:r w:rsidRPr="00C03C35">
        <w:rPr>
          <w:lang w:val="en-GB"/>
        </w:rPr>
        <w:t xml:space="preserve"> and </w:t>
      </w:r>
      <w:r w:rsidRPr="00C03C35">
        <w:rPr>
          <w:rFonts w:cstheme="minorHAnsi"/>
          <w:b/>
          <w:lang w:val="en-GB"/>
        </w:rPr>
        <w:t xml:space="preserve">Figure S4 </w:t>
      </w:r>
      <w:r w:rsidRPr="00C03C35">
        <w:rPr>
          <w:rFonts w:cstheme="minorHAnsi"/>
          <w:lang w:val="en-GB"/>
        </w:rPr>
        <w:t xml:space="preserve">show a </w:t>
      </w:r>
      <w:r w:rsidRPr="00C03C35">
        <w:rPr>
          <w:lang w:val="en-GB"/>
        </w:rPr>
        <w:t>graphic representation of the economic models for the estimation of production costs of fossil and green ammonia and methanol, respectively. The data used is presented in the following sections.</w:t>
      </w:r>
    </w:p>
    <w:p w14:paraId="63B782EA" w14:textId="77777777" w:rsidR="00BF17FF" w:rsidRPr="00C03C35" w:rsidRDefault="00BF17FF" w:rsidP="00BF17FF">
      <w:pPr>
        <w:keepNext/>
        <w:spacing w:after="0"/>
        <w:jc w:val="center"/>
        <w:rPr>
          <w:lang w:val="en-GB"/>
        </w:rPr>
      </w:pPr>
      <w:r w:rsidRPr="00C03C35">
        <w:rPr>
          <w:noProof/>
          <w:lang w:val="en-GB"/>
        </w:rPr>
        <w:lastRenderedPageBreak/>
        <w:drawing>
          <wp:inline distT="0" distB="0" distL="0" distR="0" wp14:anchorId="79EB276B" wp14:editId="2B2D8B92">
            <wp:extent cx="5724156" cy="55336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mmoniaEconomics.drawio.png"/>
                    <pic:cNvPicPr/>
                  </pic:nvPicPr>
                  <pic:blipFill>
                    <a:blip r:embed="rId10">
                      <a:extLst>
                        <a:ext uri="{28A0092B-C50C-407E-A947-70E740481C1C}">
                          <a14:useLocalDpi xmlns:a14="http://schemas.microsoft.com/office/drawing/2010/main"/>
                        </a:ext>
                      </a:extLst>
                    </a:blip>
                    <a:stretch>
                      <a:fillRect/>
                    </a:stretch>
                  </pic:blipFill>
                  <pic:spPr>
                    <a:xfrm>
                      <a:off x="0" y="0"/>
                      <a:ext cx="5724156" cy="5533655"/>
                    </a:xfrm>
                    <a:prstGeom prst="rect">
                      <a:avLst/>
                    </a:prstGeom>
                  </pic:spPr>
                </pic:pic>
              </a:graphicData>
            </a:graphic>
          </wp:inline>
        </w:drawing>
      </w:r>
    </w:p>
    <w:p w14:paraId="12262872" w14:textId="77777777" w:rsidR="00BF17FF" w:rsidRPr="00C03C35" w:rsidRDefault="00BF17FF" w:rsidP="00BF17FF">
      <w:pPr>
        <w:pStyle w:val="Caption"/>
        <w:jc w:val="both"/>
        <w:rPr>
          <w:bCs/>
          <w:i w:val="0"/>
          <w:iCs w:val="0"/>
          <w:color w:val="auto"/>
          <w:sz w:val="20"/>
          <w:szCs w:val="20"/>
        </w:rPr>
      </w:pPr>
      <w:r w:rsidRPr="00C03C35">
        <w:rPr>
          <w:b/>
          <w:i w:val="0"/>
          <w:color w:val="auto"/>
          <w:sz w:val="20"/>
          <w:szCs w:val="20"/>
        </w:rPr>
        <w:t>Figure S3</w:t>
      </w:r>
      <w:r w:rsidRPr="00C03C35">
        <w:rPr>
          <w:b/>
          <w:color w:val="auto"/>
          <w:sz w:val="20"/>
          <w:szCs w:val="20"/>
        </w:rPr>
        <w:t>.</w:t>
      </w:r>
      <w:r w:rsidRPr="00C03C35">
        <w:rPr>
          <w:color w:val="auto"/>
        </w:rPr>
        <w:t xml:space="preserve"> </w:t>
      </w:r>
      <w:r w:rsidRPr="00C03C35">
        <w:rPr>
          <w:b/>
          <w:bCs/>
          <w:i w:val="0"/>
          <w:iCs w:val="0"/>
          <w:color w:val="auto"/>
          <w:sz w:val="20"/>
          <w:szCs w:val="20"/>
        </w:rPr>
        <w:t xml:space="preserve">Techno-economic model for the estimation of production costs for (a) fossil ammonia and (b) green ammonia. </w:t>
      </w:r>
      <w:r w:rsidRPr="00C03C35">
        <w:rPr>
          <w:bCs/>
          <w:i w:val="0"/>
          <w:iCs w:val="0"/>
          <w:color w:val="auto"/>
          <w:sz w:val="20"/>
          <w:szCs w:val="20"/>
        </w:rPr>
        <w:t>Other utilities include cooling water and wastewater treatment.</w:t>
      </w:r>
    </w:p>
    <w:p w14:paraId="5CEA644B" w14:textId="77777777" w:rsidR="00BF17FF" w:rsidRPr="00C03C35" w:rsidRDefault="00BF17FF" w:rsidP="00BF17FF">
      <w:pPr>
        <w:rPr>
          <w:lang w:val="en-GB"/>
        </w:rPr>
      </w:pPr>
    </w:p>
    <w:p w14:paraId="27168B02" w14:textId="77777777" w:rsidR="00BF17FF" w:rsidRPr="00C03C35" w:rsidRDefault="00BF17FF" w:rsidP="00BF17FF">
      <w:pPr>
        <w:keepNext/>
        <w:jc w:val="center"/>
        <w:rPr>
          <w:lang w:val="en-GB"/>
        </w:rPr>
      </w:pPr>
      <w:r w:rsidRPr="00C03C35">
        <w:rPr>
          <w:noProof/>
          <w:lang w:val="en-GB"/>
        </w:rPr>
        <w:lastRenderedPageBreak/>
        <w:drawing>
          <wp:inline distT="0" distB="0" distL="0" distR="0" wp14:anchorId="3319662B" wp14:editId="60C95349">
            <wp:extent cx="5724156" cy="55336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methanolEconomics.drawio.png"/>
                    <pic:cNvPicPr/>
                  </pic:nvPicPr>
                  <pic:blipFill>
                    <a:blip r:embed="rId11">
                      <a:extLst>
                        <a:ext uri="{28A0092B-C50C-407E-A947-70E740481C1C}">
                          <a14:useLocalDpi xmlns:a14="http://schemas.microsoft.com/office/drawing/2010/main"/>
                        </a:ext>
                      </a:extLst>
                    </a:blip>
                    <a:stretch>
                      <a:fillRect/>
                    </a:stretch>
                  </pic:blipFill>
                  <pic:spPr>
                    <a:xfrm>
                      <a:off x="0" y="0"/>
                      <a:ext cx="5724156" cy="5533655"/>
                    </a:xfrm>
                    <a:prstGeom prst="rect">
                      <a:avLst/>
                    </a:prstGeom>
                  </pic:spPr>
                </pic:pic>
              </a:graphicData>
            </a:graphic>
          </wp:inline>
        </w:drawing>
      </w:r>
    </w:p>
    <w:p w14:paraId="26DF8593" w14:textId="77777777" w:rsidR="00BF17FF" w:rsidRPr="00C03C35" w:rsidRDefault="00BF17FF" w:rsidP="00BF17FF">
      <w:pPr>
        <w:pStyle w:val="Caption"/>
        <w:jc w:val="both"/>
        <w:rPr>
          <w:bCs/>
          <w:i w:val="0"/>
          <w:iCs w:val="0"/>
          <w:color w:val="auto"/>
          <w:sz w:val="20"/>
          <w:szCs w:val="20"/>
        </w:rPr>
      </w:pPr>
      <w:r w:rsidRPr="00C03C35">
        <w:rPr>
          <w:b/>
          <w:i w:val="0"/>
          <w:color w:val="auto"/>
          <w:sz w:val="20"/>
          <w:szCs w:val="20"/>
        </w:rPr>
        <w:t xml:space="preserve">Figure S4. </w:t>
      </w:r>
      <w:r w:rsidRPr="00C03C35">
        <w:rPr>
          <w:b/>
          <w:bCs/>
          <w:i w:val="0"/>
          <w:iCs w:val="0"/>
          <w:color w:val="auto"/>
          <w:sz w:val="20"/>
          <w:szCs w:val="20"/>
        </w:rPr>
        <w:t xml:space="preserve">Techno-economic model for the estimation of production costs for (a) fossil methanol and (b) green methanol. </w:t>
      </w:r>
      <w:r w:rsidRPr="00C03C35">
        <w:rPr>
          <w:bCs/>
          <w:i w:val="0"/>
          <w:iCs w:val="0"/>
          <w:color w:val="auto"/>
          <w:sz w:val="20"/>
          <w:szCs w:val="20"/>
        </w:rPr>
        <w:t>Other utilities include cooling water and wastewater treatment.</w:t>
      </w:r>
    </w:p>
    <w:p w14:paraId="68141491" w14:textId="77777777" w:rsidR="00BF17FF" w:rsidRPr="00C03C35" w:rsidRDefault="00BF17FF" w:rsidP="00BF17FF">
      <w:pPr>
        <w:pStyle w:val="Heading3"/>
        <w:rPr>
          <w:lang w:val="en-GB"/>
        </w:rPr>
      </w:pPr>
      <w:r w:rsidRPr="00C03C35">
        <w:rPr>
          <w:lang w:val="en-GB"/>
        </w:rPr>
        <w:t>2.1. Energy and materials inputs and outputs</w:t>
      </w:r>
    </w:p>
    <w:p w14:paraId="6565F968" w14:textId="0CAC1698" w:rsidR="00BF17FF" w:rsidRPr="00C03C35" w:rsidRDefault="00BF17FF" w:rsidP="00BF17FF">
      <w:pPr>
        <w:jc w:val="both"/>
        <w:rPr>
          <w:b/>
          <w:bCs/>
          <w:lang w:val="en-GB"/>
        </w:rPr>
      </w:pPr>
      <w:r w:rsidRPr="00C03C35">
        <w:rPr>
          <w:lang w:val="en-GB"/>
        </w:rPr>
        <w:t xml:space="preserve">The mass and energy balances for both fossil and green ammonia are taken from </w:t>
      </w:r>
      <w:r w:rsidR="00126CFE" w:rsidRPr="00C03C35">
        <w:rPr>
          <w:lang w:val="en-GB"/>
        </w:rPr>
        <w:t xml:space="preserve">process models developed in the original work by </w:t>
      </w:r>
      <w:r w:rsidRPr="00C03C35">
        <w:rPr>
          <w:lang w:val="en-GB"/>
        </w:rPr>
        <w:t xml:space="preserve">D’Angelo </w:t>
      </w:r>
      <w:r w:rsidRPr="00C03C35">
        <w:rPr>
          <w:i/>
          <w:iCs/>
          <w:lang w:val="en-GB"/>
        </w:rPr>
        <w:t>et al</w:t>
      </w:r>
      <w:r w:rsidRPr="00C03C35">
        <w:rPr>
          <w:lang w:val="en-GB"/>
        </w:rPr>
        <w:t>.</w:t>
      </w:r>
      <w:r w:rsidRPr="00C03C35">
        <w:rPr>
          <w:rFonts w:cstheme="minorHAnsi"/>
          <w:lang w:val="en-GB"/>
        </w:rPr>
        <w:fldChar w:fldCharType="begin"/>
      </w:r>
      <w:r w:rsidR="003070D5">
        <w:rPr>
          <w:rFonts w:cstheme="minorHAnsi"/>
          <w:lang w:val="en-GB"/>
        </w:rPr>
        <w:instrText xml:space="preserve"> ADDIN ZOTERO_ITEM CSL_CITATION {"citationID":"D2ThgKW2","properties":{"formattedCitation":"\\super 1\\nosupersub{}","plainCitation":"1","noteIndex":0},"citationItems":[{"id":"dHwHotKY/5mm4tg0v","uris":["http://zotero.org/users/9157291/items/AFKW7KRC"],"itemData":{"id":3860,"type":"article-journal","abstract":"At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Pr="00C03C35">
        <w:rPr>
          <w:rFonts w:cstheme="minorHAnsi"/>
          <w:lang w:val="en-GB"/>
        </w:rPr>
        <w:fldChar w:fldCharType="separate"/>
      </w:r>
      <w:r w:rsidRPr="00C03C35">
        <w:rPr>
          <w:rFonts w:ascii="Calibri" w:hAnsi="Calibri" w:cs="Calibri"/>
          <w:vertAlign w:val="superscript"/>
          <w:lang w:val="en-GB"/>
        </w:rPr>
        <w:t>1</w:t>
      </w:r>
      <w:r w:rsidRPr="00C03C35">
        <w:rPr>
          <w:rFonts w:cstheme="minorHAnsi"/>
          <w:lang w:val="en-GB"/>
        </w:rPr>
        <w:fldChar w:fldCharType="end"/>
      </w:r>
      <w:r w:rsidRPr="00C03C35">
        <w:rPr>
          <w:color w:val="000000"/>
          <w:lang w:val="en-GB"/>
        </w:rPr>
        <w:t xml:space="preserve"> and shown in </w:t>
      </w:r>
      <w:r w:rsidRPr="00C03C35">
        <w:rPr>
          <w:b/>
          <w:color w:val="000000"/>
          <w:lang w:val="en-GB"/>
        </w:rPr>
        <w:t>Table S1</w:t>
      </w:r>
      <w:r w:rsidRPr="00C03C35">
        <w:rPr>
          <w:lang w:val="en-GB"/>
        </w:rPr>
        <w:t xml:space="preserve">. The inventories for fossil and green methanol are similarly retrieved from </w:t>
      </w:r>
      <w:r w:rsidR="00FE0B2F" w:rsidRPr="00C03C35">
        <w:rPr>
          <w:lang w:val="en-GB"/>
        </w:rPr>
        <w:t xml:space="preserve">process models employed </w:t>
      </w:r>
      <w:r w:rsidR="00FE0C09" w:rsidRPr="00C03C35">
        <w:rPr>
          <w:lang w:val="en-GB"/>
        </w:rPr>
        <w:t xml:space="preserve">in the work by </w:t>
      </w:r>
      <w:r w:rsidRPr="00C03C35">
        <w:rPr>
          <w:rFonts w:cstheme="minorHAnsi"/>
          <w:lang w:val="en-GB"/>
        </w:rPr>
        <w:t>González</w:t>
      </w:r>
      <w:r w:rsidRPr="00C03C35">
        <w:rPr>
          <w:rFonts w:cstheme="minorHAnsi"/>
          <w:lang w:val="en-GB"/>
        </w:rPr>
        <w:noBreakHyphen/>
        <w:t>Garay </w:t>
      </w:r>
      <w:r w:rsidRPr="00C03C35">
        <w:rPr>
          <w:rFonts w:cstheme="minorHAnsi"/>
          <w:i/>
          <w:iCs/>
          <w:lang w:val="en-GB"/>
        </w:rPr>
        <w:t>et al</w:t>
      </w:r>
      <w:r w:rsidRPr="00C03C35">
        <w:rPr>
          <w:rFonts w:cstheme="minorHAnsi"/>
          <w:lang w:val="en-GB"/>
        </w:rPr>
        <w:t>.</w:t>
      </w:r>
      <w:r w:rsidRPr="00C03C35">
        <w:rPr>
          <w:bCs/>
          <w:iCs/>
          <w:lang w:val="en-GB"/>
        </w:rPr>
        <w:fldChar w:fldCharType="begin"/>
      </w:r>
      <w:r w:rsidR="003070D5">
        <w:rPr>
          <w:bCs/>
          <w:iCs/>
          <w:lang w:val="en-GB"/>
        </w:rPr>
        <w:instrText xml:space="preserve"> ADDIN ZOTERO_ITEM CSL_CITATION {"citationID":"KEnPqQs5","properties":{"formattedCitation":"\\super 3\\nosupersub{}","plainCitation":"3","noteIndex":0},"citationItems":[{"id":"dHwHotKY/12cLPJSI","uris":["http://www.mendeley.com/documents/?uuid=3598e592-4386-46f5-b0ae-cec5a0ada220"],"itemData":{"DOI":"10.1039/c9ee01673b","abstract":"A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advances.","author":[{"dropping-particle":"","family":"González-Garay","given":"Andrés","non-dropping-particle":"","parse-names":false,"suffix":""},{"dropping-particle":"","family":"Frei","given":"Matthias S","non-dropping-particle":"","parse-names":false,"suffix":""},{"dropping-particle":"","family":"Al-Qahtani","given":"Amjad","non-dropping-particle":"","parse-names":false,"suffix":""},{"dropping-particle":"","family":"Mondelli","given":"Cecilia","non-dropping-particle":"","parse-names":false,"suffix":""},{"dropping-particle":"","family":"Guillén-Gosálbez","given":"Gonzalo","non-dropping-particle":"","parse-names":false,"suffix":""},{"dropping-particle":"","family":"Pérez-Ramírez","given":"Javier","non-dropping-particle":"","parse-names":false,"suffix":""}],"container-title":"Energy and Environmental Science","id":"JLxsTSMP/HsSp6KGv","issue":"12","issued":{"date-parts":[["2019"]]},"page":"3425-3436","publisher":"Royal Society of Chemistry","title":"Plant-to-planet analysis of CO2-based methanol processes","type":"article-journal","volume":"12"}}],"schema":"https://github.com/citation-style-language/schema/raw/master/csl-citation.json"} </w:instrText>
      </w:r>
      <w:r w:rsidRPr="00C03C35">
        <w:rPr>
          <w:bCs/>
          <w:iCs/>
          <w:lang w:val="en-GB"/>
        </w:rPr>
        <w:fldChar w:fldCharType="separate"/>
      </w:r>
      <w:r w:rsidRPr="00C03C35">
        <w:rPr>
          <w:rFonts w:ascii="Calibri" w:hAnsi="Calibri" w:cs="Calibri"/>
          <w:vertAlign w:val="superscript"/>
          <w:lang w:val="en-GB"/>
        </w:rPr>
        <w:t>3</w:t>
      </w:r>
      <w:r w:rsidRPr="00C03C35">
        <w:rPr>
          <w:bCs/>
          <w:iCs/>
          <w:lang w:val="en-GB"/>
        </w:rPr>
        <w:fldChar w:fldCharType="end"/>
      </w:r>
      <w:r w:rsidRPr="00C03C35">
        <w:rPr>
          <w:rFonts w:cstheme="minorHAnsi"/>
          <w:lang w:val="en-GB"/>
        </w:rPr>
        <w:t xml:space="preserve"> and are shown in</w:t>
      </w:r>
      <w:r w:rsidRPr="00C03C35">
        <w:rPr>
          <w:rFonts w:cstheme="minorHAnsi"/>
          <w:b/>
          <w:lang w:val="en-GB"/>
        </w:rPr>
        <w:t xml:space="preserve"> Table S2</w:t>
      </w:r>
      <w:r w:rsidRPr="00C03C35">
        <w:rPr>
          <w:rFonts w:cstheme="minorHAnsi"/>
          <w:lang w:val="en-GB"/>
        </w:rPr>
        <w:t>.</w:t>
      </w:r>
    </w:p>
    <w:p w14:paraId="141DF8DB" w14:textId="65E353FD" w:rsidR="00BF17FF" w:rsidRPr="00C03C35" w:rsidRDefault="00BF17FF" w:rsidP="00BF17FF">
      <w:pPr>
        <w:pStyle w:val="Caption"/>
        <w:keepNext/>
        <w:jc w:val="both"/>
        <w:rPr>
          <w:bCs/>
          <w:i w:val="0"/>
          <w:iCs w:val="0"/>
          <w:color w:val="auto"/>
          <w:sz w:val="20"/>
          <w:szCs w:val="20"/>
        </w:rPr>
      </w:pPr>
      <w:bookmarkStart w:id="1" w:name="_Ref127892418"/>
      <w:bookmarkStart w:id="2" w:name="_Ref127892413"/>
      <w:r w:rsidRPr="00C03C35">
        <w:rPr>
          <w:b/>
          <w:bCs/>
          <w:i w:val="0"/>
          <w:iCs w:val="0"/>
          <w:color w:val="auto"/>
          <w:sz w:val="20"/>
          <w:szCs w:val="20"/>
        </w:rPr>
        <w:lastRenderedPageBreak/>
        <w:t>Table S</w:t>
      </w:r>
      <w:r w:rsidRPr="00C03C35">
        <w:rPr>
          <w:b/>
          <w:bCs/>
          <w:i w:val="0"/>
          <w:iCs w:val="0"/>
          <w:color w:val="auto"/>
          <w:sz w:val="20"/>
          <w:szCs w:val="20"/>
        </w:rPr>
        <w:fldChar w:fldCharType="begin"/>
      </w:r>
      <w:r w:rsidRPr="00C03C35">
        <w:rPr>
          <w:b/>
          <w:bCs/>
          <w:i w:val="0"/>
          <w:iCs w:val="0"/>
          <w:color w:val="auto"/>
          <w:sz w:val="20"/>
          <w:szCs w:val="20"/>
        </w:rPr>
        <w:instrText xml:space="preserve"> SEQ Table_S \* ARABIC </w:instrText>
      </w:r>
      <w:r w:rsidRPr="00C03C35">
        <w:rPr>
          <w:b/>
          <w:bCs/>
          <w:i w:val="0"/>
          <w:iCs w:val="0"/>
          <w:color w:val="auto"/>
          <w:sz w:val="20"/>
          <w:szCs w:val="20"/>
        </w:rPr>
        <w:fldChar w:fldCharType="separate"/>
      </w:r>
      <w:r w:rsidR="003B7BCC">
        <w:rPr>
          <w:b/>
          <w:bCs/>
          <w:i w:val="0"/>
          <w:iCs w:val="0"/>
          <w:noProof/>
          <w:color w:val="auto"/>
          <w:sz w:val="20"/>
          <w:szCs w:val="20"/>
        </w:rPr>
        <w:t>1</w:t>
      </w:r>
      <w:r w:rsidRPr="00C03C35">
        <w:rPr>
          <w:b/>
          <w:bCs/>
          <w:i w:val="0"/>
          <w:iCs w:val="0"/>
          <w:color w:val="auto"/>
          <w:sz w:val="20"/>
          <w:szCs w:val="20"/>
        </w:rPr>
        <w:fldChar w:fldCharType="end"/>
      </w:r>
      <w:bookmarkEnd w:id="1"/>
      <w:r w:rsidRPr="00C03C35">
        <w:rPr>
          <w:b/>
          <w:bCs/>
          <w:i w:val="0"/>
          <w:iCs w:val="0"/>
          <w:color w:val="auto"/>
          <w:sz w:val="20"/>
          <w:szCs w:val="20"/>
        </w:rPr>
        <w:t xml:space="preserve">. Inputs and outputs of the ammonia production routes. </w:t>
      </w:r>
      <w:r w:rsidRPr="00C03C35">
        <w:rPr>
          <w:bCs/>
          <w:i w:val="0"/>
          <w:iCs w:val="0"/>
          <w:color w:val="auto"/>
          <w:sz w:val="20"/>
          <w:szCs w:val="20"/>
        </w:rPr>
        <w:t>These values are extracted from the work done by D’Angelo </w:t>
      </w:r>
      <w:r w:rsidRPr="00C03C35">
        <w:rPr>
          <w:bCs/>
          <w:iCs w:val="0"/>
          <w:color w:val="auto"/>
          <w:sz w:val="20"/>
          <w:szCs w:val="20"/>
        </w:rPr>
        <w:t>et al.</w:t>
      </w:r>
      <w:r w:rsidRPr="00C03C35">
        <w:rPr>
          <w:rFonts w:cstheme="minorHAnsi"/>
          <w:i w:val="0"/>
          <w:color w:val="auto"/>
          <w:sz w:val="20"/>
          <w:szCs w:val="20"/>
        </w:rPr>
        <w:fldChar w:fldCharType="begin"/>
      </w:r>
      <w:r w:rsidR="003070D5">
        <w:rPr>
          <w:rFonts w:cstheme="minorHAnsi"/>
          <w:i w:val="0"/>
          <w:color w:val="auto"/>
          <w:sz w:val="20"/>
          <w:szCs w:val="20"/>
        </w:rPr>
        <w:instrText xml:space="preserve"> ADDIN ZOTERO_ITEM CSL_CITATION {"citationID":"KkfQOFG8","properties":{"formattedCitation":"\\super 1\\nosupersub{}","plainCitation":"1","noteIndex":0},"citationItems":[{"id":"dHwHotKY/5mm4tg0v","uris":["http://zotero.org/users/9157291/items/AFKW7KRC"],"itemData":{"id":3860,"type":"article-journal","abstract":"At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Pr="00C03C35">
        <w:rPr>
          <w:rFonts w:cstheme="minorHAnsi"/>
          <w:i w:val="0"/>
          <w:color w:val="auto"/>
          <w:sz w:val="20"/>
          <w:szCs w:val="20"/>
        </w:rPr>
        <w:fldChar w:fldCharType="separate"/>
      </w:r>
      <w:r w:rsidRPr="00C03C35">
        <w:rPr>
          <w:rFonts w:ascii="Calibri" w:hAnsi="Calibri" w:cs="Calibri"/>
          <w:i w:val="0"/>
          <w:color w:val="auto"/>
          <w:sz w:val="20"/>
          <w:szCs w:val="24"/>
          <w:vertAlign w:val="superscript"/>
        </w:rPr>
        <w:t>1</w:t>
      </w:r>
      <w:r w:rsidRPr="00C03C35">
        <w:rPr>
          <w:rFonts w:cstheme="minorHAnsi"/>
          <w:i w:val="0"/>
          <w:color w:val="auto"/>
          <w:sz w:val="20"/>
          <w:szCs w:val="20"/>
        </w:rPr>
        <w:fldChar w:fldCharType="end"/>
      </w:r>
      <w:bookmarkEnd w:id="2"/>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1"/>
        <w:gridCol w:w="1380"/>
        <w:gridCol w:w="1435"/>
        <w:gridCol w:w="8"/>
      </w:tblGrid>
      <w:tr w:rsidR="00BF17FF" w:rsidRPr="00C03C35" w14:paraId="5CBB1322" w14:textId="77777777" w:rsidTr="00BF17FF">
        <w:trPr>
          <w:gridAfter w:val="1"/>
          <w:wAfter w:w="8" w:type="dxa"/>
          <w:cantSplit/>
          <w:jc w:val="center"/>
        </w:trPr>
        <w:tc>
          <w:tcPr>
            <w:tcW w:w="2661" w:type="dxa"/>
            <w:tcBorders>
              <w:bottom w:val="single" w:sz="4" w:space="0" w:color="auto"/>
            </w:tcBorders>
          </w:tcPr>
          <w:p w14:paraId="5CE09684" w14:textId="77777777" w:rsidR="00BF17FF" w:rsidRPr="00C03C35" w:rsidRDefault="00BF17FF" w:rsidP="00BF17FF">
            <w:pPr>
              <w:keepNext/>
              <w:jc w:val="both"/>
              <w:rPr>
                <w:b/>
                <w:sz w:val="20"/>
                <w:szCs w:val="20"/>
                <w:lang w:val="en-GB"/>
              </w:rPr>
            </w:pPr>
            <w:r w:rsidRPr="00C03C35">
              <w:rPr>
                <w:b/>
                <w:sz w:val="20"/>
                <w:szCs w:val="20"/>
                <w:lang w:val="en-GB"/>
              </w:rPr>
              <w:t>Material/energy stream</w:t>
            </w:r>
          </w:p>
        </w:tc>
        <w:tc>
          <w:tcPr>
            <w:tcW w:w="1380" w:type="dxa"/>
            <w:tcBorders>
              <w:bottom w:val="single" w:sz="4" w:space="0" w:color="auto"/>
            </w:tcBorders>
          </w:tcPr>
          <w:p w14:paraId="2EFB1F32" w14:textId="77777777" w:rsidR="00BF17FF" w:rsidRPr="00C03C35" w:rsidRDefault="00BF17FF" w:rsidP="00BF17FF">
            <w:pPr>
              <w:keepNext/>
              <w:jc w:val="both"/>
              <w:rPr>
                <w:b/>
                <w:sz w:val="20"/>
                <w:szCs w:val="20"/>
                <w:lang w:val="en-GB"/>
              </w:rPr>
            </w:pPr>
            <w:r w:rsidRPr="00C03C35">
              <w:rPr>
                <w:b/>
                <w:sz w:val="20"/>
                <w:szCs w:val="20"/>
                <w:lang w:val="en-GB"/>
              </w:rPr>
              <w:t>Fossil route</w:t>
            </w:r>
          </w:p>
        </w:tc>
        <w:tc>
          <w:tcPr>
            <w:tcW w:w="1435" w:type="dxa"/>
            <w:tcBorders>
              <w:bottom w:val="single" w:sz="4" w:space="0" w:color="auto"/>
            </w:tcBorders>
          </w:tcPr>
          <w:p w14:paraId="72E88173" w14:textId="77777777" w:rsidR="00BF17FF" w:rsidRPr="00C03C35" w:rsidRDefault="00BF17FF" w:rsidP="00BF17FF">
            <w:pPr>
              <w:keepNext/>
              <w:jc w:val="both"/>
              <w:rPr>
                <w:b/>
                <w:sz w:val="20"/>
                <w:szCs w:val="20"/>
                <w:lang w:val="en-GB"/>
              </w:rPr>
            </w:pPr>
            <w:r w:rsidRPr="00C03C35">
              <w:rPr>
                <w:b/>
                <w:sz w:val="20"/>
                <w:szCs w:val="20"/>
                <w:lang w:val="en-GB"/>
              </w:rPr>
              <w:t>Green route</w:t>
            </w:r>
          </w:p>
        </w:tc>
      </w:tr>
      <w:tr w:rsidR="00BF17FF" w:rsidRPr="00C03C35" w14:paraId="37001559" w14:textId="77777777" w:rsidTr="00BF17FF">
        <w:trPr>
          <w:cantSplit/>
          <w:jc w:val="center"/>
        </w:trPr>
        <w:tc>
          <w:tcPr>
            <w:tcW w:w="5484" w:type="dxa"/>
            <w:gridSpan w:val="4"/>
          </w:tcPr>
          <w:p w14:paraId="0FD9F105" w14:textId="77777777" w:rsidR="00BF17FF" w:rsidRPr="00C03C35" w:rsidRDefault="00BF17FF" w:rsidP="00BF17FF">
            <w:pPr>
              <w:keepNext/>
              <w:jc w:val="both"/>
              <w:rPr>
                <w:b/>
                <w:sz w:val="20"/>
                <w:szCs w:val="20"/>
                <w:lang w:val="en-GB"/>
              </w:rPr>
            </w:pPr>
            <w:r w:rsidRPr="00C03C35">
              <w:rPr>
                <w:b/>
                <w:sz w:val="20"/>
                <w:szCs w:val="20"/>
                <w:lang w:val="en-GB"/>
              </w:rPr>
              <w:t>Feedstock</w:t>
            </w:r>
          </w:p>
        </w:tc>
      </w:tr>
      <w:tr w:rsidR="00BF17FF" w:rsidRPr="00C03C35" w14:paraId="04DF1F9F" w14:textId="77777777" w:rsidTr="00BF17FF">
        <w:trPr>
          <w:gridAfter w:val="1"/>
          <w:wAfter w:w="8" w:type="dxa"/>
          <w:cantSplit/>
          <w:jc w:val="center"/>
        </w:trPr>
        <w:tc>
          <w:tcPr>
            <w:tcW w:w="2661" w:type="dxa"/>
          </w:tcPr>
          <w:p w14:paraId="193FCA94" w14:textId="77777777" w:rsidR="00BF17FF" w:rsidRPr="00C03C35" w:rsidRDefault="00BF17FF" w:rsidP="00BF17FF">
            <w:pPr>
              <w:keepNext/>
              <w:jc w:val="both"/>
              <w:rPr>
                <w:sz w:val="20"/>
                <w:szCs w:val="20"/>
                <w:lang w:val="en-GB"/>
              </w:rPr>
            </w:pPr>
            <w:r w:rsidRPr="00C03C35">
              <w:rPr>
                <w:sz w:val="20"/>
                <w:szCs w:val="20"/>
                <w:lang w:val="en-GB"/>
              </w:rPr>
              <w:t>Natural gas [kg]</w:t>
            </w:r>
          </w:p>
        </w:tc>
        <w:tc>
          <w:tcPr>
            <w:tcW w:w="1380" w:type="dxa"/>
          </w:tcPr>
          <w:p w14:paraId="3F4B620A" w14:textId="77777777" w:rsidR="00BF17FF" w:rsidRPr="00C03C35" w:rsidRDefault="00BF17FF" w:rsidP="00BF17FF">
            <w:pPr>
              <w:keepNext/>
              <w:jc w:val="center"/>
              <w:rPr>
                <w:sz w:val="20"/>
                <w:szCs w:val="20"/>
                <w:lang w:val="en-GB"/>
              </w:rPr>
            </w:pPr>
            <w:r w:rsidRPr="00C03C35">
              <w:rPr>
                <w:sz w:val="20"/>
                <w:szCs w:val="20"/>
                <w:lang w:val="en-GB"/>
              </w:rPr>
              <w:t>0.43</w:t>
            </w:r>
          </w:p>
        </w:tc>
        <w:tc>
          <w:tcPr>
            <w:tcW w:w="1435" w:type="dxa"/>
          </w:tcPr>
          <w:p w14:paraId="49FCDE0B" w14:textId="77777777" w:rsidR="00BF17FF" w:rsidRPr="00C03C35" w:rsidRDefault="00BF17FF" w:rsidP="00BF17FF">
            <w:pPr>
              <w:keepNext/>
              <w:jc w:val="center"/>
              <w:rPr>
                <w:sz w:val="20"/>
                <w:szCs w:val="20"/>
                <w:lang w:val="en-GB"/>
              </w:rPr>
            </w:pPr>
            <w:r w:rsidRPr="00C03C35">
              <w:rPr>
                <w:sz w:val="20"/>
                <w:szCs w:val="20"/>
                <w:lang w:val="en-GB"/>
              </w:rPr>
              <w:t>-</w:t>
            </w:r>
          </w:p>
        </w:tc>
      </w:tr>
      <w:tr w:rsidR="00BF17FF" w:rsidRPr="00C03C35" w14:paraId="725B3885" w14:textId="77777777" w:rsidTr="00BF17FF">
        <w:trPr>
          <w:gridAfter w:val="1"/>
          <w:wAfter w:w="8" w:type="dxa"/>
          <w:cantSplit/>
          <w:jc w:val="center"/>
        </w:trPr>
        <w:tc>
          <w:tcPr>
            <w:tcW w:w="2661" w:type="dxa"/>
          </w:tcPr>
          <w:p w14:paraId="7ECCBF25" w14:textId="77777777" w:rsidR="00BF17FF" w:rsidRPr="00C03C35" w:rsidRDefault="00BF17FF" w:rsidP="00BF17FF">
            <w:pPr>
              <w:keepNext/>
              <w:jc w:val="both"/>
              <w:rPr>
                <w:sz w:val="20"/>
                <w:szCs w:val="20"/>
                <w:lang w:val="en-GB"/>
              </w:rPr>
            </w:pPr>
            <w:r w:rsidRPr="00C03C35">
              <w:rPr>
                <w:sz w:val="20"/>
                <w:szCs w:val="20"/>
                <w:lang w:val="en-GB"/>
              </w:rPr>
              <w:t>Process water [kg]</w:t>
            </w:r>
          </w:p>
        </w:tc>
        <w:tc>
          <w:tcPr>
            <w:tcW w:w="1380" w:type="dxa"/>
          </w:tcPr>
          <w:p w14:paraId="0FCDEAFA" w14:textId="77777777" w:rsidR="00BF17FF" w:rsidRPr="00C03C35" w:rsidRDefault="00BF17FF" w:rsidP="00BF17FF">
            <w:pPr>
              <w:keepNext/>
              <w:jc w:val="center"/>
              <w:rPr>
                <w:sz w:val="20"/>
                <w:szCs w:val="20"/>
                <w:lang w:val="en-GB"/>
              </w:rPr>
            </w:pPr>
            <w:r w:rsidRPr="00C03C35">
              <w:rPr>
                <w:sz w:val="20"/>
                <w:szCs w:val="20"/>
                <w:lang w:val="en-GB"/>
              </w:rPr>
              <w:t>0.83</w:t>
            </w:r>
          </w:p>
        </w:tc>
        <w:tc>
          <w:tcPr>
            <w:tcW w:w="1435" w:type="dxa"/>
          </w:tcPr>
          <w:p w14:paraId="69BC2819" w14:textId="77777777" w:rsidR="00BF17FF" w:rsidRPr="00C03C35" w:rsidRDefault="00BF17FF" w:rsidP="00BF17FF">
            <w:pPr>
              <w:keepNext/>
              <w:jc w:val="center"/>
              <w:rPr>
                <w:sz w:val="20"/>
                <w:szCs w:val="20"/>
                <w:lang w:val="en-GB"/>
              </w:rPr>
            </w:pPr>
            <w:r w:rsidRPr="00C03C35">
              <w:rPr>
                <w:sz w:val="20"/>
                <w:szCs w:val="20"/>
                <w:lang w:val="en-GB"/>
              </w:rPr>
              <w:t>-</w:t>
            </w:r>
          </w:p>
        </w:tc>
      </w:tr>
      <w:tr w:rsidR="00BF17FF" w:rsidRPr="00C03C35" w14:paraId="70A88E7E" w14:textId="77777777" w:rsidTr="00BF17FF">
        <w:trPr>
          <w:gridAfter w:val="1"/>
          <w:wAfter w:w="8" w:type="dxa"/>
          <w:cantSplit/>
          <w:jc w:val="center"/>
        </w:trPr>
        <w:tc>
          <w:tcPr>
            <w:tcW w:w="2661" w:type="dxa"/>
          </w:tcPr>
          <w:p w14:paraId="309446AB" w14:textId="77777777" w:rsidR="00BF17FF" w:rsidRPr="00C03C35" w:rsidRDefault="00BF17FF" w:rsidP="00BF17FF">
            <w:pPr>
              <w:keepNext/>
              <w:jc w:val="both"/>
              <w:rPr>
                <w:sz w:val="20"/>
                <w:szCs w:val="20"/>
                <w:lang w:val="en-GB"/>
              </w:rPr>
            </w:pPr>
            <w:r w:rsidRPr="00C03C35">
              <w:rPr>
                <w:sz w:val="20"/>
                <w:szCs w:val="20"/>
                <w:lang w:val="en-GB"/>
              </w:rPr>
              <w:t>Nitrogen [kg]</w:t>
            </w:r>
          </w:p>
        </w:tc>
        <w:tc>
          <w:tcPr>
            <w:tcW w:w="1380" w:type="dxa"/>
          </w:tcPr>
          <w:p w14:paraId="4367EDCE" w14:textId="77777777" w:rsidR="00BF17FF" w:rsidRPr="00C03C35" w:rsidRDefault="00BF17FF" w:rsidP="00BF17FF">
            <w:pPr>
              <w:keepNext/>
              <w:jc w:val="center"/>
              <w:rPr>
                <w:sz w:val="20"/>
                <w:szCs w:val="20"/>
                <w:lang w:val="en-GB"/>
              </w:rPr>
            </w:pPr>
            <w:r w:rsidRPr="00C03C35">
              <w:rPr>
                <w:sz w:val="20"/>
                <w:szCs w:val="20"/>
                <w:lang w:val="en-GB"/>
              </w:rPr>
              <w:t>-</w:t>
            </w:r>
          </w:p>
        </w:tc>
        <w:tc>
          <w:tcPr>
            <w:tcW w:w="1435" w:type="dxa"/>
          </w:tcPr>
          <w:p w14:paraId="051ACFF5" w14:textId="77777777" w:rsidR="00BF17FF" w:rsidRPr="00C03C35" w:rsidRDefault="00BF17FF" w:rsidP="00BF17FF">
            <w:pPr>
              <w:keepNext/>
              <w:jc w:val="center"/>
              <w:rPr>
                <w:sz w:val="20"/>
                <w:szCs w:val="20"/>
                <w:lang w:val="en-GB"/>
              </w:rPr>
            </w:pPr>
            <w:r w:rsidRPr="00C03C35">
              <w:rPr>
                <w:sz w:val="20"/>
                <w:szCs w:val="20"/>
                <w:lang w:val="en-GB"/>
              </w:rPr>
              <w:t>0.82</w:t>
            </w:r>
          </w:p>
        </w:tc>
      </w:tr>
      <w:tr w:rsidR="00BF17FF" w:rsidRPr="00C03C35" w14:paraId="151DEF1A" w14:textId="77777777" w:rsidTr="00BF17FF">
        <w:trPr>
          <w:gridAfter w:val="1"/>
          <w:wAfter w:w="8" w:type="dxa"/>
          <w:cantSplit/>
          <w:jc w:val="center"/>
        </w:trPr>
        <w:tc>
          <w:tcPr>
            <w:tcW w:w="2661" w:type="dxa"/>
          </w:tcPr>
          <w:p w14:paraId="0D6F6339" w14:textId="77777777" w:rsidR="00BF17FF" w:rsidRPr="00C03C35" w:rsidRDefault="00BF17FF" w:rsidP="00BF17FF">
            <w:pPr>
              <w:keepNext/>
              <w:jc w:val="both"/>
              <w:rPr>
                <w:sz w:val="20"/>
                <w:szCs w:val="20"/>
                <w:lang w:val="en-GB"/>
              </w:rPr>
            </w:pPr>
            <w:r w:rsidRPr="00C03C35">
              <w:rPr>
                <w:sz w:val="20"/>
                <w:szCs w:val="20"/>
                <w:lang w:val="en-GB"/>
              </w:rPr>
              <w:t>Hydrogen [kg]</w:t>
            </w:r>
          </w:p>
        </w:tc>
        <w:tc>
          <w:tcPr>
            <w:tcW w:w="1380" w:type="dxa"/>
          </w:tcPr>
          <w:p w14:paraId="053E4778" w14:textId="77777777" w:rsidR="00BF17FF" w:rsidRPr="00C03C35" w:rsidRDefault="00BF17FF" w:rsidP="00BF17FF">
            <w:pPr>
              <w:keepNext/>
              <w:jc w:val="center"/>
              <w:rPr>
                <w:sz w:val="20"/>
                <w:szCs w:val="20"/>
                <w:lang w:val="en-GB"/>
              </w:rPr>
            </w:pPr>
            <w:r w:rsidRPr="00C03C35">
              <w:rPr>
                <w:sz w:val="20"/>
                <w:szCs w:val="20"/>
                <w:lang w:val="en-GB"/>
              </w:rPr>
              <w:t>-</w:t>
            </w:r>
          </w:p>
        </w:tc>
        <w:tc>
          <w:tcPr>
            <w:tcW w:w="1435" w:type="dxa"/>
          </w:tcPr>
          <w:p w14:paraId="41487E31" w14:textId="77777777" w:rsidR="00BF17FF" w:rsidRPr="00C03C35" w:rsidRDefault="00BF17FF" w:rsidP="00BF17FF">
            <w:pPr>
              <w:keepNext/>
              <w:jc w:val="center"/>
              <w:rPr>
                <w:sz w:val="20"/>
                <w:szCs w:val="20"/>
                <w:lang w:val="en-GB"/>
              </w:rPr>
            </w:pPr>
            <w:r w:rsidRPr="00C03C35">
              <w:rPr>
                <w:sz w:val="20"/>
                <w:szCs w:val="20"/>
                <w:lang w:val="en-GB"/>
              </w:rPr>
              <w:t>0.18</w:t>
            </w:r>
          </w:p>
        </w:tc>
      </w:tr>
      <w:tr w:rsidR="00BF17FF" w:rsidRPr="00C03C35" w14:paraId="6630E91A" w14:textId="77777777" w:rsidTr="00BF17FF">
        <w:trPr>
          <w:cantSplit/>
          <w:jc w:val="center"/>
        </w:trPr>
        <w:tc>
          <w:tcPr>
            <w:tcW w:w="5484" w:type="dxa"/>
            <w:gridSpan w:val="4"/>
          </w:tcPr>
          <w:p w14:paraId="386A6EFE" w14:textId="77777777" w:rsidR="00BF17FF" w:rsidRPr="00C03C35" w:rsidRDefault="00BF17FF" w:rsidP="00BF17FF">
            <w:pPr>
              <w:keepNext/>
              <w:jc w:val="both"/>
              <w:rPr>
                <w:b/>
                <w:sz w:val="20"/>
                <w:szCs w:val="20"/>
                <w:lang w:val="en-GB"/>
              </w:rPr>
            </w:pPr>
            <w:r w:rsidRPr="00C03C35">
              <w:rPr>
                <w:b/>
                <w:sz w:val="20"/>
                <w:szCs w:val="20"/>
                <w:lang w:val="en-GB"/>
              </w:rPr>
              <w:t>Utilities</w:t>
            </w:r>
          </w:p>
        </w:tc>
      </w:tr>
      <w:tr w:rsidR="00BF17FF" w:rsidRPr="00C03C35" w14:paraId="1DEEC587" w14:textId="77777777" w:rsidTr="00BF17FF">
        <w:trPr>
          <w:gridAfter w:val="1"/>
          <w:wAfter w:w="8" w:type="dxa"/>
          <w:cantSplit/>
          <w:jc w:val="center"/>
        </w:trPr>
        <w:tc>
          <w:tcPr>
            <w:tcW w:w="2661" w:type="dxa"/>
          </w:tcPr>
          <w:p w14:paraId="7D6B7AAF" w14:textId="77777777" w:rsidR="00BF17FF" w:rsidRPr="00C03C35" w:rsidRDefault="00BF17FF" w:rsidP="00BF17FF">
            <w:pPr>
              <w:keepNext/>
              <w:jc w:val="both"/>
              <w:rPr>
                <w:sz w:val="20"/>
                <w:szCs w:val="20"/>
                <w:lang w:val="en-GB"/>
              </w:rPr>
            </w:pPr>
            <w:r w:rsidRPr="00C03C35">
              <w:rPr>
                <w:sz w:val="20"/>
                <w:szCs w:val="20"/>
                <w:lang w:val="en-GB"/>
              </w:rPr>
              <w:t>Heating – natural gas [kg]</w:t>
            </w:r>
          </w:p>
        </w:tc>
        <w:tc>
          <w:tcPr>
            <w:tcW w:w="1380" w:type="dxa"/>
          </w:tcPr>
          <w:p w14:paraId="1F4E8F86" w14:textId="77777777" w:rsidR="00BF17FF" w:rsidRPr="00C03C35" w:rsidRDefault="00BF17FF" w:rsidP="00BF17FF">
            <w:pPr>
              <w:keepNext/>
              <w:jc w:val="center"/>
              <w:rPr>
                <w:sz w:val="20"/>
                <w:szCs w:val="20"/>
                <w:lang w:val="en-GB"/>
              </w:rPr>
            </w:pPr>
            <w:r w:rsidRPr="00C03C35">
              <w:rPr>
                <w:sz w:val="20"/>
                <w:szCs w:val="20"/>
                <w:lang w:val="en-GB"/>
              </w:rPr>
              <w:t>0.10</w:t>
            </w:r>
          </w:p>
        </w:tc>
        <w:tc>
          <w:tcPr>
            <w:tcW w:w="1435" w:type="dxa"/>
          </w:tcPr>
          <w:p w14:paraId="23E4DC93" w14:textId="77777777" w:rsidR="00BF17FF" w:rsidRPr="00C03C35" w:rsidRDefault="00BF17FF" w:rsidP="00BF17FF">
            <w:pPr>
              <w:keepNext/>
              <w:jc w:val="center"/>
              <w:rPr>
                <w:sz w:val="20"/>
                <w:szCs w:val="20"/>
                <w:lang w:val="en-GB"/>
              </w:rPr>
            </w:pPr>
            <w:r w:rsidRPr="00C03C35">
              <w:rPr>
                <w:sz w:val="20"/>
                <w:szCs w:val="20"/>
                <w:lang w:val="en-GB"/>
              </w:rPr>
              <w:t>-</w:t>
            </w:r>
          </w:p>
        </w:tc>
      </w:tr>
      <w:tr w:rsidR="00BF17FF" w:rsidRPr="00C03C35" w14:paraId="10ECE90E" w14:textId="77777777" w:rsidTr="00BF17FF">
        <w:trPr>
          <w:gridAfter w:val="1"/>
          <w:wAfter w:w="8" w:type="dxa"/>
          <w:cantSplit/>
          <w:jc w:val="center"/>
        </w:trPr>
        <w:tc>
          <w:tcPr>
            <w:tcW w:w="2661" w:type="dxa"/>
          </w:tcPr>
          <w:p w14:paraId="6C1C8283" w14:textId="77777777" w:rsidR="00BF17FF" w:rsidRPr="00C03C35" w:rsidRDefault="00BF17FF" w:rsidP="00BF17FF">
            <w:pPr>
              <w:keepNext/>
              <w:jc w:val="both"/>
              <w:rPr>
                <w:sz w:val="20"/>
                <w:szCs w:val="20"/>
                <w:lang w:val="en-GB"/>
              </w:rPr>
            </w:pPr>
            <w:r w:rsidRPr="00C03C35">
              <w:rPr>
                <w:sz w:val="20"/>
                <w:szCs w:val="20"/>
                <w:lang w:val="en-GB"/>
              </w:rPr>
              <w:t>Electricity [kWh]</w:t>
            </w:r>
          </w:p>
        </w:tc>
        <w:tc>
          <w:tcPr>
            <w:tcW w:w="1380" w:type="dxa"/>
          </w:tcPr>
          <w:p w14:paraId="1CC7DDD1" w14:textId="77777777" w:rsidR="00BF17FF" w:rsidRPr="00C03C35" w:rsidRDefault="00BF17FF" w:rsidP="00BF17FF">
            <w:pPr>
              <w:keepNext/>
              <w:jc w:val="center"/>
              <w:rPr>
                <w:sz w:val="20"/>
                <w:szCs w:val="20"/>
                <w:lang w:val="en-GB"/>
              </w:rPr>
            </w:pPr>
            <w:r w:rsidRPr="00C03C35">
              <w:rPr>
                <w:sz w:val="20"/>
                <w:szCs w:val="20"/>
                <w:lang w:val="en-GB"/>
              </w:rPr>
              <w:t>935.39</w:t>
            </w:r>
          </w:p>
        </w:tc>
        <w:tc>
          <w:tcPr>
            <w:tcW w:w="1435" w:type="dxa"/>
          </w:tcPr>
          <w:p w14:paraId="3A956914" w14:textId="77777777" w:rsidR="00BF17FF" w:rsidRPr="00C03C35" w:rsidRDefault="00BF17FF" w:rsidP="00BF17FF">
            <w:pPr>
              <w:keepNext/>
              <w:jc w:val="center"/>
              <w:rPr>
                <w:sz w:val="20"/>
                <w:szCs w:val="20"/>
                <w:lang w:val="en-GB"/>
              </w:rPr>
            </w:pPr>
            <w:r w:rsidRPr="00C03C35">
              <w:rPr>
                <w:sz w:val="20"/>
                <w:szCs w:val="20"/>
                <w:lang w:val="en-GB"/>
              </w:rPr>
              <w:t>469.89</w:t>
            </w:r>
          </w:p>
        </w:tc>
      </w:tr>
      <w:tr w:rsidR="00BF17FF" w:rsidRPr="00C03C35" w14:paraId="5E60390D" w14:textId="77777777" w:rsidTr="00BF17FF">
        <w:trPr>
          <w:gridAfter w:val="1"/>
          <w:wAfter w:w="8" w:type="dxa"/>
          <w:cantSplit/>
          <w:jc w:val="center"/>
        </w:trPr>
        <w:tc>
          <w:tcPr>
            <w:tcW w:w="2661" w:type="dxa"/>
          </w:tcPr>
          <w:p w14:paraId="6BB567D2" w14:textId="77777777" w:rsidR="00BF17FF" w:rsidRPr="00C03C35" w:rsidRDefault="00BF17FF" w:rsidP="00BF17FF">
            <w:pPr>
              <w:keepNext/>
              <w:jc w:val="both"/>
              <w:rPr>
                <w:sz w:val="20"/>
                <w:szCs w:val="20"/>
                <w:lang w:val="en-GB"/>
              </w:rPr>
            </w:pPr>
            <w:r w:rsidRPr="00C03C35">
              <w:rPr>
                <w:sz w:val="20"/>
                <w:szCs w:val="20"/>
                <w:lang w:val="en-GB"/>
              </w:rPr>
              <w:t>Cooling water [GJ]</w:t>
            </w:r>
          </w:p>
        </w:tc>
        <w:tc>
          <w:tcPr>
            <w:tcW w:w="1380" w:type="dxa"/>
          </w:tcPr>
          <w:p w14:paraId="295CC3CC" w14:textId="77777777" w:rsidR="00BF17FF" w:rsidRPr="00C03C35" w:rsidRDefault="00BF17FF" w:rsidP="00BF17FF">
            <w:pPr>
              <w:keepNext/>
              <w:jc w:val="center"/>
              <w:rPr>
                <w:sz w:val="20"/>
                <w:szCs w:val="20"/>
                <w:lang w:val="en-GB"/>
              </w:rPr>
            </w:pPr>
            <w:r w:rsidRPr="00C03C35">
              <w:rPr>
                <w:sz w:val="20"/>
                <w:szCs w:val="20"/>
                <w:lang w:val="en-GB"/>
              </w:rPr>
              <w:t>18.12</w:t>
            </w:r>
          </w:p>
        </w:tc>
        <w:tc>
          <w:tcPr>
            <w:tcW w:w="1435" w:type="dxa"/>
          </w:tcPr>
          <w:p w14:paraId="66D04126" w14:textId="77777777" w:rsidR="00BF17FF" w:rsidRPr="00C03C35" w:rsidRDefault="00BF17FF" w:rsidP="00BF17FF">
            <w:pPr>
              <w:keepNext/>
              <w:jc w:val="center"/>
              <w:rPr>
                <w:sz w:val="20"/>
                <w:szCs w:val="20"/>
                <w:lang w:val="en-GB"/>
              </w:rPr>
            </w:pPr>
            <w:r w:rsidRPr="00C03C35">
              <w:rPr>
                <w:sz w:val="20"/>
                <w:szCs w:val="20"/>
                <w:lang w:val="en-GB"/>
              </w:rPr>
              <w:t>3.12</w:t>
            </w:r>
          </w:p>
        </w:tc>
      </w:tr>
      <w:tr w:rsidR="00BF17FF" w:rsidRPr="00C03C35" w14:paraId="67E81E36" w14:textId="77777777" w:rsidTr="00BF17FF">
        <w:trPr>
          <w:gridAfter w:val="1"/>
          <w:wAfter w:w="8" w:type="dxa"/>
          <w:cantSplit/>
          <w:jc w:val="center"/>
        </w:trPr>
        <w:tc>
          <w:tcPr>
            <w:tcW w:w="2661" w:type="dxa"/>
          </w:tcPr>
          <w:p w14:paraId="2C79974B" w14:textId="77777777" w:rsidR="00BF17FF" w:rsidRPr="00C03C35" w:rsidRDefault="00BF17FF" w:rsidP="00BF17FF">
            <w:pPr>
              <w:keepNext/>
              <w:jc w:val="both"/>
              <w:rPr>
                <w:sz w:val="20"/>
                <w:szCs w:val="20"/>
                <w:lang w:val="en-GB"/>
              </w:rPr>
            </w:pPr>
            <w:r w:rsidRPr="00C03C35">
              <w:rPr>
                <w:sz w:val="20"/>
                <w:szCs w:val="20"/>
                <w:lang w:val="en-GB"/>
              </w:rPr>
              <w:t>CO</w:t>
            </w:r>
            <w:r w:rsidRPr="00C03C35">
              <w:rPr>
                <w:sz w:val="20"/>
                <w:szCs w:val="20"/>
                <w:vertAlign w:val="subscript"/>
                <w:lang w:val="en-GB"/>
              </w:rPr>
              <w:t>2</w:t>
            </w:r>
            <w:r w:rsidRPr="00C03C35">
              <w:rPr>
                <w:sz w:val="20"/>
                <w:szCs w:val="20"/>
                <w:lang w:val="en-GB"/>
              </w:rPr>
              <w:t xml:space="preserve"> emissions [kg]</w:t>
            </w:r>
          </w:p>
        </w:tc>
        <w:tc>
          <w:tcPr>
            <w:tcW w:w="1380" w:type="dxa"/>
          </w:tcPr>
          <w:p w14:paraId="4FADDD7B" w14:textId="77777777" w:rsidR="00BF17FF" w:rsidRPr="00C03C35" w:rsidRDefault="00BF17FF" w:rsidP="00BF17FF">
            <w:pPr>
              <w:keepNext/>
              <w:jc w:val="center"/>
              <w:rPr>
                <w:sz w:val="20"/>
                <w:szCs w:val="20"/>
                <w:lang w:val="en-GB"/>
              </w:rPr>
            </w:pPr>
            <w:r w:rsidRPr="00C03C35">
              <w:rPr>
                <w:sz w:val="20"/>
                <w:szCs w:val="20"/>
                <w:lang w:val="en-GB"/>
              </w:rPr>
              <w:t>1.43</w:t>
            </w:r>
          </w:p>
        </w:tc>
        <w:tc>
          <w:tcPr>
            <w:tcW w:w="1435" w:type="dxa"/>
          </w:tcPr>
          <w:p w14:paraId="5C168B3A" w14:textId="77777777" w:rsidR="00BF17FF" w:rsidRPr="00C03C35" w:rsidRDefault="00BF17FF" w:rsidP="00BF17FF">
            <w:pPr>
              <w:keepNext/>
              <w:jc w:val="center"/>
              <w:rPr>
                <w:sz w:val="20"/>
                <w:szCs w:val="20"/>
                <w:lang w:val="en-GB"/>
              </w:rPr>
            </w:pPr>
            <w:r w:rsidRPr="00C03C35">
              <w:rPr>
                <w:sz w:val="20"/>
                <w:szCs w:val="20"/>
                <w:lang w:val="en-GB"/>
              </w:rPr>
              <w:t>-</w:t>
            </w:r>
          </w:p>
        </w:tc>
      </w:tr>
    </w:tbl>
    <w:p w14:paraId="4EDBFE45" w14:textId="2D6EF79A" w:rsidR="00BF17FF" w:rsidRPr="00C03C35" w:rsidRDefault="00BF17FF" w:rsidP="00BF17FF">
      <w:pPr>
        <w:pStyle w:val="Caption"/>
        <w:keepNext/>
        <w:spacing w:before="240"/>
        <w:jc w:val="both"/>
        <w:rPr>
          <w:bCs/>
          <w:sz w:val="20"/>
          <w:szCs w:val="20"/>
        </w:rPr>
      </w:pPr>
      <w:bookmarkStart w:id="3" w:name="_Ref127893568"/>
      <w:r w:rsidRPr="00C03C35">
        <w:rPr>
          <w:b/>
          <w:i w:val="0"/>
          <w:color w:val="auto"/>
          <w:sz w:val="20"/>
          <w:szCs w:val="20"/>
        </w:rPr>
        <w:t>Table S</w:t>
      </w:r>
      <w:r w:rsidRPr="00C03C35">
        <w:rPr>
          <w:b/>
          <w:i w:val="0"/>
          <w:color w:val="auto"/>
          <w:sz w:val="20"/>
          <w:szCs w:val="20"/>
        </w:rPr>
        <w:fldChar w:fldCharType="begin"/>
      </w:r>
      <w:r w:rsidRPr="00C03C35">
        <w:rPr>
          <w:b/>
          <w:i w:val="0"/>
          <w:color w:val="auto"/>
          <w:sz w:val="20"/>
          <w:szCs w:val="20"/>
        </w:rPr>
        <w:instrText xml:space="preserve"> SEQ Table_S \* ARABIC </w:instrText>
      </w:r>
      <w:r w:rsidRPr="00C03C35">
        <w:rPr>
          <w:b/>
          <w:i w:val="0"/>
          <w:color w:val="auto"/>
          <w:sz w:val="20"/>
          <w:szCs w:val="20"/>
        </w:rPr>
        <w:fldChar w:fldCharType="separate"/>
      </w:r>
      <w:r w:rsidR="003B7BCC">
        <w:rPr>
          <w:b/>
          <w:i w:val="0"/>
          <w:noProof/>
          <w:color w:val="auto"/>
          <w:sz w:val="20"/>
          <w:szCs w:val="20"/>
        </w:rPr>
        <w:t>2</w:t>
      </w:r>
      <w:r w:rsidRPr="00C03C35">
        <w:rPr>
          <w:b/>
          <w:i w:val="0"/>
          <w:color w:val="auto"/>
          <w:sz w:val="20"/>
          <w:szCs w:val="20"/>
        </w:rPr>
        <w:fldChar w:fldCharType="end"/>
      </w:r>
      <w:bookmarkEnd w:id="3"/>
      <w:r w:rsidRPr="00C03C35">
        <w:rPr>
          <w:b/>
          <w:i w:val="0"/>
          <w:color w:val="auto"/>
          <w:sz w:val="20"/>
          <w:szCs w:val="20"/>
        </w:rPr>
        <w:t xml:space="preserve">. </w:t>
      </w:r>
      <w:r w:rsidRPr="00C03C35">
        <w:rPr>
          <w:b/>
          <w:bCs/>
          <w:i w:val="0"/>
          <w:iCs w:val="0"/>
          <w:color w:val="auto"/>
          <w:sz w:val="20"/>
          <w:szCs w:val="20"/>
        </w:rPr>
        <w:t xml:space="preserve">Inputs and outputs of the methanol production routes. </w:t>
      </w:r>
      <w:r w:rsidRPr="00C03C35">
        <w:rPr>
          <w:bCs/>
          <w:i w:val="0"/>
          <w:iCs w:val="0"/>
          <w:color w:val="auto"/>
          <w:sz w:val="20"/>
          <w:szCs w:val="20"/>
        </w:rPr>
        <w:t xml:space="preserve">These values are extracted from the work done by </w:t>
      </w:r>
      <w:r w:rsidRPr="00C03C35">
        <w:rPr>
          <w:rFonts w:cstheme="minorHAnsi"/>
          <w:i w:val="0"/>
          <w:color w:val="auto"/>
          <w:sz w:val="20"/>
          <w:szCs w:val="20"/>
        </w:rPr>
        <w:t>González</w:t>
      </w:r>
      <w:r w:rsidRPr="00C03C35">
        <w:rPr>
          <w:rFonts w:cstheme="minorHAnsi"/>
          <w:i w:val="0"/>
          <w:color w:val="auto"/>
          <w:sz w:val="20"/>
          <w:szCs w:val="20"/>
        </w:rPr>
        <w:noBreakHyphen/>
        <w:t>Garay</w:t>
      </w:r>
      <w:r w:rsidRPr="00C03C35">
        <w:rPr>
          <w:bCs/>
          <w:i w:val="0"/>
          <w:iCs w:val="0"/>
          <w:color w:val="auto"/>
          <w:sz w:val="20"/>
          <w:szCs w:val="20"/>
        </w:rPr>
        <w:t> </w:t>
      </w:r>
      <w:r w:rsidRPr="00C03C35">
        <w:rPr>
          <w:bCs/>
          <w:iCs w:val="0"/>
          <w:color w:val="auto"/>
          <w:sz w:val="20"/>
          <w:szCs w:val="20"/>
        </w:rPr>
        <w:t>et al</w:t>
      </w:r>
      <w:r w:rsidRPr="00C03C35">
        <w:rPr>
          <w:bCs/>
          <w:i w:val="0"/>
          <w:iCs w:val="0"/>
          <w:color w:val="auto"/>
          <w:sz w:val="20"/>
          <w:szCs w:val="20"/>
        </w:rPr>
        <w:t>.</w:t>
      </w:r>
      <w:r w:rsidRPr="00C03C35">
        <w:rPr>
          <w:bCs/>
          <w:i w:val="0"/>
          <w:iCs w:val="0"/>
          <w:color w:val="auto"/>
          <w:sz w:val="20"/>
          <w:szCs w:val="20"/>
        </w:rPr>
        <w:fldChar w:fldCharType="begin"/>
      </w:r>
      <w:r w:rsidR="003070D5">
        <w:rPr>
          <w:bCs/>
          <w:i w:val="0"/>
          <w:iCs w:val="0"/>
          <w:color w:val="auto"/>
          <w:sz w:val="20"/>
          <w:szCs w:val="20"/>
        </w:rPr>
        <w:instrText xml:space="preserve"> ADDIN ZOTERO_ITEM CSL_CITATION {"citationID":"5gqHPlsV","properties":{"formattedCitation":"\\super 3\\nosupersub{}","plainCitation":"3","noteIndex":0},"citationItems":[{"id":"dHwHotKY/12cLPJSI","uris":["http://www.mendeley.com/documents/?uuid=3598e592-4386-46f5-b0ae-cec5a0ada220"],"itemData":{"DOI":"10.1039/c9ee01673b","abstract":"A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advances.","author":[{"dropping-particle":"","family":"González-Garay","given":"Andrés","non-dropping-particle":"","parse-names":false,"suffix":""},{"dropping-particle":"","family":"Frei","given":"Matthias S","non-dropping-particle":"","parse-names":false,"suffix":""},{"dropping-particle":"","family":"Al-Qahtani","given":"Amjad","non-dropping-particle":"","parse-names":false,"suffix":""},{"dropping-particle":"","family":"Mondelli","given":"Cecilia","non-dropping-particle":"","parse-names":false,"suffix":""},{"dropping-particle":"","family":"Guillén-Gosálbez","given":"Gonzalo","non-dropping-particle":"","parse-names":false,"suffix":""},{"dropping-particle":"","family":"Pérez-Ramírez","given":"Javier","non-dropping-particle":"","parse-names":false,"suffix":""}],"container-title":"Energy and Environmental Science","id":"JLxsTSMP/HsSp6KGv","issue":"12","issued":{"date-parts":[["2019"]]},"page":"3425-3436","publisher":"Royal Society of Chemistry","title":"Plant-to-planet analysis of CO2-based methanol processes","type":"article-journal","volume":"12"}}],"schema":"https://github.com/citation-style-language/schema/raw/master/csl-citation.json"} </w:instrText>
      </w:r>
      <w:r w:rsidRPr="00C03C35">
        <w:rPr>
          <w:bCs/>
          <w:i w:val="0"/>
          <w:iCs w:val="0"/>
          <w:color w:val="auto"/>
          <w:sz w:val="20"/>
          <w:szCs w:val="20"/>
        </w:rPr>
        <w:fldChar w:fldCharType="separate"/>
      </w:r>
      <w:r w:rsidRPr="00C03C35">
        <w:rPr>
          <w:rFonts w:ascii="Calibri" w:hAnsi="Calibri" w:cs="Calibri"/>
          <w:i w:val="0"/>
          <w:color w:val="auto"/>
          <w:sz w:val="20"/>
          <w:szCs w:val="20"/>
          <w:vertAlign w:val="superscript"/>
        </w:rPr>
        <w:t>3</w:t>
      </w:r>
      <w:r w:rsidRPr="00C03C35">
        <w:rPr>
          <w:bCs/>
          <w:i w:val="0"/>
          <w:iCs w:val="0"/>
          <w:color w:val="auto"/>
          <w:sz w:val="20"/>
          <w:szCs w:val="20"/>
        </w:rPr>
        <w:fldChar w:fldCharType="end"/>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1"/>
        <w:gridCol w:w="1380"/>
        <w:gridCol w:w="1435"/>
      </w:tblGrid>
      <w:tr w:rsidR="00BF17FF" w:rsidRPr="00C03C35" w14:paraId="0013115D" w14:textId="77777777" w:rsidTr="00BF17FF">
        <w:trPr>
          <w:jc w:val="center"/>
        </w:trPr>
        <w:tc>
          <w:tcPr>
            <w:tcW w:w="2661" w:type="dxa"/>
            <w:tcBorders>
              <w:bottom w:val="single" w:sz="4" w:space="0" w:color="auto"/>
            </w:tcBorders>
          </w:tcPr>
          <w:p w14:paraId="68B6722F" w14:textId="77777777" w:rsidR="00BF17FF" w:rsidRPr="00C03C35" w:rsidRDefault="00BF17FF" w:rsidP="00BF17FF">
            <w:pPr>
              <w:keepNext/>
              <w:jc w:val="both"/>
              <w:rPr>
                <w:b/>
                <w:sz w:val="20"/>
                <w:szCs w:val="20"/>
                <w:lang w:val="en-GB"/>
              </w:rPr>
            </w:pPr>
            <w:r w:rsidRPr="00C03C35">
              <w:rPr>
                <w:b/>
                <w:sz w:val="20"/>
                <w:szCs w:val="20"/>
                <w:lang w:val="en-GB"/>
              </w:rPr>
              <w:t>Material/energy stream</w:t>
            </w:r>
          </w:p>
        </w:tc>
        <w:tc>
          <w:tcPr>
            <w:tcW w:w="1380" w:type="dxa"/>
            <w:tcBorders>
              <w:bottom w:val="single" w:sz="4" w:space="0" w:color="auto"/>
            </w:tcBorders>
          </w:tcPr>
          <w:p w14:paraId="3A475C1A" w14:textId="77777777" w:rsidR="00BF17FF" w:rsidRPr="00C03C35" w:rsidRDefault="00BF17FF" w:rsidP="00BF17FF">
            <w:pPr>
              <w:keepNext/>
              <w:jc w:val="both"/>
              <w:rPr>
                <w:b/>
                <w:sz w:val="20"/>
                <w:szCs w:val="20"/>
                <w:lang w:val="en-GB"/>
              </w:rPr>
            </w:pPr>
            <w:r w:rsidRPr="00C03C35">
              <w:rPr>
                <w:b/>
                <w:sz w:val="20"/>
                <w:szCs w:val="20"/>
                <w:lang w:val="en-GB"/>
              </w:rPr>
              <w:t>Fossil route</w:t>
            </w:r>
          </w:p>
        </w:tc>
        <w:tc>
          <w:tcPr>
            <w:tcW w:w="1435" w:type="dxa"/>
            <w:tcBorders>
              <w:bottom w:val="single" w:sz="4" w:space="0" w:color="auto"/>
            </w:tcBorders>
          </w:tcPr>
          <w:p w14:paraId="5EA521EB" w14:textId="77777777" w:rsidR="00BF17FF" w:rsidRPr="00C03C35" w:rsidRDefault="00BF17FF" w:rsidP="00BF17FF">
            <w:pPr>
              <w:keepNext/>
              <w:jc w:val="both"/>
              <w:rPr>
                <w:b/>
                <w:sz w:val="20"/>
                <w:szCs w:val="20"/>
                <w:lang w:val="en-GB"/>
              </w:rPr>
            </w:pPr>
            <w:r w:rsidRPr="00C03C35">
              <w:rPr>
                <w:b/>
                <w:sz w:val="20"/>
                <w:szCs w:val="20"/>
                <w:lang w:val="en-GB"/>
              </w:rPr>
              <w:t>Green route</w:t>
            </w:r>
          </w:p>
        </w:tc>
      </w:tr>
      <w:tr w:rsidR="00BF17FF" w:rsidRPr="00C03C35" w14:paraId="361FF2AF" w14:textId="77777777" w:rsidTr="00BF17FF">
        <w:trPr>
          <w:jc w:val="center"/>
        </w:trPr>
        <w:tc>
          <w:tcPr>
            <w:tcW w:w="5476" w:type="dxa"/>
            <w:gridSpan w:val="3"/>
            <w:tcBorders>
              <w:top w:val="single" w:sz="4" w:space="0" w:color="auto"/>
            </w:tcBorders>
          </w:tcPr>
          <w:p w14:paraId="768DB9DB" w14:textId="77777777" w:rsidR="00BF17FF" w:rsidRPr="00C03C35" w:rsidRDefault="00BF17FF" w:rsidP="00BF17FF">
            <w:pPr>
              <w:keepNext/>
              <w:jc w:val="both"/>
              <w:rPr>
                <w:b/>
                <w:sz w:val="20"/>
                <w:szCs w:val="20"/>
                <w:lang w:val="en-GB"/>
              </w:rPr>
            </w:pPr>
            <w:r w:rsidRPr="00C03C35">
              <w:rPr>
                <w:b/>
                <w:sz w:val="20"/>
                <w:szCs w:val="20"/>
                <w:lang w:val="en-GB"/>
              </w:rPr>
              <w:t>Feedstock</w:t>
            </w:r>
          </w:p>
        </w:tc>
      </w:tr>
      <w:tr w:rsidR="00BF17FF" w:rsidRPr="00C03C35" w14:paraId="203E3E1E" w14:textId="77777777" w:rsidTr="00BF17FF">
        <w:trPr>
          <w:jc w:val="center"/>
        </w:trPr>
        <w:tc>
          <w:tcPr>
            <w:tcW w:w="2661" w:type="dxa"/>
          </w:tcPr>
          <w:p w14:paraId="02ADE8E3" w14:textId="77777777" w:rsidR="00BF17FF" w:rsidRPr="00C03C35" w:rsidRDefault="00BF17FF" w:rsidP="00BF17FF">
            <w:pPr>
              <w:keepNext/>
              <w:jc w:val="both"/>
              <w:rPr>
                <w:sz w:val="20"/>
                <w:szCs w:val="20"/>
                <w:lang w:val="en-GB"/>
              </w:rPr>
            </w:pPr>
            <w:r w:rsidRPr="00C03C35">
              <w:rPr>
                <w:sz w:val="20"/>
                <w:szCs w:val="20"/>
                <w:lang w:val="en-GB"/>
              </w:rPr>
              <w:t>Natural gas [kg]</w:t>
            </w:r>
          </w:p>
        </w:tc>
        <w:tc>
          <w:tcPr>
            <w:tcW w:w="1380" w:type="dxa"/>
          </w:tcPr>
          <w:p w14:paraId="64CC009D" w14:textId="77777777" w:rsidR="00BF17FF" w:rsidRPr="00C03C35" w:rsidRDefault="00BF17FF" w:rsidP="00BF17FF">
            <w:pPr>
              <w:keepNext/>
              <w:jc w:val="center"/>
              <w:rPr>
                <w:sz w:val="20"/>
                <w:szCs w:val="20"/>
                <w:lang w:val="en-GB"/>
              </w:rPr>
            </w:pPr>
            <w:r w:rsidRPr="00C03C35">
              <w:rPr>
                <w:sz w:val="20"/>
                <w:szCs w:val="20"/>
                <w:lang w:val="en-GB"/>
              </w:rPr>
              <w:t>0.51</w:t>
            </w:r>
          </w:p>
        </w:tc>
        <w:tc>
          <w:tcPr>
            <w:tcW w:w="1435" w:type="dxa"/>
          </w:tcPr>
          <w:p w14:paraId="01407111" w14:textId="77777777" w:rsidR="00BF17FF" w:rsidRPr="00C03C35" w:rsidRDefault="00BF17FF" w:rsidP="00BF17FF">
            <w:pPr>
              <w:keepNext/>
              <w:jc w:val="center"/>
              <w:rPr>
                <w:sz w:val="20"/>
                <w:szCs w:val="20"/>
                <w:lang w:val="en-GB"/>
              </w:rPr>
            </w:pPr>
            <w:r w:rsidRPr="00C03C35">
              <w:rPr>
                <w:sz w:val="20"/>
                <w:szCs w:val="20"/>
                <w:lang w:val="en-GB"/>
              </w:rPr>
              <w:t>-</w:t>
            </w:r>
          </w:p>
        </w:tc>
      </w:tr>
      <w:tr w:rsidR="00BF17FF" w:rsidRPr="00C03C35" w14:paraId="2DBD5CAC" w14:textId="77777777" w:rsidTr="00BF17FF">
        <w:trPr>
          <w:jc w:val="center"/>
        </w:trPr>
        <w:tc>
          <w:tcPr>
            <w:tcW w:w="2661" w:type="dxa"/>
          </w:tcPr>
          <w:p w14:paraId="0EE1CD6F" w14:textId="77777777" w:rsidR="00BF17FF" w:rsidRPr="00C03C35" w:rsidRDefault="00BF17FF" w:rsidP="00BF17FF">
            <w:pPr>
              <w:keepNext/>
              <w:jc w:val="both"/>
              <w:rPr>
                <w:sz w:val="20"/>
                <w:szCs w:val="20"/>
                <w:lang w:val="en-GB"/>
              </w:rPr>
            </w:pPr>
            <w:r w:rsidRPr="00C03C35">
              <w:rPr>
                <w:sz w:val="20"/>
                <w:szCs w:val="20"/>
                <w:lang w:val="en-GB"/>
              </w:rPr>
              <w:t>Process water [kg]</w:t>
            </w:r>
          </w:p>
        </w:tc>
        <w:tc>
          <w:tcPr>
            <w:tcW w:w="1380" w:type="dxa"/>
          </w:tcPr>
          <w:p w14:paraId="0792D3B6" w14:textId="77777777" w:rsidR="00BF17FF" w:rsidRPr="00C03C35" w:rsidRDefault="00BF17FF" w:rsidP="00BF17FF">
            <w:pPr>
              <w:keepNext/>
              <w:jc w:val="center"/>
              <w:rPr>
                <w:sz w:val="20"/>
                <w:szCs w:val="20"/>
                <w:lang w:val="en-GB"/>
              </w:rPr>
            </w:pPr>
            <w:r w:rsidRPr="00C03C35">
              <w:rPr>
                <w:sz w:val="20"/>
                <w:szCs w:val="20"/>
                <w:lang w:val="en-GB"/>
              </w:rPr>
              <w:t>0.85</w:t>
            </w:r>
          </w:p>
        </w:tc>
        <w:tc>
          <w:tcPr>
            <w:tcW w:w="1435" w:type="dxa"/>
          </w:tcPr>
          <w:p w14:paraId="26D0A7AD" w14:textId="77777777" w:rsidR="00BF17FF" w:rsidRPr="00C03C35" w:rsidRDefault="00BF17FF" w:rsidP="00BF17FF">
            <w:pPr>
              <w:keepNext/>
              <w:jc w:val="center"/>
              <w:rPr>
                <w:sz w:val="20"/>
                <w:szCs w:val="20"/>
                <w:lang w:val="en-GB"/>
              </w:rPr>
            </w:pPr>
            <w:r w:rsidRPr="00C03C35">
              <w:rPr>
                <w:sz w:val="20"/>
                <w:szCs w:val="20"/>
                <w:lang w:val="en-GB"/>
              </w:rPr>
              <w:t>-</w:t>
            </w:r>
          </w:p>
        </w:tc>
      </w:tr>
      <w:tr w:rsidR="00BF17FF" w:rsidRPr="00C03C35" w14:paraId="7B816450" w14:textId="77777777" w:rsidTr="00BF17FF">
        <w:trPr>
          <w:jc w:val="center"/>
        </w:trPr>
        <w:tc>
          <w:tcPr>
            <w:tcW w:w="2661" w:type="dxa"/>
          </w:tcPr>
          <w:p w14:paraId="5498F2E2" w14:textId="77777777" w:rsidR="00BF17FF" w:rsidRPr="00C03C35" w:rsidRDefault="00BF17FF" w:rsidP="00BF17FF">
            <w:pPr>
              <w:keepNext/>
              <w:jc w:val="both"/>
              <w:rPr>
                <w:sz w:val="20"/>
                <w:szCs w:val="20"/>
                <w:lang w:val="en-GB"/>
              </w:rPr>
            </w:pPr>
            <w:r w:rsidRPr="00C03C35">
              <w:rPr>
                <w:sz w:val="20"/>
                <w:szCs w:val="20"/>
                <w:lang w:val="en-GB"/>
              </w:rPr>
              <w:t>CO</w:t>
            </w:r>
            <w:r w:rsidRPr="00C03C35">
              <w:rPr>
                <w:sz w:val="20"/>
                <w:szCs w:val="20"/>
                <w:vertAlign w:val="subscript"/>
                <w:lang w:val="en-GB"/>
              </w:rPr>
              <w:t>2</w:t>
            </w:r>
            <w:r w:rsidRPr="00C03C35">
              <w:rPr>
                <w:sz w:val="20"/>
                <w:szCs w:val="20"/>
                <w:lang w:val="en-GB"/>
              </w:rPr>
              <w:t xml:space="preserve"> feedstock [kg]</w:t>
            </w:r>
          </w:p>
        </w:tc>
        <w:tc>
          <w:tcPr>
            <w:tcW w:w="1380" w:type="dxa"/>
          </w:tcPr>
          <w:p w14:paraId="0AAAB9BC" w14:textId="77777777" w:rsidR="00BF17FF" w:rsidRPr="00C03C35" w:rsidRDefault="00BF17FF" w:rsidP="00BF17FF">
            <w:pPr>
              <w:keepNext/>
              <w:jc w:val="center"/>
              <w:rPr>
                <w:sz w:val="20"/>
                <w:szCs w:val="20"/>
                <w:lang w:val="en-GB"/>
              </w:rPr>
            </w:pPr>
            <w:r w:rsidRPr="00C03C35">
              <w:rPr>
                <w:sz w:val="20"/>
                <w:szCs w:val="20"/>
                <w:lang w:val="en-GB"/>
              </w:rPr>
              <w:t>-</w:t>
            </w:r>
          </w:p>
        </w:tc>
        <w:tc>
          <w:tcPr>
            <w:tcW w:w="1435" w:type="dxa"/>
          </w:tcPr>
          <w:p w14:paraId="52A41333" w14:textId="77777777" w:rsidR="00BF17FF" w:rsidRPr="00C03C35" w:rsidRDefault="00BF17FF" w:rsidP="00BF17FF">
            <w:pPr>
              <w:keepNext/>
              <w:jc w:val="center"/>
              <w:rPr>
                <w:sz w:val="20"/>
                <w:szCs w:val="20"/>
                <w:lang w:val="en-GB"/>
              </w:rPr>
            </w:pPr>
            <w:r w:rsidRPr="00C03C35">
              <w:rPr>
                <w:sz w:val="20"/>
                <w:szCs w:val="20"/>
                <w:lang w:val="en-GB"/>
              </w:rPr>
              <w:t>1.45</w:t>
            </w:r>
          </w:p>
        </w:tc>
      </w:tr>
      <w:tr w:rsidR="00BF17FF" w:rsidRPr="00C03C35" w14:paraId="52B51B46" w14:textId="77777777" w:rsidTr="00BF17FF">
        <w:trPr>
          <w:jc w:val="center"/>
        </w:trPr>
        <w:tc>
          <w:tcPr>
            <w:tcW w:w="2661" w:type="dxa"/>
          </w:tcPr>
          <w:p w14:paraId="2DF25AA2" w14:textId="77777777" w:rsidR="00BF17FF" w:rsidRPr="00C03C35" w:rsidRDefault="00BF17FF" w:rsidP="00BF17FF">
            <w:pPr>
              <w:keepNext/>
              <w:jc w:val="both"/>
              <w:rPr>
                <w:sz w:val="20"/>
                <w:szCs w:val="20"/>
                <w:lang w:val="en-GB"/>
              </w:rPr>
            </w:pPr>
            <w:r w:rsidRPr="00C03C35">
              <w:rPr>
                <w:sz w:val="20"/>
                <w:szCs w:val="20"/>
                <w:lang w:val="en-GB"/>
              </w:rPr>
              <w:t>Hydrogen [kg]</w:t>
            </w:r>
          </w:p>
        </w:tc>
        <w:tc>
          <w:tcPr>
            <w:tcW w:w="1380" w:type="dxa"/>
          </w:tcPr>
          <w:p w14:paraId="458BBF36" w14:textId="77777777" w:rsidR="00BF17FF" w:rsidRPr="00C03C35" w:rsidRDefault="00BF17FF" w:rsidP="00BF17FF">
            <w:pPr>
              <w:keepNext/>
              <w:jc w:val="center"/>
              <w:rPr>
                <w:sz w:val="20"/>
                <w:szCs w:val="20"/>
                <w:lang w:val="en-GB"/>
              </w:rPr>
            </w:pPr>
            <w:r w:rsidRPr="00C03C35">
              <w:rPr>
                <w:sz w:val="20"/>
                <w:szCs w:val="20"/>
                <w:lang w:val="en-GB"/>
              </w:rPr>
              <w:t>-</w:t>
            </w:r>
          </w:p>
        </w:tc>
        <w:tc>
          <w:tcPr>
            <w:tcW w:w="1435" w:type="dxa"/>
          </w:tcPr>
          <w:p w14:paraId="1D33439A" w14:textId="77777777" w:rsidR="00BF17FF" w:rsidRPr="00C03C35" w:rsidRDefault="00BF17FF" w:rsidP="00BF17FF">
            <w:pPr>
              <w:keepNext/>
              <w:jc w:val="center"/>
              <w:rPr>
                <w:sz w:val="20"/>
                <w:szCs w:val="20"/>
                <w:lang w:val="en-GB"/>
              </w:rPr>
            </w:pPr>
            <w:r w:rsidRPr="00C03C35">
              <w:rPr>
                <w:sz w:val="20"/>
                <w:szCs w:val="20"/>
                <w:lang w:val="en-GB"/>
              </w:rPr>
              <w:t>0.19</w:t>
            </w:r>
          </w:p>
        </w:tc>
      </w:tr>
      <w:tr w:rsidR="00BF17FF" w:rsidRPr="00C03C35" w14:paraId="3485CC44" w14:textId="77777777" w:rsidTr="00BF17FF">
        <w:trPr>
          <w:jc w:val="center"/>
        </w:trPr>
        <w:tc>
          <w:tcPr>
            <w:tcW w:w="5476" w:type="dxa"/>
            <w:gridSpan w:val="3"/>
          </w:tcPr>
          <w:p w14:paraId="08E42C57" w14:textId="77777777" w:rsidR="00BF17FF" w:rsidRPr="00C03C35" w:rsidRDefault="00BF17FF" w:rsidP="00BF17FF">
            <w:pPr>
              <w:keepNext/>
              <w:jc w:val="both"/>
              <w:rPr>
                <w:b/>
                <w:sz w:val="20"/>
                <w:szCs w:val="20"/>
                <w:lang w:val="en-GB"/>
              </w:rPr>
            </w:pPr>
            <w:r w:rsidRPr="00C03C35">
              <w:rPr>
                <w:b/>
                <w:sz w:val="20"/>
                <w:szCs w:val="20"/>
                <w:lang w:val="en-GB"/>
              </w:rPr>
              <w:t>Utilities</w:t>
            </w:r>
          </w:p>
        </w:tc>
      </w:tr>
      <w:tr w:rsidR="00BF17FF" w:rsidRPr="00C03C35" w14:paraId="14EF3A4F" w14:textId="77777777" w:rsidTr="00BF17FF">
        <w:trPr>
          <w:jc w:val="center"/>
        </w:trPr>
        <w:tc>
          <w:tcPr>
            <w:tcW w:w="2661" w:type="dxa"/>
          </w:tcPr>
          <w:p w14:paraId="0BFA0B32" w14:textId="77777777" w:rsidR="00BF17FF" w:rsidRPr="00C03C35" w:rsidRDefault="00BF17FF" w:rsidP="00BF17FF">
            <w:pPr>
              <w:keepNext/>
              <w:jc w:val="both"/>
              <w:rPr>
                <w:sz w:val="20"/>
                <w:szCs w:val="20"/>
                <w:lang w:val="en-GB"/>
              </w:rPr>
            </w:pPr>
            <w:r w:rsidRPr="00C03C35">
              <w:rPr>
                <w:sz w:val="20"/>
                <w:szCs w:val="20"/>
                <w:lang w:val="en-GB"/>
              </w:rPr>
              <w:t>Heating – natural gas [kg]</w:t>
            </w:r>
          </w:p>
        </w:tc>
        <w:tc>
          <w:tcPr>
            <w:tcW w:w="1380" w:type="dxa"/>
          </w:tcPr>
          <w:p w14:paraId="128C4360" w14:textId="77777777" w:rsidR="00BF17FF" w:rsidRPr="00C03C35" w:rsidRDefault="00BF17FF" w:rsidP="00BF17FF">
            <w:pPr>
              <w:keepNext/>
              <w:jc w:val="center"/>
              <w:rPr>
                <w:sz w:val="20"/>
                <w:szCs w:val="20"/>
                <w:lang w:val="en-GB"/>
              </w:rPr>
            </w:pPr>
            <w:r w:rsidRPr="00C03C35">
              <w:rPr>
                <w:sz w:val="20"/>
                <w:szCs w:val="20"/>
                <w:lang w:val="en-GB"/>
              </w:rPr>
              <w:t>0.15</w:t>
            </w:r>
          </w:p>
        </w:tc>
        <w:tc>
          <w:tcPr>
            <w:tcW w:w="1435" w:type="dxa"/>
          </w:tcPr>
          <w:p w14:paraId="2A0174EC" w14:textId="77777777" w:rsidR="00BF17FF" w:rsidRPr="00C03C35" w:rsidRDefault="00BF17FF" w:rsidP="00BF17FF">
            <w:pPr>
              <w:keepNext/>
              <w:jc w:val="center"/>
              <w:rPr>
                <w:sz w:val="20"/>
                <w:szCs w:val="20"/>
                <w:lang w:val="en-GB"/>
              </w:rPr>
            </w:pPr>
            <w:r w:rsidRPr="00C03C35">
              <w:rPr>
                <w:sz w:val="20"/>
                <w:szCs w:val="20"/>
                <w:lang w:val="en-GB"/>
              </w:rPr>
              <w:t>-</w:t>
            </w:r>
          </w:p>
        </w:tc>
      </w:tr>
      <w:tr w:rsidR="00BF17FF" w:rsidRPr="00C03C35" w14:paraId="0A80AEE1" w14:textId="77777777" w:rsidTr="00BF17FF">
        <w:trPr>
          <w:jc w:val="center"/>
        </w:trPr>
        <w:tc>
          <w:tcPr>
            <w:tcW w:w="2661" w:type="dxa"/>
          </w:tcPr>
          <w:p w14:paraId="389CA17F" w14:textId="77777777" w:rsidR="00BF17FF" w:rsidRPr="00C03C35" w:rsidRDefault="00BF17FF" w:rsidP="00BF17FF">
            <w:pPr>
              <w:keepNext/>
              <w:jc w:val="both"/>
              <w:rPr>
                <w:sz w:val="20"/>
                <w:szCs w:val="20"/>
                <w:lang w:val="en-GB"/>
              </w:rPr>
            </w:pPr>
            <w:r w:rsidRPr="00C03C35">
              <w:rPr>
                <w:sz w:val="20"/>
                <w:szCs w:val="20"/>
                <w:lang w:val="en-GB"/>
              </w:rPr>
              <w:t>Electricity [kWh]</w:t>
            </w:r>
          </w:p>
        </w:tc>
        <w:tc>
          <w:tcPr>
            <w:tcW w:w="1380" w:type="dxa"/>
          </w:tcPr>
          <w:p w14:paraId="6BEC52D6" w14:textId="77777777" w:rsidR="00BF17FF" w:rsidRPr="00C03C35" w:rsidRDefault="00BF17FF" w:rsidP="00BF17FF">
            <w:pPr>
              <w:keepNext/>
              <w:jc w:val="center"/>
              <w:rPr>
                <w:sz w:val="20"/>
                <w:szCs w:val="20"/>
                <w:lang w:val="en-GB"/>
              </w:rPr>
            </w:pPr>
            <w:r w:rsidRPr="00C03C35">
              <w:rPr>
                <w:sz w:val="20"/>
                <w:szCs w:val="20"/>
                <w:lang w:val="en-GB"/>
              </w:rPr>
              <w:t>74</w:t>
            </w:r>
          </w:p>
        </w:tc>
        <w:tc>
          <w:tcPr>
            <w:tcW w:w="1435" w:type="dxa"/>
          </w:tcPr>
          <w:p w14:paraId="6432C371" w14:textId="77777777" w:rsidR="00BF17FF" w:rsidRPr="00C03C35" w:rsidRDefault="00BF17FF" w:rsidP="00BF17FF">
            <w:pPr>
              <w:keepNext/>
              <w:jc w:val="center"/>
              <w:rPr>
                <w:sz w:val="20"/>
                <w:szCs w:val="20"/>
                <w:lang w:val="en-GB"/>
              </w:rPr>
            </w:pPr>
            <w:r w:rsidRPr="00C03C35">
              <w:rPr>
                <w:sz w:val="20"/>
                <w:szCs w:val="20"/>
                <w:lang w:val="en-GB"/>
              </w:rPr>
              <w:t>300</w:t>
            </w:r>
          </w:p>
        </w:tc>
      </w:tr>
      <w:tr w:rsidR="00BF17FF" w:rsidRPr="00C03C35" w14:paraId="6FD3D5A3" w14:textId="77777777" w:rsidTr="00BF17FF">
        <w:trPr>
          <w:jc w:val="center"/>
        </w:trPr>
        <w:tc>
          <w:tcPr>
            <w:tcW w:w="2661" w:type="dxa"/>
          </w:tcPr>
          <w:p w14:paraId="05C1A5A3" w14:textId="77777777" w:rsidR="00BF17FF" w:rsidRPr="00C03C35" w:rsidRDefault="00BF17FF" w:rsidP="00BF17FF">
            <w:pPr>
              <w:keepNext/>
              <w:jc w:val="both"/>
              <w:rPr>
                <w:sz w:val="20"/>
                <w:szCs w:val="20"/>
                <w:lang w:val="en-GB"/>
              </w:rPr>
            </w:pPr>
            <w:r w:rsidRPr="00C03C35">
              <w:rPr>
                <w:sz w:val="20"/>
                <w:szCs w:val="20"/>
                <w:lang w:val="en-GB"/>
              </w:rPr>
              <w:t>Cooling water [GJ]</w:t>
            </w:r>
          </w:p>
        </w:tc>
        <w:tc>
          <w:tcPr>
            <w:tcW w:w="1380" w:type="dxa"/>
          </w:tcPr>
          <w:p w14:paraId="70FC2505" w14:textId="77777777" w:rsidR="00BF17FF" w:rsidRPr="00C03C35" w:rsidRDefault="00BF17FF" w:rsidP="00BF17FF">
            <w:pPr>
              <w:keepNext/>
              <w:jc w:val="center"/>
              <w:rPr>
                <w:sz w:val="20"/>
                <w:szCs w:val="20"/>
                <w:lang w:val="en-GB"/>
              </w:rPr>
            </w:pPr>
            <w:r w:rsidRPr="00C03C35">
              <w:rPr>
                <w:sz w:val="20"/>
                <w:szCs w:val="20"/>
                <w:lang w:val="en-GB"/>
              </w:rPr>
              <w:t>-</w:t>
            </w:r>
          </w:p>
        </w:tc>
        <w:tc>
          <w:tcPr>
            <w:tcW w:w="1435" w:type="dxa"/>
          </w:tcPr>
          <w:p w14:paraId="1425239C" w14:textId="77777777" w:rsidR="00BF17FF" w:rsidRPr="00C03C35" w:rsidRDefault="00BF17FF" w:rsidP="00BF17FF">
            <w:pPr>
              <w:keepNext/>
              <w:jc w:val="center"/>
              <w:rPr>
                <w:sz w:val="20"/>
                <w:szCs w:val="20"/>
                <w:lang w:val="en-GB"/>
              </w:rPr>
            </w:pPr>
            <w:r w:rsidRPr="00C03C35">
              <w:rPr>
                <w:sz w:val="20"/>
                <w:szCs w:val="20"/>
                <w:lang w:val="en-GB"/>
              </w:rPr>
              <w:t>4.95</w:t>
            </w:r>
          </w:p>
        </w:tc>
      </w:tr>
    </w:tbl>
    <w:p w14:paraId="2CB7B05F" w14:textId="77777777" w:rsidR="00BF17FF" w:rsidRPr="00C03C35" w:rsidRDefault="00BF17FF" w:rsidP="00BF17FF">
      <w:pPr>
        <w:pStyle w:val="Heading3"/>
        <w:rPr>
          <w:lang w:val="en-GB"/>
        </w:rPr>
      </w:pPr>
    </w:p>
    <w:p w14:paraId="1DF6048E" w14:textId="77777777" w:rsidR="00BF17FF" w:rsidRPr="00C03C35" w:rsidRDefault="00BF17FF" w:rsidP="00BF17FF">
      <w:pPr>
        <w:pStyle w:val="Heading3"/>
        <w:rPr>
          <w:lang w:val="en-GB"/>
        </w:rPr>
      </w:pPr>
      <w:r w:rsidRPr="00C03C35">
        <w:rPr>
          <w:lang w:val="en-GB"/>
        </w:rPr>
        <w:t>2.2. Data for CAPEX calculations</w:t>
      </w:r>
    </w:p>
    <w:p w14:paraId="02197F7A" w14:textId="25310B3D" w:rsidR="00BF17FF" w:rsidRPr="00C03C35" w:rsidRDefault="00BF17FF" w:rsidP="00BF17FF">
      <w:pPr>
        <w:pStyle w:val="Caption"/>
        <w:keepNext/>
        <w:jc w:val="both"/>
        <w:rPr>
          <w:b/>
          <w:i w:val="0"/>
          <w:color w:val="auto"/>
          <w:sz w:val="22"/>
          <w:szCs w:val="22"/>
        </w:rPr>
      </w:pPr>
      <w:bookmarkStart w:id="4" w:name="_Ref127893393"/>
      <w:r w:rsidRPr="00C03C35">
        <w:rPr>
          <w:i w:val="0"/>
          <w:color w:val="auto"/>
          <w:sz w:val="22"/>
          <w:szCs w:val="22"/>
        </w:rPr>
        <w:t xml:space="preserve">The OPEX were determined from the mass and energy flows retrieved from the </w:t>
      </w:r>
      <w:r w:rsidR="000C25E3" w:rsidRPr="00C03C35">
        <w:rPr>
          <w:i w:val="0"/>
          <w:color w:val="auto"/>
          <w:sz w:val="22"/>
          <w:szCs w:val="22"/>
        </w:rPr>
        <w:t>process models</w:t>
      </w:r>
      <w:r w:rsidRPr="00C03C35">
        <w:rPr>
          <w:i w:val="0"/>
          <w:color w:val="auto"/>
          <w:sz w:val="22"/>
          <w:szCs w:val="22"/>
        </w:rPr>
        <w:t xml:space="preserve"> and applying the corresponding cost factors, while the CAPEX </w:t>
      </w:r>
      <w:r w:rsidR="00610EF8" w:rsidRPr="00C03C35">
        <w:rPr>
          <w:i w:val="0"/>
          <w:color w:val="auto"/>
          <w:sz w:val="22"/>
          <w:szCs w:val="22"/>
        </w:rPr>
        <w:t>was</w:t>
      </w:r>
      <w:r w:rsidRPr="00C03C35">
        <w:rPr>
          <w:i w:val="0"/>
          <w:color w:val="auto"/>
          <w:sz w:val="22"/>
          <w:szCs w:val="22"/>
        </w:rPr>
        <w:t xml:space="preserve"> directly taken from the original sources. Specifically, the CAPEX contributions for </w:t>
      </w:r>
      <w:r w:rsidR="00CC2B38" w:rsidRPr="00C03C35">
        <w:rPr>
          <w:i w:val="0"/>
          <w:color w:val="auto"/>
          <w:sz w:val="22"/>
          <w:szCs w:val="22"/>
        </w:rPr>
        <w:t xml:space="preserve">fossil and green </w:t>
      </w:r>
      <w:r w:rsidRPr="00C03C35">
        <w:rPr>
          <w:i w:val="0"/>
          <w:color w:val="auto"/>
          <w:sz w:val="22"/>
          <w:szCs w:val="22"/>
        </w:rPr>
        <w:t xml:space="preserve">ammonia were taken from D’Angelo </w:t>
      </w:r>
      <w:r w:rsidRPr="00C03C35">
        <w:rPr>
          <w:color w:val="auto"/>
          <w:sz w:val="22"/>
          <w:szCs w:val="22"/>
        </w:rPr>
        <w:t>et al.</w:t>
      </w:r>
      <w:r w:rsidRPr="00C03C35">
        <w:rPr>
          <w:rFonts w:cstheme="minorHAnsi"/>
          <w:i w:val="0"/>
          <w:color w:val="auto"/>
        </w:rPr>
        <w:fldChar w:fldCharType="begin"/>
      </w:r>
      <w:r w:rsidR="003070D5">
        <w:rPr>
          <w:rFonts w:cstheme="minorHAnsi"/>
          <w:i w:val="0"/>
          <w:color w:val="auto"/>
        </w:rPr>
        <w:instrText xml:space="preserve"> ADDIN ZOTERO_ITEM CSL_CITATION {"citationID":"KjEFaasV","properties":{"formattedCitation":"\\super 1\\nosupersub{}","plainCitation":"1","noteIndex":0},"citationItems":[{"id":"dHwHotKY/5mm4tg0v","uris":["http://zotero.org/users/9157291/items/AFKW7KRC"],"itemData":{"id":3860,"type":"article-journal","abstract":"At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Pr="00C03C35">
        <w:rPr>
          <w:rFonts w:cstheme="minorHAnsi"/>
          <w:i w:val="0"/>
          <w:color w:val="auto"/>
        </w:rPr>
        <w:fldChar w:fldCharType="separate"/>
      </w:r>
      <w:r w:rsidRPr="00C03C35">
        <w:rPr>
          <w:rFonts w:ascii="Calibri" w:hAnsi="Calibri" w:cs="Calibri"/>
          <w:i w:val="0"/>
          <w:color w:val="auto"/>
          <w:szCs w:val="24"/>
          <w:vertAlign w:val="superscript"/>
        </w:rPr>
        <w:t>1</w:t>
      </w:r>
      <w:r w:rsidRPr="00C03C35">
        <w:rPr>
          <w:rFonts w:cstheme="minorHAnsi"/>
          <w:i w:val="0"/>
          <w:color w:val="auto"/>
        </w:rPr>
        <w:fldChar w:fldCharType="end"/>
      </w:r>
      <w:r w:rsidR="006A4364" w:rsidRPr="00C03C35">
        <w:rPr>
          <w:i w:val="0"/>
          <w:color w:val="auto"/>
          <w:sz w:val="22"/>
          <w:szCs w:val="22"/>
        </w:rPr>
        <w:t xml:space="preserve"> </w:t>
      </w:r>
      <w:r w:rsidRPr="00C03C35">
        <w:rPr>
          <w:i w:val="0"/>
          <w:color w:val="auto"/>
          <w:sz w:val="22"/>
          <w:szCs w:val="22"/>
        </w:rPr>
        <w:t>With 2019 as the reference year, the contribution of CAPEX is estimated to be around 133 USD t</w:t>
      </w:r>
      <w:r w:rsidRPr="00C03C35">
        <w:rPr>
          <w:i w:val="0"/>
          <w:color w:val="auto"/>
          <w:sz w:val="22"/>
          <w:szCs w:val="22"/>
          <w:vertAlign w:val="superscript"/>
        </w:rPr>
        <w:t>–1</w:t>
      </w:r>
      <w:r w:rsidRPr="00C03C35">
        <w:rPr>
          <w:i w:val="0"/>
          <w:color w:val="auto"/>
          <w:sz w:val="22"/>
          <w:szCs w:val="22"/>
        </w:rPr>
        <w:t xml:space="preserve"> and 80 USD t</w:t>
      </w:r>
      <w:r w:rsidRPr="00C03C35">
        <w:rPr>
          <w:i w:val="0"/>
          <w:color w:val="auto"/>
          <w:sz w:val="22"/>
          <w:szCs w:val="22"/>
          <w:vertAlign w:val="superscript"/>
        </w:rPr>
        <w:t>–1</w:t>
      </w:r>
      <w:r w:rsidRPr="00C03C35">
        <w:rPr>
          <w:i w:val="0"/>
          <w:color w:val="auto"/>
          <w:sz w:val="22"/>
          <w:szCs w:val="22"/>
        </w:rPr>
        <w:t xml:space="preserve"> of ammonia for the fossil and green routes, respectively. Similarly, for the case of </w:t>
      </w:r>
      <w:r w:rsidR="00EA4E85" w:rsidRPr="00C03C35">
        <w:rPr>
          <w:i w:val="0"/>
          <w:color w:val="auto"/>
          <w:sz w:val="22"/>
          <w:szCs w:val="22"/>
        </w:rPr>
        <w:t xml:space="preserve">fossil and green </w:t>
      </w:r>
      <w:r w:rsidRPr="00C03C35">
        <w:rPr>
          <w:i w:val="0"/>
          <w:color w:val="auto"/>
          <w:sz w:val="22"/>
          <w:szCs w:val="22"/>
        </w:rPr>
        <w:t xml:space="preserve">methanol, the CAPEX is based on the </w:t>
      </w:r>
      <w:r w:rsidR="00BA1C0B" w:rsidRPr="00C03C35">
        <w:rPr>
          <w:i w:val="0"/>
          <w:color w:val="auto"/>
          <w:sz w:val="22"/>
          <w:szCs w:val="22"/>
        </w:rPr>
        <w:t>process models developed</w:t>
      </w:r>
      <w:r w:rsidRPr="00C03C35">
        <w:rPr>
          <w:i w:val="0"/>
          <w:color w:val="auto"/>
          <w:sz w:val="22"/>
          <w:szCs w:val="22"/>
        </w:rPr>
        <w:t xml:space="preserve"> by González</w:t>
      </w:r>
      <w:r w:rsidRPr="00C03C35">
        <w:rPr>
          <w:i w:val="0"/>
          <w:color w:val="auto"/>
          <w:sz w:val="22"/>
          <w:szCs w:val="22"/>
        </w:rPr>
        <w:noBreakHyphen/>
        <w:t>Garay </w:t>
      </w:r>
      <w:r w:rsidRPr="00C03C35">
        <w:rPr>
          <w:color w:val="auto"/>
          <w:sz w:val="22"/>
          <w:szCs w:val="22"/>
        </w:rPr>
        <w:t>et al.</w:t>
      </w:r>
      <w:r w:rsidRPr="00C03C35">
        <w:rPr>
          <w:bCs/>
          <w:i w:val="0"/>
          <w:iCs w:val="0"/>
          <w:color w:val="auto"/>
          <w:sz w:val="22"/>
          <w:szCs w:val="22"/>
        </w:rPr>
        <w:fldChar w:fldCharType="begin"/>
      </w:r>
      <w:r w:rsidR="003070D5">
        <w:rPr>
          <w:bCs/>
          <w:i w:val="0"/>
          <w:iCs w:val="0"/>
          <w:color w:val="auto"/>
          <w:sz w:val="22"/>
          <w:szCs w:val="22"/>
        </w:rPr>
        <w:instrText xml:space="preserve"> ADDIN ZOTERO_ITEM CSL_CITATION {"citationID":"PRnMcPW9","properties":{"formattedCitation":"\\super 3\\nosupersub{}","plainCitation":"3","noteIndex":0},"citationItems":[{"id":"dHwHotKY/12cLPJSI","uris":["http://www.mendeley.com/documents/?uuid=3598e592-4386-46f5-b0ae-cec5a0ada220"],"itemData":{"DOI":"10.1039/c9ee01673b","abstract":"A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advances.","author":[{"dropping-particle":"","family":"González-Garay","given":"Andrés","non-dropping-particle":"","parse-names":false,"suffix":""},{"dropping-particle":"","family":"Frei","given":"Matthias S","non-dropping-particle":"","parse-names":false,"suffix":""},{"dropping-particle":"","family":"Al-Qahtani","given":"Amjad","non-dropping-particle":"","parse-names":false,"suffix":""},{"dropping-particle":"","family":"Mondelli","given":"Cecilia","non-dropping-particle":"","parse-names":false,"suffix":""},{"dropping-particle":"","family":"Guillén-Gosálbez","given":"Gonzalo","non-dropping-particle":"","parse-names":false,"suffix":""},{"dropping-particle":"","family":"Pérez-Ramírez","given":"Javier","non-dropping-particle":"","parse-names":false,"suffix":""}],"container-title":"Energy and Environmental Science","id":"JLxsTSMP/HsSp6KGv","issue":"12","issued":{"date-parts":[["2019"]]},"page":"3425-3436","publisher":"Royal Society of Chemistry","title":"Plant-to-planet analysis of CO2-based methanol processes","type":"article-journal","volume":"12"}}],"schema":"https://github.com/citation-style-language/schema/raw/master/csl-citation.json"} </w:instrText>
      </w:r>
      <w:r w:rsidRPr="00C03C35">
        <w:rPr>
          <w:bCs/>
          <w:i w:val="0"/>
          <w:iCs w:val="0"/>
          <w:color w:val="auto"/>
          <w:sz w:val="22"/>
          <w:szCs w:val="22"/>
        </w:rPr>
        <w:fldChar w:fldCharType="separate"/>
      </w:r>
      <w:r w:rsidRPr="00C03C35">
        <w:rPr>
          <w:rFonts w:ascii="Calibri" w:hAnsi="Calibri" w:cs="Calibri"/>
          <w:i w:val="0"/>
          <w:color w:val="auto"/>
          <w:sz w:val="22"/>
          <w:szCs w:val="22"/>
          <w:vertAlign w:val="superscript"/>
        </w:rPr>
        <w:t>3</w:t>
      </w:r>
      <w:r w:rsidRPr="00C03C35">
        <w:rPr>
          <w:bCs/>
          <w:i w:val="0"/>
          <w:iCs w:val="0"/>
          <w:color w:val="auto"/>
          <w:sz w:val="22"/>
          <w:szCs w:val="22"/>
        </w:rPr>
        <w:fldChar w:fldCharType="end"/>
      </w:r>
      <w:r w:rsidRPr="00C03C35">
        <w:rPr>
          <w:color w:val="auto"/>
          <w:sz w:val="22"/>
          <w:szCs w:val="22"/>
        </w:rPr>
        <w:t xml:space="preserve"> </w:t>
      </w:r>
      <w:r w:rsidRPr="00C03C35">
        <w:rPr>
          <w:i w:val="0"/>
          <w:color w:val="auto"/>
          <w:sz w:val="22"/>
          <w:szCs w:val="22"/>
        </w:rPr>
        <w:t>For 2019, the CAPEX contribution stood at around 56 USD t</w:t>
      </w:r>
      <w:r w:rsidRPr="00C03C35">
        <w:rPr>
          <w:i w:val="0"/>
          <w:color w:val="auto"/>
          <w:sz w:val="22"/>
          <w:szCs w:val="22"/>
          <w:vertAlign w:val="superscript"/>
        </w:rPr>
        <w:t>–1</w:t>
      </w:r>
      <w:r w:rsidRPr="00C03C35">
        <w:rPr>
          <w:i w:val="0"/>
          <w:color w:val="auto"/>
          <w:sz w:val="22"/>
          <w:szCs w:val="22"/>
        </w:rPr>
        <w:t xml:space="preserve"> and 92 USD t</w:t>
      </w:r>
      <w:r w:rsidRPr="00C03C35">
        <w:rPr>
          <w:i w:val="0"/>
          <w:color w:val="auto"/>
          <w:sz w:val="22"/>
          <w:szCs w:val="22"/>
          <w:vertAlign w:val="superscript"/>
        </w:rPr>
        <w:t>–1</w:t>
      </w:r>
      <w:r w:rsidRPr="00C03C35">
        <w:rPr>
          <w:i w:val="0"/>
          <w:color w:val="auto"/>
          <w:sz w:val="22"/>
          <w:szCs w:val="22"/>
        </w:rPr>
        <w:t xml:space="preserve"> of methanol for the fossil and green routes, respectively.</w:t>
      </w:r>
      <w:r w:rsidRPr="00C03C35">
        <w:rPr>
          <w:rFonts w:cstheme="minorHAnsi"/>
          <w:color w:val="auto"/>
          <w:sz w:val="22"/>
          <w:szCs w:val="22"/>
        </w:rPr>
        <w:t xml:space="preserve"> </w:t>
      </w:r>
      <w:r w:rsidR="00C03C35" w:rsidRPr="00C03C35">
        <w:rPr>
          <w:rFonts w:cstheme="minorHAnsi"/>
          <w:color w:val="auto"/>
          <w:sz w:val="22"/>
          <w:szCs w:val="22"/>
        </w:rPr>
        <w:t xml:space="preserve"> </w:t>
      </w:r>
      <w:r w:rsidR="00C03C35" w:rsidRPr="00C03C35">
        <w:rPr>
          <w:rFonts w:cstheme="minorHAnsi"/>
          <w:i w:val="0"/>
          <w:color w:val="auto"/>
          <w:sz w:val="22"/>
          <w:szCs w:val="22"/>
        </w:rPr>
        <w:t>In the original references</w:t>
      </w:r>
      <w:r w:rsidR="00A02B88" w:rsidRPr="00D05761">
        <w:rPr>
          <w:rFonts w:cstheme="minorHAnsi"/>
          <w:i w:val="0"/>
          <w:color w:val="auto"/>
          <w:sz w:val="22"/>
          <w:szCs w:val="22"/>
        </w:rPr>
        <w:fldChar w:fldCharType="begin"/>
      </w:r>
      <w:r w:rsidR="003070D5">
        <w:rPr>
          <w:rFonts w:cstheme="minorHAnsi"/>
          <w:i w:val="0"/>
          <w:color w:val="auto"/>
          <w:sz w:val="22"/>
          <w:szCs w:val="22"/>
        </w:rPr>
        <w:instrText xml:space="preserve"> ADDIN ZOTERO_ITEM CSL_CITATION {"citationID":"MCj4WGDg","properties":{"formattedCitation":"\\super 1,3\\nosupersub{}","plainCitation":"1,3","noteIndex":0},"citationItems":[{"id":"dHwHotKY/5mm4tg0v","uris":["http://zotero.org/users/9157291/items/AFKW7KRC"],"itemData":{"id":"ZJCBetN2/AfjeQXto","type":"article-journal","abstract":"At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dHwHotKY/12cLPJSI","uris":["http://www.mendeley.com/documents/?uuid=3598e592-4386-46f5-b0ae-cec5a0ada220"],"itemData":{"DOI":"10.1039/c9ee01673b","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advances.","author":[{"dropping-particle":"","family":"González-Garay","given":"Andrés","non-dropping-particle":"","parse-names":false,"suffix":""},{"dropping-particle":"","family":"Frei","given":"Matthias S","non-dropping-particle":"","parse-names":false,"suffix":""},{"dropping-particle":"","family":"Al-Qahtani","given":"Amjad","non-dropping-particle":"","parse-names":false,"suffix":""},{"dropping-particle":"","family":"Mondelli","given":"Cecilia","non-dropping-particle":"","parse-names":false,"suffix":""},{"dropping-particle":"","family":"Guillén-Gosálbez","given":"Gonzalo","non-dropping-particle":"","parse-names":false,"suffix":""},{"dropping-particle":"","family":"Pérez-Ramírez","given":"Javier","non-dropping-particle":"","parse-names":false,"suffix":""}],"container-title":"Energy and Environmental Science","id":"ZJCBetN2/r6n4nCnQ","issue":"12","issued":{"date-parts":[["2019"]]},"page":"3425-3436","publisher":"Royal Society of Chemistry","title":"Plant-to-planet analysis of CO2-based methanol processes","type":"article-journal","volume":"12"}}],"schema":"https://github.com/citation-style-language/schema/raw/master/csl-citation.json"} </w:instrText>
      </w:r>
      <w:r w:rsidR="00A02B88" w:rsidRPr="00D05761">
        <w:rPr>
          <w:rFonts w:cstheme="minorHAnsi"/>
          <w:i w:val="0"/>
          <w:color w:val="auto"/>
          <w:sz w:val="22"/>
          <w:szCs w:val="22"/>
        </w:rPr>
        <w:fldChar w:fldCharType="separate"/>
      </w:r>
      <w:r w:rsidR="00A02B88" w:rsidRPr="00D05761">
        <w:rPr>
          <w:rFonts w:ascii="Calibri" w:hAnsi="Calibri" w:cs="Calibri"/>
          <w:i w:val="0"/>
          <w:color w:val="auto"/>
          <w:sz w:val="22"/>
          <w:szCs w:val="24"/>
          <w:vertAlign w:val="superscript"/>
        </w:rPr>
        <w:t>1,3</w:t>
      </w:r>
      <w:r w:rsidR="00A02B88" w:rsidRPr="00D05761">
        <w:rPr>
          <w:rFonts w:cstheme="minorHAnsi"/>
          <w:i w:val="0"/>
          <w:color w:val="auto"/>
          <w:sz w:val="22"/>
          <w:szCs w:val="22"/>
        </w:rPr>
        <w:fldChar w:fldCharType="end"/>
      </w:r>
      <w:r w:rsidR="00C67AB8">
        <w:rPr>
          <w:rFonts w:cstheme="minorHAnsi"/>
          <w:i w:val="0"/>
          <w:color w:val="auto"/>
          <w:sz w:val="22"/>
          <w:szCs w:val="22"/>
        </w:rPr>
        <w:t>,</w:t>
      </w:r>
      <w:r w:rsidR="00C03C35" w:rsidRPr="00C03C35">
        <w:rPr>
          <w:rFonts w:cstheme="minorHAnsi"/>
          <w:i w:val="0"/>
          <w:color w:val="auto"/>
          <w:sz w:val="22"/>
          <w:szCs w:val="22"/>
        </w:rPr>
        <w:t xml:space="preserve"> t</w:t>
      </w:r>
      <w:r w:rsidR="00F1101E" w:rsidRPr="00C03C35">
        <w:rPr>
          <w:rFonts w:cstheme="minorHAnsi"/>
          <w:i w:val="0"/>
          <w:color w:val="auto"/>
          <w:sz w:val="22"/>
          <w:szCs w:val="22"/>
        </w:rPr>
        <w:t xml:space="preserve">he </w:t>
      </w:r>
      <w:r w:rsidR="00263ED8">
        <w:rPr>
          <w:rFonts w:cstheme="minorHAnsi"/>
          <w:i w:val="0"/>
          <w:color w:val="auto"/>
          <w:sz w:val="22"/>
          <w:szCs w:val="22"/>
        </w:rPr>
        <w:t xml:space="preserve">total </w:t>
      </w:r>
      <w:r w:rsidR="00F1101E" w:rsidRPr="00C03C35">
        <w:rPr>
          <w:rFonts w:cstheme="minorHAnsi"/>
          <w:i w:val="0"/>
          <w:color w:val="auto"/>
          <w:sz w:val="22"/>
          <w:szCs w:val="22"/>
        </w:rPr>
        <w:t>CAPEX for fossil and green ammonia and methanol</w:t>
      </w:r>
      <w:r w:rsidR="00635CED" w:rsidRPr="00C03C35">
        <w:rPr>
          <w:rFonts w:cstheme="minorHAnsi"/>
          <w:i w:val="0"/>
          <w:color w:val="auto"/>
          <w:sz w:val="22"/>
          <w:szCs w:val="22"/>
        </w:rPr>
        <w:t xml:space="preserve"> were calculated using the correlations from Sinnot</w:t>
      </w:r>
      <w:r w:rsidR="00344C48">
        <w:rPr>
          <w:rFonts w:cstheme="minorHAnsi"/>
          <w:i w:val="0"/>
          <w:color w:val="auto"/>
          <w:sz w:val="22"/>
          <w:szCs w:val="22"/>
        </w:rPr>
        <w:t> </w:t>
      </w:r>
      <w:r w:rsidR="00635CED" w:rsidRPr="00C03C35">
        <w:rPr>
          <w:rFonts w:cstheme="minorHAnsi"/>
          <w:i w:val="0"/>
          <w:color w:val="auto"/>
          <w:sz w:val="22"/>
          <w:szCs w:val="22"/>
        </w:rPr>
        <w:t>and Towler</w:t>
      </w:r>
      <w:r w:rsidR="00BF1D30" w:rsidRPr="008D7D7F">
        <w:rPr>
          <w:rFonts w:cstheme="minorHAnsi"/>
          <w:i w:val="0"/>
          <w:color w:val="auto"/>
          <w:sz w:val="22"/>
          <w:szCs w:val="22"/>
        </w:rPr>
        <w:fldChar w:fldCharType="begin"/>
      </w:r>
      <w:r w:rsidR="00BF1D30" w:rsidRPr="008D7D7F">
        <w:rPr>
          <w:rFonts w:cstheme="minorHAnsi"/>
          <w:i w:val="0"/>
          <w:color w:val="auto"/>
          <w:sz w:val="22"/>
          <w:szCs w:val="22"/>
        </w:rPr>
        <w:instrText xml:space="preserve"> ADDIN ZOTERO_ITEM CSL_CITATION {"citationID":"PX6VQ142","properties":{"formattedCitation":"\\super 6\\nosupersub{}","plainCitation":"6","noteIndex":0},"citationItems":[{"id":73,"uris":["http://zotero.org/users/local/gMmtBwrT/items/R4KM4MHJ"],"itemData":{"id":73,"type":"book","abstract":"2nd ed. Includes index. \"Chemical Engineering Design is a complete course text for students of chemical engineering. Written for the Senior Design Course, and also suitable for introduction to chemical engineering courses, it covers the basics of unit operations and the latest aspects of process design, equipment selection, plant and operating economics, safety and loss prevention. It is a textbook that students will want to keep through their undergraduate education and on into their professional lives.\"--Publisher's website. Part I: Process design -- Introduction to design -- Process flowsheet development -- Utilities and energy efficient design -- Process simulation -- Instrumentation and process control -- Materials of construction -- Capital cost estimating -- Estimating revenues and production costs -- Economic evaluation of projects -- Safety and loss prevention -- General site considerations -- Optimization in design -- Part II: Plant design -- Equipment selection, specification and design -- Design of pressure vessels -- Design of reactors and mixers -- Separation of fluids -- Separation columns (distillation, absorption and extraction) -- Specification and design of solids-handling equipment -- Heat transfer equipment -- Transport and storage of fluids.","ISBN":"978-0-08-096659-5","number-of-pages":"1303","publisher":"Butterworth-Heinemann","title":"Sinnott &amp; Towler","author":[{"family":"Towler","given":"Gavin P."},{"family":"Sinnott","given":"R. K."}],"issued":{"date-parts":[["2013"]]}}}],"schema":"https://github.com/citation-style-language/schema/raw/master/csl-citation.json"} </w:instrText>
      </w:r>
      <w:r w:rsidR="00BF1D30" w:rsidRPr="008D7D7F">
        <w:rPr>
          <w:rFonts w:cstheme="minorHAnsi"/>
          <w:i w:val="0"/>
          <w:color w:val="auto"/>
          <w:sz w:val="22"/>
          <w:szCs w:val="22"/>
        </w:rPr>
        <w:fldChar w:fldCharType="separate"/>
      </w:r>
      <w:r w:rsidR="00BF1D30" w:rsidRPr="008D7D7F">
        <w:rPr>
          <w:rFonts w:ascii="Calibri" w:hAnsi="Calibri" w:cs="Calibri"/>
          <w:i w:val="0"/>
          <w:color w:val="auto"/>
          <w:sz w:val="22"/>
          <w:szCs w:val="24"/>
          <w:vertAlign w:val="superscript"/>
        </w:rPr>
        <w:t>6</w:t>
      </w:r>
      <w:r w:rsidR="00BF1D30" w:rsidRPr="008D7D7F">
        <w:rPr>
          <w:rFonts w:cstheme="minorHAnsi"/>
          <w:i w:val="0"/>
          <w:color w:val="auto"/>
          <w:sz w:val="22"/>
          <w:szCs w:val="22"/>
        </w:rPr>
        <w:fldChar w:fldCharType="end"/>
      </w:r>
      <w:r w:rsidR="00635CED" w:rsidRPr="00C03C35">
        <w:rPr>
          <w:rFonts w:cstheme="minorHAnsi"/>
          <w:i w:val="0"/>
          <w:color w:val="auto"/>
          <w:sz w:val="22"/>
          <w:szCs w:val="22"/>
        </w:rPr>
        <w:t xml:space="preserve"> </w:t>
      </w:r>
      <w:r w:rsidR="00344C48">
        <w:rPr>
          <w:rFonts w:cstheme="minorHAnsi"/>
          <w:i w:val="0"/>
          <w:color w:val="auto"/>
          <w:sz w:val="22"/>
          <w:szCs w:val="22"/>
        </w:rPr>
        <w:t>incorporating</w:t>
      </w:r>
      <w:r w:rsidR="00635CED" w:rsidRPr="00C03C35">
        <w:rPr>
          <w:rFonts w:cstheme="minorHAnsi"/>
          <w:i w:val="0"/>
          <w:color w:val="auto"/>
          <w:sz w:val="22"/>
          <w:szCs w:val="22"/>
        </w:rPr>
        <w:t xml:space="preserve"> the installation factors </w:t>
      </w:r>
      <w:r w:rsidR="001F5903">
        <w:rPr>
          <w:rFonts w:cstheme="minorHAnsi"/>
          <w:i w:val="0"/>
          <w:color w:val="auto"/>
          <w:sz w:val="22"/>
          <w:szCs w:val="22"/>
        </w:rPr>
        <w:t>for</w:t>
      </w:r>
      <w:r w:rsidR="00635CED" w:rsidRPr="00C03C35">
        <w:rPr>
          <w:rFonts w:cstheme="minorHAnsi"/>
          <w:i w:val="0"/>
          <w:color w:val="auto"/>
          <w:sz w:val="22"/>
          <w:szCs w:val="22"/>
        </w:rPr>
        <w:t xml:space="preserve"> each equipment </w:t>
      </w:r>
      <w:r w:rsidR="005C5D5F">
        <w:rPr>
          <w:rFonts w:cstheme="minorHAnsi"/>
          <w:i w:val="0"/>
          <w:color w:val="auto"/>
          <w:sz w:val="22"/>
          <w:szCs w:val="22"/>
        </w:rPr>
        <w:t>used</w:t>
      </w:r>
      <w:r w:rsidR="008D7D7F">
        <w:rPr>
          <w:rFonts w:cstheme="minorHAnsi"/>
          <w:i w:val="0"/>
          <w:color w:val="auto"/>
          <w:sz w:val="22"/>
          <w:szCs w:val="22"/>
        </w:rPr>
        <w:t>.</w:t>
      </w:r>
      <w:r w:rsidR="00635CED" w:rsidRPr="00C03C35">
        <w:rPr>
          <w:rFonts w:cstheme="minorHAnsi"/>
          <w:i w:val="0"/>
          <w:color w:val="auto"/>
          <w:sz w:val="22"/>
          <w:szCs w:val="22"/>
        </w:rPr>
        <w:t xml:space="preserve"> </w:t>
      </w:r>
      <w:r w:rsidR="004946FD">
        <w:rPr>
          <w:rFonts w:cstheme="minorHAnsi"/>
          <w:i w:val="0"/>
          <w:color w:val="auto"/>
          <w:sz w:val="22"/>
          <w:szCs w:val="22"/>
        </w:rPr>
        <w:t xml:space="preserve">Next, equation (9.27) from </w:t>
      </w:r>
      <w:r w:rsidR="00BF1A93">
        <w:rPr>
          <w:rFonts w:cstheme="minorHAnsi"/>
          <w:i w:val="0"/>
          <w:color w:val="auto"/>
          <w:sz w:val="22"/>
          <w:szCs w:val="22"/>
        </w:rPr>
        <w:t>Sinnot and Towler</w:t>
      </w:r>
      <w:r w:rsidR="004946FD">
        <w:rPr>
          <w:rFonts w:cstheme="minorHAnsi"/>
          <w:i w:val="0"/>
          <w:color w:val="auto"/>
          <w:sz w:val="22"/>
          <w:szCs w:val="22"/>
        </w:rPr>
        <w:t xml:space="preserve"> was </w:t>
      </w:r>
      <w:r w:rsidR="00AD6B26">
        <w:rPr>
          <w:rFonts w:cstheme="minorHAnsi"/>
          <w:i w:val="0"/>
          <w:color w:val="auto"/>
          <w:sz w:val="22"/>
          <w:szCs w:val="22"/>
        </w:rPr>
        <w:t>utilized to annualise the total CAPEX</w:t>
      </w:r>
      <w:r w:rsidR="008D7D7F">
        <w:rPr>
          <w:rFonts w:cstheme="minorHAnsi"/>
          <w:i w:val="0"/>
          <w:color w:val="auto"/>
          <w:sz w:val="22"/>
          <w:szCs w:val="22"/>
        </w:rPr>
        <w:t>.</w:t>
      </w:r>
      <w:r w:rsidR="00316F32" w:rsidRPr="008D7D7F">
        <w:rPr>
          <w:rFonts w:cstheme="minorHAnsi"/>
          <w:i w:val="0"/>
          <w:color w:val="auto"/>
          <w:sz w:val="22"/>
          <w:szCs w:val="22"/>
        </w:rPr>
        <w:fldChar w:fldCharType="begin"/>
      </w:r>
      <w:r w:rsidR="00A02B88">
        <w:rPr>
          <w:rFonts w:cstheme="minorHAnsi"/>
          <w:i w:val="0"/>
          <w:color w:val="auto"/>
          <w:sz w:val="22"/>
          <w:szCs w:val="22"/>
        </w:rPr>
        <w:instrText xml:space="preserve"> ADDIN ZOTERO_ITEM CSL_CITATION {"citationID":"OmZzXVYf","properties":{"formattedCitation":"\\super 6\\nosupersub{}","plainCitation":"6","noteIndex":0},"citationItems":[{"id":73,"uris":["http://zotero.org/users/local/gMmtBwrT/items/R4KM4MHJ"],"itemData":{"id":73,"type":"book","abstract":"2nd ed. Includes index. \"Chemical Engineering Design is a complete course text for students of chemical engineering. Written for the Senior Design Course, and also suitable for introduction to chemical engineering courses, it covers the basics of unit operations and the latest aspects of process design, equipment selection, plant and operating economics, safety and loss prevention. It is a textbook that students will want to keep through their undergraduate education and on into their professional lives.\"--Publisher's website. Part I: Process design -- Introduction to design -- Process flowsheet development -- Utilities and energy efficient design -- Process simulation -- Instrumentation and process control -- Materials of construction -- Capital cost estimating -- Estimating revenues and production costs -- Economic evaluation of projects -- Safety and loss prevention -- General site considerations -- Optimization in design -- Part II: Plant design -- Equipment selection, specification and design -- Design of pressure vessels -- Design of reactors and mixers -- Separation of fluids -- Separation columns (distillation, absorption and extraction) -- Specification and design of solids-handling equipment -- Heat transfer equipment -- Transport and storage of fluids.","ISBN":"978-0-08-096659-5","number-of-pages":"1303","publisher":"Butterworth-Heinemann","title":"Sinnott &amp; Towler","author":[{"family":"Towler","given":"Gavin P."},{"family":"Sinnott","given":"R. K."}],"issued":{"date-parts":[["2013"]]}}}],"schema":"https://github.com/citation-style-language/schema/raw/master/csl-citation.json"} </w:instrText>
      </w:r>
      <w:r w:rsidR="00316F32" w:rsidRPr="008D7D7F">
        <w:rPr>
          <w:rFonts w:cstheme="minorHAnsi"/>
          <w:i w:val="0"/>
          <w:color w:val="auto"/>
          <w:sz w:val="22"/>
          <w:szCs w:val="22"/>
        </w:rPr>
        <w:fldChar w:fldCharType="separate"/>
      </w:r>
      <w:r w:rsidR="00316F32" w:rsidRPr="008D7D7F">
        <w:rPr>
          <w:rFonts w:ascii="Calibri" w:hAnsi="Calibri" w:cs="Calibri"/>
          <w:i w:val="0"/>
          <w:color w:val="auto"/>
          <w:sz w:val="22"/>
          <w:szCs w:val="24"/>
          <w:vertAlign w:val="superscript"/>
        </w:rPr>
        <w:t>6</w:t>
      </w:r>
      <w:r w:rsidR="00316F32" w:rsidRPr="008D7D7F">
        <w:rPr>
          <w:rFonts w:cstheme="minorHAnsi"/>
          <w:i w:val="0"/>
          <w:color w:val="auto"/>
          <w:sz w:val="22"/>
          <w:szCs w:val="22"/>
        </w:rPr>
        <w:fldChar w:fldCharType="end"/>
      </w:r>
      <w:r w:rsidR="008D7D7F">
        <w:rPr>
          <w:rFonts w:cstheme="minorHAnsi"/>
          <w:i w:val="0"/>
          <w:color w:val="auto"/>
          <w:sz w:val="22"/>
          <w:szCs w:val="22"/>
        </w:rPr>
        <w:t xml:space="preserve"> </w:t>
      </w:r>
      <w:r w:rsidRPr="00C03C35">
        <w:rPr>
          <w:rFonts w:cstheme="minorHAnsi"/>
          <w:i w:val="0"/>
          <w:color w:val="auto"/>
          <w:sz w:val="22"/>
          <w:szCs w:val="22"/>
        </w:rPr>
        <w:t xml:space="preserve">All </w:t>
      </w:r>
      <w:r w:rsidRPr="00C03C35">
        <w:rPr>
          <w:bCs/>
          <w:i w:val="0"/>
          <w:iCs w:val="0"/>
          <w:color w:val="auto"/>
          <w:sz w:val="22"/>
          <w:szCs w:val="22"/>
        </w:rPr>
        <w:t>costs have been converted to USD</w:t>
      </w:r>
      <w:r w:rsidRPr="00C03C35">
        <w:rPr>
          <w:bCs/>
          <w:i w:val="0"/>
          <w:iCs w:val="0"/>
          <w:color w:val="auto"/>
          <w:sz w:val="22"/>
          <w:szCs w:val="22"/>
          <w:vertAlign w:val="subscript"/>
        </w:rPr>
        <w:t xml:space="preserve">2020-22 </w:t>
      </w:r>
      <w:r w:rsidRPr="00C03C35">
        <w:rPr>
          <w:bCs/>
          <w:i w:val="0"/>
          <w:iCs w:val="0"/>
          <w:color w:val="auto"/>
          <w:sz w:val="22"/>
          <w:szCs w:val="22"/>
        </w:rPr>
        <w:t>using the CEPCI (</w:t>
      </w:r>
      <w:r w:rsidRPr="00C03C35">
        <w:rPr>
          <w:b/>
          <w:i w:val="0"/>
          <w:iCs w:val="0"/>
          <w:color w:val="auto"/>
          <w:sz w:val="22"/>
          <w:szCs w:val="22"/>
        </w:rPr>
        <w:t>Table S3</w:t>
      </w:r>
      <w:r w:rsidRPr="00C03C35">
        <w:rPr>
          <w:i w:val="0"/>
          <w:iCs w:val="0"/>
          <w:color w:val="auto"/>
          <w:sz w:val="22"/>
          <w:szCs w:val="22"/>
        </w:rPr>
        <w:t>) while considering different operating years other than 2019</w:t>
      </w:r>
      <w:r w:rsidRPr="00C03C35">
        <w:rPr>
          <w:bCs/>
          <w:i w:val="0"/>
          <w:iCs w:val="0"/>
          <w:color w:val="auto"/>
          <w:sz w:val="22"/>
          <w:szCs w:val="22"/>
        </w:rPr>
        <w:t>.</w:t>
      </w:r>
      <w:bookmarkStart w:id="5" w:name="_Ref128061714"/>
      <w:r w:rsidR="007D51D4" w:rsidRPr="00C03C35">
        <w:rPr>
          <w:bCs/>
          <w:i w:val="0"/>
          <w:iCs w:val="0"/>
          <w:color w:val="auto"/>
          <w:sz w:val="22"/>
          <w:szCs w:val="22"/>
        </w:rPr>
        <w:t xml:space="preserve"> </w:t>
      </w:r>
    </w:p>
    <w:p w14:paraId="273C0E2A" w14:textId="4E141B0B" w:rsidR="00BF17FF" w:rsidRPr="00C03C35" w:rsidRDefault="00BF17FF" w:rsidP="00BF17FF">
      <w:pPr>
        <w:pStyle w:val="Caption"/>
        <w:keepNext/>
        <w:jc w:val="both"/>
        <w:rPr>
          <w:bCs/>
          <w:i w:val="0"/>
          <w:iCs w:val="0"/>
          <w:color w:val="auto"/>
          <w:sz w:val="20"/>
          <w:szCs w:val="20"/>
        </w:rPr>
      </w:pPr>
      <w:r w:rsidRPr="00C03C35">
        <w:rPr>
          <w:b/>
          <w:i w:val="0"/>
          <w:color w:val="auto"/>
          <w:sz w:val="20"/>
          <w:szCs w:val="20"/>
        </w:rPr>
        <w:t>Table S</w:t>
      </w:r>
      <w:r w:rsidRPr="00C03C35">
        <w:rPr>
          <w:b/>
          <w:i w:val="0"/>
          <w:color w:val="auto"/>
          <w:sz w:val="20"/>
          <w:szCs w:val="20"/>
        </w:rPr>
        <w:fldChar w:fldCharType="begin"/>
      </w:r>
      <w:r w:rsidRPr="00C03C35">
        <w:rPr>
          <w:b/>
          <w:i w:val="0"/>
          <w:color w:val="auto"/>
          <w:sz w:val="20"/>
          <w:szCs w:val="20"/>
        </w:rPr>
        <w:instrText xml:space="preserve"> SEQ Table_S \* ARABIC </w:instrText>
      </w:r>
      <w:r w:rsidRPr="00C03C35">
        <w:rPr>
          <w:b/>
          <w:i w:val="0"/>
          <w:color w:val="auto"/>
          <w:sz w:val="20"/>
          <w:szCs w:val="20"/>
        </w:rPr>
        <w:fldChar w:fldCharType="separate"/>
      </w:r>
      <w:r w:rsidR="003B7BCC">
        <w:rPr>
          <w:b/>
          <w:i w:val="0"/>
          <w:noProof/>
          <w:color w:val="auto"/>
          <w:sz w:val="20"/>
          <w:szCs w:val="20"/>
        </w:rPr>
        <w:t>3</w:t>
      </w:r>
      <w:r w:rsidRPr="00C03C35">
        <w:rPr>
          <w:b/>
          <w:i w:val="0"/>
          <w:color w:val="auto"/>
          <w:sz w:val="20"/>
          <w:szCs w:val="20"/>
        </w:rPr>
        <w:fldChar w:fldCharType="end"/>
      </w:r>
      <w:bookmarkEnd w:id="4"/>
      <w:bookmarkEnd w:id="5"/>
      <w:r w:rsidRPr="00C03C35">
        <w:rPr>
          <w:b/>
          <w:i w:val="0"/>
          <w:color w:val="auto"/>
          <w:sz w:val="20"/>
          <w:szCs w:val="20"/>
        </w:rPr>
        <w:t>. Chemical Engineering Plant Cost Index (</w:t>
      </w:r>
      <w:r w:rsidRPr="00C03C35">
        <w:rPr>
          <w:b/>
          <w:bCs/>
          <w:i w:val="0"/>
          <w:iCs w:val="0"/>
          <w:color w:val="auto"/>
          <w:sz w:val="20"/>
          <w:szCs w:val="20"/>
        </w:rPr>
        <w:t>CEPCI) from 2019 to 2022.</w:t>
      </w:r>
      <w:r w:rsidRPr="00C03C35">
        <w:rPr>
          <w:bCs/>
          <w:i w:val="0"/>
          <w:iCs w:val="0"/>
          <w:color w:val="auto"/>
          <w:sz w:val="20"/>
          <w:szCs w:val="20"/>
        </w:rPr>
        <w:t xml:space="preserve"> Due to lack of availability of data, an average from January 2022 to September 2022 is considered as the CEPCI for 2022.</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899"/>
      </w:tblGrid>
      <w:tr w:rsidR="00BF17FF" w:rsidRPr="00C03C35" w14:paraId="2BD220DE" w14:textId="77777777" w:rsidTr="00BF17FF">
        <w:trPr>
          <w:jc w:val="center"/>
        </w:trPr>
        <w:tc>
          <w:tcPr>
            <w:tcW w:w="2976" w:type="dxa"/>
            <w:tcBorders>
              <w:bottom w:val="single" w:sz="4" w:space="0" w:color="auto"/>
            </w:tcBorders>
          </w:tcPr>
          <w:p w14:paraId="45F8267E" w14:textId="77777777" w:rsidR="00BF17FF" w:rsidRPr="00C03C35" w:rsidRDefault="00BF17FF" w:rsidP="00BF17FF">
            <w:pPr>
              <w:jc w:val="both"/>
              <w:rPr>
                <w:b/>
                <w:bCs/>
                <w:sz w:val="20"/>
                <w:szCs w:val="20"/>
                <w:lang w:val="en-GB"/>
              </w:rPr>
            </w:pPr>
            <w:r w:rsidRPr="00C03C35">
              <w:rPr>
                <w:b/>
                <w:bCs/>
                <w:sz w:val="20"/>
                <w:szCs w:val="20"/>
                <w:lang w:val="en-GB"/>
              </w:rPr>
              <w:t>Year</w:t>
            </w:r>
          </w:p>
        </w:tc>
        <w:tc>
          <w:tcPr>
            <w:tcW w:w="899" w:type="dxa"/>
            <w:tcBorders>
              <w:bottom w:val="single" w:sz="4" w:space="0" w:color="auto"/>
            </w:tcBorders>
          </w:tcPr>
          <w:p w14:paraId="5BE99A52" w14:textId="77777777" w:rsidR="00BF17FF" w:rsidRPr="00C03C35" w:rsidRDefault="00BF17FF" w:rsidP="00BF17FF">
            <w:pPr>
              <w:jc w:val="both"/>
              <w:rPr>
                <w:b/>
                <w:bCs/>
                <w:sz w:val="20"/>
                <w:szCs w:val="20"/>
                <w:lang w:val="en-GB"/>
              </w:rPr>
            </w:pPr>
            <w:r w:rsidRPr="00C03C35">
              <w:rPr>
                <w:b/>
                <w:bCs/>
                <w:sz w:val="20"/>
                <w:szCs w:val="20"/>
                <w:lang w:val="en-GB"/>
              </w:rPr>
              <w:t>CEPCI</w:t>
            </w:r>
          </w:p>
        </w:tc>
      </w:tr>
      <w:tr w:rsidR="00BF17FF" w:rsidRPr="00C03C35" w14:paraId="20976E29" w14:textId="77777777" w:rsidTr="00BF17FF">
        <w:trPr>
          <w:jc w:val="center"/>
        </w:trPr>
        <w:tc>
          <w:tcPr>
            <w:tcW w:w="2976" w:type="dxa"/>
            <w:tcBorders>
              <w:top w:val="single" w:sz="4" w:space="0" w:color="auto"/>
            </w:tcBorders>
          </w:tcPr>
          <w:p w14:paraId="3743BFC3" w14:textId="77777777" w:rsidR="00BF17FF" w:rsidRPr="00C03C35" w:rsidRDefault="00BF17FF" w:rsidP="00BF17FF">
            <w:pPr>
              <w:jc w:val="both"/>
              <w:rPr>
                <w:sz w:val="20"/>
                <w:szCs w:val="20"/>
                <w:lang w:val="en-GB"/>
              </w:rPr>
            </w:pPr>
            <w:r w:rsidRPr="00C03C35">
              <w:rPr>
                <w:sz w:val="20"/>
                <w:szCs w:val="20"/>
                <w:lang w:val="en-GB"/>
              </w:rPr>
              <w:t>2019</w:t>
            </w:r>
          </w:p>
        </w:tc>
        <w:tc>
          <w:tcPr>
            <w:tcW w:w="899" w:type="dxa"/>
            <w:tcBorders>
              <w:top w:val="single" w:sz="4" w:space="0" w:color="auto"/>
            </w:tcBorders>
          </w:tcPr>
          <w:p w14:paraId="3D2070E2" w14:textId="77777777" w:rsidR="00BF17FF" w:rsidRPr="00C03C35" w:rsidRDefault="00BF17FF" w:rsidP="00BF17FF">
            <w:pPr>
              <w:jc w:val="both"/>
              <w:rPr>
                <w:sz w:val="20"/>
                <w:szCs w:val="20"/>
                <w:lang w:val="en-GB"/>
              </w:rPr>
            </w:pPr>
            <w:r w:rsidRPr="00C03C35">
              <w:rPr>
                <w:sz w:val="20"/>
                <w:szCs w:val="20"/>
                <w:lang w:val="en-GB"/>
              </w:rPr>
              <w:t>607.5</w:t>
            </w:r>
          </w:p>
        </w:tc>
      </w:tr>
      <w:tr w:rsidR="00BF17FF" w:rsidRPr="00C03C35" w14:paraId="4BB78C23" w14:textId="77777777" w:rsidTr="00BF17FF">
        <w:trPr>
          <w:jc w:val="center"/>
        </w:trPr>
        <w:tc>
          <w:tcPr>
            <w:tcW w:w="2976" w:type="dxa"/>
          </w:tcPr>
          <w:p w14:paraId="6C69EF7C" w14:textId="77777777" w:rsidR="00BF17FF" w:rsidRPr="00C03C35" w:rsidRDefault="00BF17FF" w:rsidP="00BF17FF">
            <w:pPr>
              <w:jc w:val="both"/>
              <w:rPr>
                <w:sz w:val="20"/>
                <w:szCs w:val="20"/>
                <w:lang w:val="en-GB"/>
              </w:rPr>
            </w:pPr>
            <w:r w:rsidRPr="00C03C35">
              <w:rPr>
                <w:sz w:val="20"/>
                <w:szCs w:val="20"/>
                <w:lang w:val="en-GB"/>
              </w:rPr>
              <w:t>2020</w:t>
            </w:r>
          </w:p>
        </w:tc>
        <w:tc>
          <w:tcPr>
            <w:tcW w:w="899" w:type="dxa"/>
          </w:tcPr>
          <w:p w14:paraId="37156B06" w14:textId="77777777" w:rsidR="00BF17FF" w:rsidRPr="00C03C35" w:rsidRDefault="00BF17FF" w:rsidP="00BF17FF">
            <w:pPr>
              <w:jc w:val="both"/>
              <w:rPr>
                <w:sz w:val="20"/>
                <w:szCs w:val="20"/>
                <w:lang w:val="en-GB"/>
              </w:rPr>
            </w:pPr>
            <w:r w:rsidRPr="00C03C35">
              <w:rPr>
                <w:sz w:val="20"/>
                <w:szCs w:val="20"/>
                <w:lang w:val="en-GB"/>
              </w:rPr>
              <w:t>596.2</w:t>
            </w:r>
          </w:p>
        </w:tc>
      </w:tr>
      <w:tr w:rsidR="00BF17FF" w:rsidRPr="00C03C35" w14:paraId="52FF4B9A" w14:textId="77777777" w:rsidTr="00BF17FF">
        <w:trPr>
          <w:jc w:val="center"/>
        </w:trPr>
        <w:tc>
          <w:tcPr>
            <w:tcW w:w="2976" w:type="dxa"/>
          </w:tcPr>
          <w:p w14:paraId="5B87F514" w14:textId="77777777" w:rsidR="00BF17FF" w:rsidRPr="00C03C35" w:rsidRDefault="00BF17FF" w:rsidP="00BF17FF">
            <w:pPr>
              <w:jc w:val="both"/>
              <w:rPr>
                <w:sz w:val="20"/>
                <w:szCs w:val="20"/>
                <w:lang w:val="en-GB"/>
              </w:rPr>
            </w:pPr>
            <w:r w:rsidRPr="00C03C35">
              <w:rPr>
                <w:sz w:val="20"/>
                <w:szCs w:val="20"/>
                <w:lang w:val="en-GB"/>
              </w:rPr>
              <w:t>2021</w:t>
            </w:r>
          </w:p>
        </w:tc>
        <w:tc>
          <w:tcPr>
            <w:tcW w:w="899" w:type="dxa"/>
          </w:tcPr>
          <w:p w14:paraId="09D1DC5B" w14:textId="77777777" w:rsidR="00BF17FF" w:rsidRPr="00C03C35" w:rsidRDefault="00BF17FF" w:rsidP="00BF17FF">
            <w:pPr>
              <w:jc w:val="both"/>
              <w:rPr>
                <w:sz w:val="20"/>
                <w:szCs w:val="20"/>
                <w:lang w:val="en-GB"/>
              </w:rPr>
            </w:pPr>
            <w:r w:rsidRPr="00C03C35">
              <w:rPr>
                <w:sz w:val="20"/>
                <w:szCs w:val="20"/>
                <w:lang w:val="en-GB"/>
              </w:rPr>
              <w:t>708.0</w:t>
            </w:r>
          </w:p>
        </w:tc>
      </w:tr>
      <w:tr w:rsidR="00BF17FF" w:rsidRPr="00C03C35" w14:paraId="332178D0" w14:textId="77777777" w:rsidTr="00BF17FF">
        <w:trPr>
          <w:jc w:val="center"/>
        </w:trPr>
        <w:tc>
          <w:tcPr>
            <w:tcW w:w="2976" w:type="dxa"/>
          </w:tcPr>
          <w:p w14:paraId="270423CB" w14:textId="77777777" w:rsidR="00BF17FF" w:rsidRPr="00C03C35" w:rsidRDefault="00BF17FF" w:rsidP="00BF17FF">
            <w:pPr>
              <w:jc w:val="both"/>
              <w:rPr>
                <w:sz w:val="20"/>
                <w:szCs w:val="20"/>
                <w:lang w:val="en-GB"/>
              </w:rPr>
            </w:pPr>
            <w:r w:rsidRPr="00C03C35">
              <w:rPr>
                <w:sz w:val="20"/>
                <w:szCs w:val="20"/>
                <w:lang w:val="en-GB"/>
              </w:rPr>
              <w:t>2022 (average till September)</w:t>
            </w:r>
          </w:p>
        </w:tc>
        <w:tc>
          <w:tcPr>
            <w:tcW w:w="899" w:type="dxa"/>
          </w:tcPr>
          <w:p w14:paraId="64DDFC35" w14:textId="77777777" w:rsidR="00BF17FF" w:rsidRPr="00C03C35" w:rsidRDefault="00BF17FF" w:rsidP="00BF17FF">
            <w:pPr>
              <w:jc w:val="both"/>
              <w:rPr>
                <w:sz w:val="20"/>
                <w:szCs w:val="20"/>
                <w:lang w:val="en-GB"/>
              </w:rPr>
            </w:pPr>
            <w:r w:rsidRPr="00C03C35">
              <w:rPr>
                <w:sz w:val="20"/>
                <w:szCs w:val="20"/>
                <w:lang w:val="en-GB"/>
              </w:rPr>
              <w:t>817.5</w:t>
            </w:r>
          </w:p>
        </w:tc>
      </w:tr>
    </w:tbl>
    <w:p w14:paraId="26248B32" w14:textId="77777777" w:rsidR="00BF17FF" w:rsidRPr="00C03C35" w:rsidRDefault="00BF17FF" w:rsidP="00BF17FF">
      <w:pPr>
        <w:pStyle w:val="Heading3"/>
        <w:rPr>
          <w:lang w:val="en-GB"/>
        </w:rPr>
      </w:pPr>
      <w:r w:rsidRPr="00C03C35">
        <w:rPr>
          <w:lang w:val="en-GB"/>
        </w:rPr>
        <w:lastRenderedPageBreak/>
        <w:t>2.3. Data for OPEX calculations</w:t>
      </w:r>
    </w:p>
    <w:p w14:paraId="62FCC984" w14:textId="408C412F" w:rsidR="00BF17FF" w:rsidRPr="00C03C35" w:rsidRDefault="00BF17FF" w:rsidP="00BF17FF">
      <w:pPr>
        <w:pStyle w:val="Caption"/>
        <w:keepNext/>
        <w:jc w:val="both"/>
        <w:rPr>
          <w:i w:val="0"/>
          <w:color w:val="auto"/>
          <w:sz w:val="22"/>
          <w:szCs w:val="22"/>
        </w:rPr>
      </w:pPr>
      <w:bookmarkStart w:id="6" w:name="_Ref127893369"/>
      <w:r w:rsidRPr="00C03C35">
        <w:rPr>
          <w:i w:val="0"/>
          <w:color w:val="auto"/>
          <w:sz w:val="22"/>
          <w:szCs w:val="22"/>
        </w:rPr>
        <w:t>The prices of feedstock and utilities other than natural gas, electricity, CO</w:t>
      </w:r>
      <w:r w:rsidRPr="00C03C35">
        <w:rPr>
          <w:i w:val="0"/>
          <w:color w:val="auto"/>
          <w:sz w:val="22"/>
          <w:szCs w:val="22"/>
          <w:vertAlign w:val="subscript"/>
        </w:rPr>
        <w:t>2</w:t>
      </w:r>
      <w:r w:rsidRPr="00C03C35">
        <w:rPr>
          <w:i w:val="0"/>
          <w:color w:val="auto"/>
          <w:sz w:val="22"/>
          <w:szCs w:val="22"/>
        </w:rPr>
        <w:t xml:space="preserve"> feedstock, hydrogen are based on D’Angelo </w:t>
      </w:r>
      <w:r w:rsidRPr="00C03C35">
        <w:rPr>
          <w:iCs w:val="0"/>
          <w:color w:val="auto"/>
          <w:sz w:val="22"/>
          <w:szCs w:val="22"/>
        </w:rPr>
        <w:t>et al</w:t>
      </w:r>
      <w:r w:rsidRPr="00C03C35">
        <w:rPr>
          <w:color w:val="auto"/>
          <w:sz w:val="22"/>
          <w:szCs w:val="22"/>
        </w:rPr>
        <w:t>.</w:t>
      </w:r>
      <w:r w:rsidRPr="00C03C35">
        <w:rPr>
          <w:rFonts w:cstheme="minorHAnsi"/>
          <w:i w:val="0"/>
          <w:color w:val="auto"/>
          <w:sz w:val="22"/>
          <w:szCs w:val="22"/>
        </w:rPr>
        <w:fldChar w:fldCharType="begin"/>
      </w:r>
      <w:r w:rsidR="003070D5">
        <w:rPr>
          <w:rFonts w:cstheme="minorHAnsi"/>
          <w:i w:val="0"/>
          <w:color w:val="auto"/>
          <w:sz w:val="22"/>
          <w:szCs w:val="22"/>
        </w:rPr>
        <w:instrText xml:space="preserve"> ADDIN ZOTERO_ITEM CSL_CITATION {"citationID":"dSChDBwt","properties":{"formattedCitation":"\\super 1\\nosupersub{}","plainCitation":"1","noteIndex":0},"citationItems":[{"id":"dHwHotKY/5mm4tg0v","uris":["http://zotero.org/users/9157291/items/AFKW7KRC"],"itemData":{"id":3860,"type":"article-journal","abstract":"At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Pr="00C03C35">
        <w:rPr>
          <w:rFonts w:cstheme="minorHAnsi"/>
          <w:i w:val="0"/>
          <w:color w:val="auto"/>
          <w:sz w:val="22"/>
          <w:szCs w:val="22"/>
        </w:rPr>
        <w:fldChar w:fldCharType="separate"/>
      </w:r>
      <w:r w:rsidRPr="00C03C35">
        <w:rPr>
          <w:rFonts w:ascii="Calibri" w:hAnsi="Calibri" w:cs="Calibri"/>
          <w:i w:val="0"/>
          <w:color w:val="auto"/>
          <w:sz w:val="22"/>
          <w:szCs w:val="24"/>
          <w:vertAlign w:val="superscript"/>
        </w:rPr>
        <w:t>1</w:t>
      </w:r>
      <w:r w:rsidRPr="00C03C35">
        <w:rPr>
          <w:rFonts w:cstheme="minorHAnsi"/>
          <w:i w:val="0"/>
          <w:color w:val="auto"/>
          <w:sz w:val="22"/>
          <w:szCs w:val="22"/>
        </w:rPr>
        <w:fldChar w:fldCharType="end"/>
      </w:r>
      <w:r w:rsidRPr="00C03C35">
        <w:rPr>
          <w:i w:val="0"/>
          <w:color w:val="auto"/>
          <w:sz w:val="22"/>
          <w:szCs w:val="22"/>
        </w:rPr>
        <w:t xml:space="preserve"> (</w:t>
      </w:r>
      <w:r w:rsidRPr="00C03C35">
        <w:rPr>
          <w:b/>
          <w:i w:val="0"/>
          <w:color w:val="auto"/>
          <w:sz w:val="22"/>
          <w:szCs w:val="22"/>
        </w:rPr>
        <w:t>Table S4</w:t>
      </w:r>
      <w:r w:rsidRPr="00C03C35">
        <w:rPr>
          <w:i w:val="0"/>
          <w:color w:val="auto"/>
          <w:sz w:val="22"/>
          <w:szCs w:val="22"/>
        </w:rPr>
        <w:t>). These prices are adjusted for inflation using the CEPCI when considering data for a different year.</w:t>
      </w:r>
    </w:p>
    <w:p w14:paraId="16CBAA51" w14:textId="531BE116" w:rsidR="00BF17FF" w:rsidRPr="00C03C35" w:rsidRDefault="00BF17FF" w:rsidP="00BF17FF">
      <w:pPr>
        <w:pStyle w:val="Caption"/>
        <w:keepNext/>
        <w:jc w:val="both"/>
        <w:rPr>
          <w:sz w:val="20"/>
          <w:szCs w:val="20"/>
        </w:rPr>
      </w:pPr>
      <w:bookmarkStart w:id="7" w:name="_Ref128062904"/>
      <w:bookmarkEnd w:id="6"/>
      <w:r w:rsidRPr="00C03C35">
        <w:rPr>
          <w:b/>
          <w:i w:val="0"/>
          <w:color w:val="auto"/>
          <w:sz w:val="20"/>
          <w:szCs w:val="20"/>
        </w:rPr>
        <w:t>Table S</w:t>
      </w:r>
      <w:r w:rsidRPr="00C03C35">
        <w:rPr>
          <w:b/>
          <w:i w:val="0"/>
          <w:color w:val="auto"/>
          <w:sz w:val="20"/>
          <w:szCs w:val="20"/>
        </w:rPr>
        <w:fldChar w:fldCharType="begin"/>
      </w:r>
      <w:r w:rsidRPr="00C03C35">
        <w:rPr>
          <w:b/>
          <w:i w:val="0"/>
          <w:color w:val="auto"/>
          <w:sz w:val="20"/>
          <w:szCs w:val="20"/>
        </w:rPr>
        <w:instrText xml:space="preserve"> SEQ Table_S \* ARABIC </w:instrText>
      </w:r>
      <w:r w:rsidRPr="00C03C35">
        <w:rPr>
          <w:b/>
          <w:i w:val="0"/>
          <w:color w:val="auto"/>
          <w:sz w:val="20"/>
          <w:szCs w:val="20"/>
        </w:rPr>
        <w:fldChar w:fldCharType="separate"/>
      </w:r>
      <w:r w:rsidR="003B7BCC">
        <w:rPr>
          <w:b/>
          <w:i w:val="0"/>
          <w:noProof/>
          <w:color w:val="auto"/>
          <w:sz w:val="20"/>
          <w:szCs w:val="20"/>
        </w:rPr>
        <w:t>4</w:t>
      </w:r>
      <w:r w:rsidRPr="00C03C35">
        <w:rPr>
          <w:b/>
          <w:i w:val="0"/>
          <w:color w:val="auto"/>
          <w:sz w:val="20"/>
          <w:szCs w:val="20"/>
        </w:rPr>
        <w:fldChar w:fldCharType="end"/>
      </w:r>
      <w:bookmarkEnd w:id="7"/>
      <w:r w:rsidRPr="00C03C35">
        <w:t xml:space="preserve">. </w:t>
      </w:r>
      <w:r w:rsidRPr="00C03C35">
        <w:rPr>
          <w:b/>
          <w:bCs/>
          <w:i w:val="0"/>
          <w:iCs w:val="0"/>
          <w:color w:val="auto"/>
          <w:sz w:val="20"/>
          <w:szCs w:val="20"/>
        </w:rPr>
        <w:t>Cost parameters used in the OPEX calculations.</w:t>
      </w:r>
      <w:r w:rsidRPr="00C03C35">
        <w:rPr>
          <w:i w:val="0"/>
          <w:iCs w:val="0"/>
          <w:color w:val="auto"/>
          <w:sz w:val="20"/>
          <w:szCs w:val="20"/>
        </w:rPr>
        <w:t xml:space="preserve"> All costs are presented in USD</w:t>
      </w:r>
      <w:r w:rsidRPr="00C03C35">
        <w:rPr>
          <w:i w:val="0"/>
          <w:iCs w:val="0"/>
          <w:color w:val="auto"/>
          <w:sz w:val="20"/>
          <w:szCs w:val="20"/>
          <w:vertAlign w:val="subscript"/>
        </w:rPr>
        <w:t>2019</w:t>
      </w:r>
      <w:r w:rsidRPr="00C03C35">
        <w:rPr>
          <w:i w:val="0"/>
          <w:iCs w:val="0"/>
          <w:color w:val="auto"/>
          <w:sz w:val="20"/>
          <w:szCs w:val="20"/>
        </w:rPr>
        <w:t>. These costs are further converted to USD</w:t>
      </w:r>
      <w:r w:rsidRPr="00C03C35">
        <w:rPr>
          <w:i w:val="0"/>
          <w:iCs w:val="0"/>
          <w:color w:val="auto"/>
          <w:sz w:val="20"/>
          <w:szCs w:val="20"/>
          <w:vertAlign w:val="subscript"/>
        </w:rPr>
        <w:t>2020-22</w:t>
      </w:r>
      <w:r w:rsidRPr="00C03C35">
        <w:rPr>
          <w:i w:val="0"/>
          <w:iCs w:val="0"/>
          <w:color w:val="auto"/>
          <w:sz w:val="20"/>
          <w:szCs w:val="20"/>
        </w:rPr>
        <w:t xml:space="preserve"> using the CEPCI. </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3"/>
        <w:gridCol w:w="519"/>
        <w:gridCol w:w="691"/>
      </w:tblGrid>
      <w:tr w:rsidR="00BF17FF" w:rsidRPr="00C03C35" w14:paraId="7AC9CF17" w14:textId="77777777" w:rsidTr="00BF17FF">
        <w:trPr>
          <w:jc w:val="center"/>
        </w:trPr>
        <w:tc>
          <w:tcPr>
            <w:tcW w:w="0" w:type="auto"/>
            <w:gridSpan w:val="2"/>
            <w:tcBorders>
              <w:bottom w:val="single" w:sz="4" w:space="0" w:color="auto"/>
            </w:tcBorders>
          </w:tcPr>
          <w:p w14:paraId="1E51A558" w14:textId="77777777" w:rsidR="00BF17FF" w:rsidRPr="00C03C35" w:rsidRDefault="00BF17FF" w:rsidP="00BF17FF">
            <w:pPr>
              <w:jc w:val="both"/>
              <w:rPr>
                <w:b/>
                <w:bCs/>
                <w:sz w:val="20"/>
                <w:szCs w:val="20"/>
                <w:lang w:val="en-GB"/>
              </w:rPr>
            </w:pPr>
            <w:r w:rsidRPr="00C03C35">
              <w:rPr>
                <w:b/>
                <w:bCs/>
                <w:sz w:val="20"/>
                <w:szCs w:val="20"/>
                <w:lang w:val="en-GB"/>
              </w:rPr>
              <w:t>Flow</w:t>
            </w:r>
          </w:p>
        </w:tc>
        <w:tc>
          <w:tcPr>
            <w:tcW w:w="0" w:type="auto"/>
            <w:tcBorders>
              <w:bottom w:val="single" w:sz="4" w:space="0" w:color="auto"/>
            </w:tcBorders>
          </w:tcPr>
          <w:p w14:paraId="3D40D21F" w14:textId="77777777" w:rsidR="00BF17FF" w:rsidRPr="00C03C35" w:rsidRDefault="00BF17FF" w:rsidP="00BF17FF">
            <w:pPr>
              <w:jc w:val="both"/>
              <w:rPr>
                <w:b/>
                <w:bCs/>
                <w:sz w:val="20"/>
                <w:szCs w:val="20"/>
                <w:lang w:val="en-GB"/>
              </w:rPr>
            </w:pPr>
            <w:r w:rsidRPr="00C03C35">
              <w:rPr>
                <w:b/>
                <w:bCs/>
                <w:sz w:val="20"/>
                <w:szCs w:val="20"/>
                <w:lang w:val="en-GB"/>
              </w:rPr>
              <w:t>Value</w:t>
            </w:r>
          </w:p>
        </w:tc>
      </w:tr>
      <w:tr w:rsidR="00BF17FF" w:rsidRPr="00C03C35" w14:paraId="1E0B143A" w14:textId="77777777" w:rsidTr="00BF17FF">
        <w:trPr>
          <w:jc w:val="center"/>
        </w:trPr>
        <w:tc>
          <w:tcPr>
            <w:tcW w:w="0" w:type="auto"/>
            <w:tcBorders>
              <w:top w:val="single" w:sz="4" w:space="0" w:color="auto"/>
              <w:bottom w:val="nil"/>
            </w:tcBorders>
          </w:tcPr>
          <w:p w14:paraId="2B1AB1C6" w14:textId="77777777" w:rsidR="00BF17FF" w:rsidRPr="00C03C35" w:rsidRDefault="00BF17FF" w:rsidP="00BF17FF">
            <w:pPr>
              <w:jc w:val="both"/>
              <w:rPr>
                <w:b/>
                <w:sz w:val="20"/>
                <w:szCs w:val="20"/>
                <w:lang w:val="en-GB"/>
              </w:rPr>
            </w:pPr>
            <w:r w:rsidRPr="00C03C35">
              <w:rPr>
                <w:b/>
                <w:sz w:val="20"/>
                <w:szCs w:val="20"/>
                <w:lang w:val="en-GB"/>
              </w:rPr>
              <w:t>Ammonia</w:t>
            </w:r>
          </w:p>
        </w:tc>
        <w:tc>
          <w:tcPr>
            <w:tcW w:w="0" w:type="auto"/>
            <w:tcBorders>
              <w:top w:val="single" w:sz="4" w:space="0" w:color="auto"/>
              <w:bottom w:val="nil"/>
            </w:tcBorders>
          </w:tcPr>
          <w:p w14:paraId="3A22BBB1" w14:textId="77777777" w:rsidR="00BF17FF" w:rsidRPr="00C03C35" w:rsidRDefault="00BF17FF" w:rsidP="00BF17FF">
            <w:pPr>
              <w:jc w:val="both"/>
              <w:rPr>
                <w:b/>
                <w:sz w:val="20"/>
                <w:szCs w:val="20"/>
                <w:lang w:val="en-GB"/>
              </w:rPr>
            </w:pPr>
          </w:p>
        </w:tc>
        <w:tc>
          <w:tcPr>
            <w:tcW w:w="0" w:type="auto"/>
            <w:tcBorders>
              <w:top w:val="single" w:sz="4" w:space="0" w:color="auto"/>
              <w:bottom w:val="nil"/>
            </w:tcBorders>
          </w:tcPr>
          <w:p w14:paraId="61874912" w14:textId="77777777" w:rsidR="00BF17FF" w:rsidRPr="00C03C35" w:rsidRDefault="00BF17FF" w:rsidP="00BF17FF">
            <w:pPr>
              <w:jc w:val="both"/>
              <w:rPr>
                <w:b/>
                <w:sz w:val="20"/>
                <w:szCs w:val="20"/>
                <w:lang w:val="en-GB"/>
              </w:rPr>
            </w:pPr>
          </w:p>
        </w:tc>
      </w:tr>
      <w:tr w:rsidR="00BF17FF" w:rsidRPr="00C03C35" w14:paraId="6E3F4233" w14:textId="77777777" w:rsidTr="00BF17FF">
        <w:trPr>
          <w:jc w:val="center"/>
        </w:trPr>
        <w:tc>
          <w:tcPr>
            <w:tcW w:w="0" w:type="auto"/>
            <w:gridSpan w:val="2"/>
            <w:tcBorders>
              <w:top w:val="nil"/>
            </w:tcBorders>
          </w:tcPr>
          <w:p w14:paraId="2A13C2FF" w14:textId="77777777" w:rsidR="00BF17FF" w:rsidRPr="00C03C35" w:rsidRDefault="00BF17FF" w:rsidP="00BF17FF">
            <w:pPr>
              <w:jc w:val="both"/>
              <w:rPr>
                <w:sz w:val="20"/>
                <w:szCs w:val="20"/>
                <w:lang w:val="en-GB"/>
              </w:rPr>
            </w:pPr>
            <w:r w:rsidRPr="00C03C35">
              <w:rPr>
                <w:sz w:val="20"/>
                <w:szCs w:val="20"/>
                <w:lang w:val="en-GB"/>
              </w:rPr>
              <w:t>Water [USD t</w:t>
            </w:r>
            <w:r w:rsidRPr="00C03C35">
              <w:rPr>
                <w:sz w:val="20"/>
                <w:szCs w:val="20"/>
                <w:vertAlign w:val="superscript"/>
                <w:lang w:val="en-GB"/>
              </w:rPr>
              <w:t>–1</w:t>
            </w:r>
            <w:r w:rsidRPr="00C03C35">
              <w:rPr>
                <w:sz w:val="20"/>
                <w:szCs w:val="20"/>
                <w:lang w:val="en-GB"/>
              </w:rPr>
              <w:t>]</w:t>
            </w:r>
          </w:p>
        </w:tc>
        <w:tc>
          <w:tcPr>
            <w:tcW w:w="0" w:type="auto"/>
            <w:tcBorders>
              <w:top w:val="nil"/>
            </w:tcBorders>
          </w:tcPr>
          <w:p w14:paraId="532C86E1" w14:textId="77777777" w:rsidR="00BF17FF" w:rsidRPr="00C03C35" w:rsidRDefault="00BF17FF" w:rsidP="00BF17FF">
            <w:pPr>
              <w:jc w:val="center"/>
              <w:rPr>
                <w:sz w:val="20"/>
                <w:szCs w:val="20"/>
                <w:lang w:val="en-GB"/>
              </w:rPr>
            </w:pPr>
            <w:r w:rsidRPr="00C03C35">
              <w:rPr>
                <w:sz w:val="20"/>
                <w:szCs w:val="20"/>
                <w:lang w:val="en-GB"/>
              </w:rPr>
              <w:t>0.18</w:t>
            </w:r>
          </w:p>
        </w:tc>
      </w:tr>
      <w:tr w:rsidR="00BF17FF" w:rsidRPr="00C03C35" w14:paraId="3182F076" w14:textId="77777777" w:rsidTr="00BF17FF">
        <w:trPr>
          <w:jc w:val="center"/>
        </w:trPr>
        <w:tc>
          <w:tcPr>
            <w:tcW w:w="0" w:type="auto"/>
            <w:gridSpan w:val="2"/>
          </w:tcPr>
          <w:p w14:paraId="0BDB7DEA" w14:textId="77777777" w:rsidR="00BF17FF" w:rsidRPr="00C03C35" w:rsidRDefault="00BF17FF" w:rsidP="00BF17FF">
            <w:pPr>
              <w:jc w:val="both"/>
              <w:rPr>
                <w:sz w:val="20"/>
                <w:szCs w:val="20"/>
                <w:lang w:val="en-GB"/>
              </w:rPr>
            </w:pPr>
            <w:r w:rsidRPr="00C03C35">
              <w:rPr>
                <w:sz w:val="20"/>
                <w:szCs w:val="20"/>
                <w:lang w:val="en-GB"/>
              </w:rPr>
              <w:t>Cooling water [USD GJ</w:t>
            </w:r>
            <w:r w:rsidRPr="00C03C35">
              <w:rPr>
                <w:sz w:val="20"/>
                <w:szCs w:val="20"/>
                <w:vertAlign w:val="superscript"/>
                <w:lang w:val="en-GB"/>
              </w:rPr>
              <w:t>–1</w:t>
            </w:r>
            <w:r w:rsidRPr="00C03C35">
              <w:rPr>
                <w:sz w:val="20"/>
                <w:szCs w:val="20"/>
                <w:lang w:val="en-GB"/>
              </w:rPr>
              <w:t>]</w:t>
            </w:r>
          </w:p>
        </w:tc>
        <w:tc>
          <w:tcPr>
            <w:tcW w:w="0" w:type="auto"/>
          </w:tcPr>
          <w:p w14:paraId="7E7A3652" w14:textId="77777777" w:rsidR="00BF17FF" w:rsidRPr="00C03C35" w:rsidRDefault="00BF17FF" w:rsidP="00BF17FF">
            <w:pPr>
              <w:jc w:val="center"/>
              <w:rPr>
                <w:sz w:val="20"/>
                <w:szCs w:val="20"/>
                <w:lang w:val="en-GB"/>
              </w:rPr>
            </w:pPr>
            <w:r w:rsidRPr="00C03C35">
              <w:rPr>
                <w:sz w:val="20"/>
                <w:szCs w:val="20"/>
                <w:lang w:val="en-GB"/>
              </w:rPr>
              <w:t>0.38</w:t>
            </w:r>
          </w:p>
        </w:tc>
      </w:tr>
      <w:tr w:rsidR="00BF17FF" w:rsidRPr="00C03C35" w14:paraId="26039A7A" w14:textId="77777777" w:rsidTr="00BF17FF">
        <w:trPr>
          <w:jc w:val="center"/>
        </w:trPr>
        <w:tc>
          <w:tcPr>
            <w:tcW w:w="0" w:type="auto"/>
            <w:gridSpan w:val="2"/>
          </w:tcPr>
          <w:p w14:paraId="074F9E56" w14:textId="77777777" w:rsidR="00BF17FF" w:rsidRPr="00C03C35" w:rsidRDefault="00BF17FF" w:rsidP="00BF17FF">
            <w:pPr>
              <w:jc w:val="both"/>
              <w:rPr>
                <w:color w:val="000000"/>
                <w:sz w:val="20"/>
                <w:szCs w:val="20"/>
                <w:lang w:val="en-GB"/>
              </w:rPr>
            </w:pPr>
            <w:r w:rsidRPr="00C03C35">
              <w:rPr>
                <w:color w:val="000000"/>
                <w:sz w:val="20"/>
                <w:szCs w:val="20"/>
                <w:lang w:val="en-GB"/>
              </w:rPr>
              <w:t>CO</w:t>
            </w:r>
            <w:r w:rsidRPr="00C03C35">
              <w:rPr>
                <w:color w:val="000000"/>
                <w:sz w:val="20"/>
                <w:szCs w:val="20"/>
                <w:vertAlign w:val="subscript"/>
                <w:lang w:val="en-GB"/>
              </w:rPr>
              <w:t>2</w:t>
            </w:r>
            <w:r w:rsidRPr="00C03C35">
              <w:rPr>
                <w:color w:val="000000"/>
                <w:sz w:val="20"/>
                <w:szCs w:val="20"/>
                <w:lang w:val="en-GB"/>
              </w:rPr>
              <w:t xml:space="preserve"> emissions </w:t>
            </w:r>
            <w:r w:rsidRPr="00C03C35">
              <w:rPr>
                <w:sz w:val="20"/>
                <w:szCs w:val="20"/>
                <w:lang w:val="en-GB"/>
              </w:rPr>
              <w:t>[USD t</w:t>
            </w:r>
            <w:r w:rsidRPr="00C03C35">
              <w:rPr>
                <w:sz w:val="20"/>
                <w:szCs w:val="20"/>
                <w:vertAlign w:val="superscript"/>
                <w:lang w:val="en-GB"/>
              </w:rPr>
              <w:t>–1</w:t>
            </w:r>
            <w:r w:rsidRPr="00C03C35">
              <w:rPr>
                <w:sz w:val="20"/>
                <w:szCs w:val="20"/>
                <w:lang w:val="en-GB"/>
              </w:rPr>
              <w:t>]</w:t>
            </w:r>
          </w:p>
        </w:tc>
        <w:tc>
          <w:tcPr>
            <w:tcW w:w="0" w:type="auto"/>
          </w:tcPr>
          <w:p w14:paraId="1479F6F4" w14:textId="77777777" w:rsidR="00BF17FF" w:rsidRPr="00C03C35" w:rsidRDefault="00BF17FF" w:rsidP="00BF17FF">
            <w:pPr>
              <w:jc w:val="center"/>
              <w:rPr>
                <w:sz w:val="20"/>
                <w:szCs w:val="20"/>
                <w:lang w:val="en-GB"/>
              </w:rPr>
            </w:pPr>
            <w:r w:rsidRPr="00C03C35">
              <w:rPr>
                <w:sz w:val="20"/>
                <w:szCs w:val="20"/>
                <w:lang w:val="en-GB"/>
              </w:rPr>
              <w:t>30</w:t>
            </w:r>
          </w:p>
        </w:tc>
      </w:tr>
      <w:tr w:rsidR="00BF17FF" w:rsidRPr="00C03C35" w14:paraId="2138E195" w14:textId="77777777" w:rsidTr="00BF17FF">
        <w:trPr>
          <w:jc w:val="center"/>
        </w:trPr>
        <w:tc>
          <w:tcPr>
            <w:tcW w:w="0" w:type="auto"/>
            <w:gridSpan w:val="2"/>
          </w:tcPr>
          <w:p w14:paraId="7349F7C2" w14:textId="77777777" w:rsidR="00BF17FF" w:rsidRPr="00C03C35" w:rsidRDefault="00BF17FF" w:rsidP="00BF17FF">
            <w:pPr>
              <w:jc w:val="both"/>
              <w:rPr>
                <w:sz w:val="20"/>
                <w:szCs w:val="20"/>
                <w:lang w:val="en-GB"/>
              </w:rPr>
            </w:pPr>
            <w:r w:rsidRPr="00C03C35">
              <w:rPr>
                <w:sz w:val="20"/>
                <w:szCs w:val="20"/>
                <w:lang w:val="en-GB"/>
              </w:rPr>
              <w:t>Nitrogen [USD t</w:t>
            </w:r>
            <w:r w:rsidRPr="00C03C35">
              <w:rPr>
                <w:sz w:val="20"/>
                <w:szCs w:val="20"/>
                <w:vertAlign w:val="superscript"/>
                <w:lang w:val="en-GB"/>
              </w:rPr>
              <w:t>–1</w:t>
            </w:r>
            <w:r w:rsidRPr="00C03C35">
              <w:rPr>
                <w:sz w:val="20"/>
                <w:szCs w:val="20"/>
                <w:lang w:val="en-GB"/>
              </w:rPr>
              <w:t>]</w:t>
            </w:r>
          </w:p>
        </w:tc>
        <w:tc>
          <w:tcPr>
            <w:tcW w:w="0" w:type="auto"/>
          </w:tcPr>
          <w:p w14:paraId="77B2CB94" w14:textId="77777777" w:rsidR="00BF17FF" w:rsidRPr="00C03C35" w:rsidRDefault="00BF17FF" w:rsidP="00BF17FF">
            <w:pPr>
              <w:jc w:val="center"/>
              <w:rPr>
                <w:sz w:val="20"/>
                <w:szCs w:val="20"/>
                <w:lang w:val="en-GB"/>
              </w:rPr>
            </w:pPr>
            <w:r w:rsidRPr="00C03C35">
              <w:rPr>
                <w:sz w:val="20"/>
                <w:szCs w:val="20"/>
                <w:lang w:val="en-GB"/>
              </w:rPr>
              <w:t>91</w:t>
            </w:r>
          </w:p>
        </w:tc>
      </w:tr>
      <w:tr w:rsidR="00BF17FF" w:rsidRPr="00C03C35" w14:paraId="15F1FD49" w14:textId="77777777" w:rsidTr="00BF17FF">
        <w:trPr>
          <w:jc w:val="center"/>
        </w:trPr>
        <w:tc>
          <w:tcPr>
            <w:tcW w:w="0" w:type="auto"/>
          </w:tcPr>
          <w:p w14:paraId="1E32CB80" w14:textId="77777777" w:rsidR="00BF17FF" w:rsidRPr="00C03C35" w:rsidRDefault="00BF17FF" w:rsidP="00BF17FF">
            <w:pPr>
              <w:keepNext/>
              <w:jc w:val="both"/>
              <w:rPr>
                <w:b/>
                <w:sz w:val="20"/>
                <w:szCs w:val="20"/>
                <w:lang w:val="en-GB"/>
              </w:rPr>
            </w:pPr>
            <w:r w:rsidRPr="00C03C35">
              <w:rPr>
                <w:b/>
                <w:sz w:val="20"/>
                <w:szCs w:val="20"/>
                <w:lang w:val="en-GB"/>
              </w:rPr>
              <w:t>Methanol</w:t>
            </w:r>
          </w:p>
        </w:tc>
        <w:tc>
          <w:tcPr>
            <w:tcW w:w="0" w:type="auto"/>
          </w:tcPr>
          <w:p w14:paraId="1DB5B416" w14:textId="77777777" w:rsidR="00BF17FF" w:rsidRPr="00C03C35" w:rsidRDefault="00BF17FF" w:rsidP="00BF17FF">
            <w:pPr>
              <w:keepNext/>
              <w:jc w:val="both"/>
              <w:rPr>
                <w:b/>
                <w:sz w:val="20"/>
                <w:szCs w:val="20"/>
                <w:lang w:val="en-GB"/>
              </w:rPr>
            </w:pPr>
          </w:p>
        </w:tc>
        <w:tc>
          <w:tcPr>
            <w:tcW w:w="0" w:type="auto"/>
          </w:tcPr>
          <w:p w14:paraId="5ECA6783" w14:textId="77777777" w:rsidR="00BF17FF" w:rsidRPr="00C03C35" w:rsidRDefault="00BF17FF" w:rsidP="00BF17FF">
            <w:pPr>
              <w:keepNext/>
              <w:jc w:val="both"/>
              <w:rPr>
                <w:b/>
                <w:sz w:val="20"/>
                <w:szCs w:val="20"/>
                <w:lang w:val="en-GB"/>
              </w:rPr>
            </w:pPr>
          </w:p>
        </w:tc>
      </w:tr>
      <w:tr w:rsidR="00BF17FF" w:rsidRPr="00C03C35" w14:paraId="428239BE" w14:textId="77777777" w:rsidTr="00BF17FF">
        <w:trPr>
          <w:jc w:val="center"/>
        </w:trPr>
        <w:tc>
          <w:tcPr>
            <w:tcW w:w="0" w:type="auto"/>
            <w:gridSpan w:val="2"/>
          </w:tcPr>
          <w:p w14:paraId="7F8E942F" w14:textId="77777777" w:rsidR="00BF17FF" w:rsidRPr="00C03C35" w:rsidRDefault="00BF17FF" w:rsidP="00BF17FF">
            <w:pPr>
              <w:jc w:val="both"/>
              <w:rPr>
                <w:sz w:val="20"/>
                <w:szCs w:val="20"/>
                <w:lang w:val="en-GB"/>
              </w:rPr>
            </w:pPr>
            <w:r w:rsidRPr="00C03C35">
              <w:rPr>
                <w:sz w:val="20"/>
                <w:szCs w:val="20"/>
                <w:lang w:val="en-GB"/>
              </w:rPr>
              <w:t>Steam [USD t</w:t>
            </w:r>
            <w:r w:rsidRPr="00C03C35">
              <w:rPr>
                <w:sz w:val="20"/>
                <w:szCs w:val="20"/>
                <w:vertAlign w:val="superscript"/>
                <w:lang w:val="en-GB"/>
              </w:rPr>
              <w:t>–1</w:t>
            </w:r>
            <w:r w:rsidRPr="00C03C35">
              <w:rPr>
                <w:sz w:val="20"/>
                <w:szCs w:val="20"/>
                <w:lang w:val="en-GB"/>
              </w:rPr>
              <w:t>]</w:t>
            </w:r>
          </w:p>
        </w:tc>
        <w:tc>
          <w:tcPr>
            <w:tcW w:w="0" w:type="auto"/>
          </w:tcPr>
          <w:p w14:paraId="1BD7D7E5" w14:textId="77777777" w:rsidR="00BF17FF" w:rsidRPr="00C03C35" w:rsidRDefault="00BF17FF" w:rsidP="00BF17FF">
            <w:pPr>
              <w:jc w:val="center"/>
              <w:rPr>
                <w:sz w:val="20"/>
                <w:szCs w:val="20"/>
                <w:lang w:val="en-GB"/>
              </w:rPr>
            </w:pPr>
            <w:r w:rsidRPr="00C03C35">
              <w:rPr>
                <w:sz w:val="20"/>
                <w:szCs w:val="20"/>
                <w:lang w:val="en-GB"/>
              </w:rPr>
              <w:t>15.6</w:t>
            </w:r>
          </w:p>
        </w:tc>
      </w:tr>
      <w:tr w:rsidR="00BF17FF" w:rsidRPr="00C03C35" w14:paraId="65237880" w14:textId="77777777" w:rsidTr="00BF17FF">
        <w:trPr>
          <w:jc w:val="center"/>
        </w:trPr>
        <w:tc>
          <w:tcPr>
            <w:tcW w:w="0" w:type="auto"/>
            <w:gridSpan w:val="2"/>
          </w:tcPr>
          <w:p w14:paraId="18EE07CA" w14:textId="77777777" w:rsidR="00BF17FF" w:rsidRPr="00C03C35" w:rsidRDefault="00BF17FF" w:rsidP="00BF17FF">
            <w:pPr>
              <w:jc w:val="both"/>
              <w:rPr>
                <w:sz w:val="20"/>
                <w:szCs w:val="20"/>
                <w:lang w:val="en-GB"/>
              </w:rPr>
            </w:pPr>
            <w:r w:rsidRPr="00C03C35">
              <w:rPr>
                <w:sz w:val="20"/>
                <w:szCs w:val="20"/>
                <w:lang w:val="en-GB"/>
              </w:rPr>
              <w:t>Cooling water [USD m</w:t>
            </w:r>
            <w:r w:rsidRPr="00C03C35">
              <w:rPr>
                <w:sz w:val="20"/>
                <w:szCs w:val="20"/>
                <w:vertAlign w:val="superscript"/>
                <w:lang w:val="en-GB"/>
              </w:rPr>
              <w:t>–3</w:t>
            </w:r>
            <w:r w:rsidRPr="00C03C35">
              <w:rPr>
                <w:sz w:val="20"/>
                <w:szCs w:val="20"/>
                <w:lang w:val="en-GB"/>
              </w:rPr>
              <w:t>]</w:t>
            </w:r>
          </w:p>
        </w:tc>
        <w:tc>
          <w:tcPr>
            <w:tcW w:w="0" w:type="auto"/>
          </w:tcPr>
          <w:p w14:paraId="7EAD9B15" w14:textId="77777777" w:rsidR="00BF17FF" w:rsidRPr="00C03C35" w:rsidRDefault="00BF17FF" w:rsidP="00BF17FF">
            <w:pPr>
              <w:jc w:val="center"/>
              <w:rPr>
                <w:sz w:val="20"/>
                <w:szCs w:val="20"/>
                <w:lang w:val="en-GB"/>
              </w:rPr>
            </w:pPr>
            <w:r w:rsidRPr="00C03C35">
              <w:rPr>
                <w:sz w:val="20"/>
                <w:szCs w:val="20"/>
                <w:lang w:val="en-GB"/>
              </w:rPr>
              <w:t>0.03</w:t>
            </w:r>
          </w:p>
        </w:tc>
      </w:tr>
      <w:tr w:rsidR="00BF17FF" w:rsidRPr="00C03C35" w14:paraId="6C4F45B2" w14:textId="77777777" w:rsidTr="00BF17FF">
        <w:trPr>
          <w:jc w:val="center"/>
        </w:trPr>
        <w:tc>
          <w:tcPr>
            <w:tcW w:w="0" w:type="auto"/>
            <w:gridSpan w:val="2"/>
          </w:tcPr>
          <w:p w14:paraId="1CD2BAB7" w14:textId="77777777" w:rsidR="00BF17FF" w:rsidRPr="00C03C35" w:rsidRDefault="00BF17FF" w:rsidP="00BF17FF">
            <w:pPr>
              <w:jc w:val="both"/>
              <w:rPr>
                <w:sz w:val="20"/>
                <w:szCs w:val="20"/>
                <w:lang w:val="en-GB"/>
              </w:rPr>
            </w:pPr>
            <w:r w:rsidRPr="00C03C35">
              <w:rPr>
                <w:sz w:val="20"/>
                <w:szCs w:val="20"/>
                <w:lang w:val="en-GB"/>
              </w:rPr>
              <w:t>Catalyst [USD t</w:t>
            </w:r>
            <w:r w:rsidRPr="00C03C35">
              <w:rPr>
                <w:sz w:val="20"/>
                <w:szCs w:val="20"/>
                <w:vertAlign w:val="superscript"/>
                <w:lang w:val="en-GB"/>
              </w:rPr>
              <w:t>–1</w:t>
            </w:r>
            <w:r w:rsidRPr="00C03C35">
              <w:rPr>
                <w:sz w:val="20"/>
                <w:szCs w:val="20"/>
                <w:lang w:val="en-GB"/>
              </w:rPr>
              <w:t>]</w:t>
            </w:r>
          </w:p>
        </w:tc>
        <w:tc>
          <w:tcPr>
            <w:tcW w:w="0" w:type="auto"/>
          </w:tcPr>
          <w:p w14:paraId="5B51CDC1" w14:textId="77777777" w:rsidR="00BF17FF" w:rsidRPr="00C03C35" w:rsidRDefault="00BF17FF" w:rsidP="00BF17FF">
            <w:pPr>
              <w:jc w:val="center"/>
              <w:rPr>
                <w:sz w:val="20"/>
                <w:szCs w:val="20"/>
                <w:lang w:val="en-GB"/>
              </w:rPr>
            </w:pPr>
            <w:r w:rsidRPr="00C03C35">
              <w:rPr>
                <w:sz w:val="20"/>
                <w:szCs w:val="20"/>
                <w:lang w:val="en-GB"/>
              </w:rPr>
              <w:t>136</w:t>
            </w:r>
          </w:p>
        </w:tc>
      </w:tr>
      <w:tr w:rsidR="00BF17FF" w:rsidRPr="00C03C35" w14:paraId="58D8489D" w14:textId="77777777" w:rsidTr="00BF17FF">
        <w:trPr>
          <w:jc w:val="center"/>
        </w:trPr>
        <w:tc>
          <w:tcPr>
            <w:tcW w:w="0" w:type="auto"/>
            <w:gridSpan w:val="2"/>
          </w:tcPr>
          <w:p w14:paraId="38319CAD" w14:textId="77777777" w:rsidR="00BF17FF" w:rsidRPr="00C03C35" w:rsidRDefault="00BF17FF" w:rsidP="00BF17FF">
            <w:pPr>
              <w:jc w:val="both"/>
              <w:rPr>
                <w:sz w:val="20"/>
                <w:szCs w:val="20"/>
                <w:lang w:val="en-GB"/>
              </w:rPr>
            </w:pPr>
            <w:r w:rsidRPr="00C03C35">
              <w:rPr>
                <w:color w:val="000000"/>
                <w:sz w:val="20"/>
                <w:szCs w:val="20"/>
                <w:lang w:val="en-GB"/>
              </w:rPr>
              <w:t xml:space="preserve">Wastewater treatment </w:t>
            </w:r>
            <w:r w:rsidRPr="00C03C35">
              <w:rPr>
                <w:sz w:val="20"/>
                <w:szCs w:val="20"/>
                <w:lang w:val="en-GB"/>
              </w:rPr>
              <w:t>[USD m</w:t>
            </w:r>
            <w:r w:rsidRPr="00C03C35">
              <w:rPr>
                <w:sz w:val="20"/>
                <w:szCs w:val="20"/>
                <w:vertAlign w:val="superscript"/>
                <w:lang w:val="en-GB"/>
              </w:rPr>
              <w:t>–3</w:t>
            </w:r>
            <w:r w:rsidRPr="00C03C35">
              <w:rPr>
                <w:sz w:val="20"/>
                <w:szCs w:val="20"/>
                <w:lang w:val="en-GB"/>
              </w:rPr>
              <w:t>]</w:t>
            </w:r>
          </w:p>
        </w:tc>
        <w:tc>
          <w:tcPr>
            <w:tcW w:w="0" w:type="auto"/>
          </w:tcPr>
          <w:p w14:paraId="6254589C" w14:textId="77777777" w:rsidR="00BF17FF" w:rsidRPr="00C03C35" w:rsidRDefault="00BF17FF" w:rsidP="00BF17FF">
            <w:pPr>
              <w:jc w:val="center"/>
              <w:rPr>
                <w:sz w:val="20"/>
                <w:szCs w:val="20"/>
                <w:lang w:val="en-GB"/>
              </w:rPr>
            </w:pPr>
            <w:r w:rsidRPr="00C03C35">
              <w:rPr>
                <w:sz w:val="20"/>
                <w:szCs w:val="20"/>
                <w:lang w:val="en-GB"/>
              </w:rPr>
              <w:t>1.64</w:t>
            </w:r>
          </w:p>
        </w:tc>
      </w:tr>
    </w:tbl>
    <w:p w14:paraId="7C66971B" w14:textId="45DE3838" w:rsidR="00BF17FF" w:rsidRPr="00C03C35" w:rsidRDefault="00BF17FF" w:rsidP="00BF17FF">
      <w:pPr>
        <w:keepNext/>
        <w:spacing w:before="240"/>
        <w:jc w:val="both"/>
        <w:rPr>
          <w:lang w:val="en-GB"/>
        </w:rPr>
      </w:pPr>
      <w:r w:rsidRPr="00C03C35">
        <w:rPr>
          <w:lang w:val="en-GB"/>
        </w:rPr>
        <w:t xml:space="preserve">For natural gas, we consider the monthly average spot prices at the </w:t>
      </w:r>
      <w:r w:rsidRPr="00C03C35">
        <w:rPr>
          <w:rFonts w:cstheme="minorHAnsi"/>
          <w:lang w:val="en-GB"/>
        </w:rPr>
        <w:t xml:space="preserve">Title Transfer Facility (TTF) hub in the Netherlands as reported in the Commodity Market Outlook of the World Bank </w:t>
      </w:r>
      <w:r w:rsidRPr="00C03C35">
        <w:rPr>
          <w:lang w:val="en-GB"/>
        </w:rPr>
        <w:t xml:space="preserve">(see </w:t>
      </w:r>
      <w:r w:rsidRPr="00C03C35">
        <w:rPr>
          <w:rFonts w:cstheme="minorHAnsi"/>
          <w:b/>
          <w:lang w:val="en-GB"/>
        </w:rPr>
        <w:t>Figure 1</w:t>
      </w:r>
      <w:r w:rsidRPr="00C03C35">
        <w:rPr>
          <w:rFonts w:cstheme="minorHAnsi"/>
          <w:lang w:val="en-GB"/>
        </w:rPr>
        <w:t xml:space="preserve"> </w:t>
      </w:r>
      <w:r w:rsidRPr="00C03C35">
        <w:rPr>
          <w:lang w:val="en-GB"/>
        </w:rPr>
        <w:t>in the main manuscript).</w:t>
      </w:r>
      <w:r w:rsidRPr="00C03C35">
        <w:rPr>
          <w:rFonts w:cstheme="minorHAnsi"/>
          <w:lang w:val="en-GB"/>
        </w:rPr>
        <w:fldChar w:fldCharType="begin"/>
      </w:r>
      <w:r w:rsidR="003070D5">
        <w:rPr>
          <w:rFonts w:cstheme="minorHAnsi"/>
          <w:lang w:val="en-GB"/>
        </w:rPr>
        <w:instrText xml:space="preserve"> ADDIN ZOTERO_ITEM CSL_CITATION {"citationID":"dcXsBHPR","properties":{"formattedCitation":"\\super 7\\nosupersub{}","plainCitation":"7","noteIndex":0},"citationItems":[{"id":"dHwHotKY/0Dihd9Gw","uris":["http://zotero.org/users/9157291/items/ASL4MQPD"],"itemData":{"id":26341,"type":"report","event-place":"Washington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Pr="00C03C35">
        <w:rPr>
          <w:rFonts w:cstheme="minorHAnsi"/>
          <w:lang w:val="en-GB"/>
        </w:rPr>
        <w:fldChar w:fldCharType="separate"/>
      </w:r>
      <w:r w:rsidR="008D7D7F" w:rsidRPr="008D7D7F">
        <w:rPr>
          <w:rFonts w:ascii="Calibri" w:hAnsi="Calibri" w:cs="Calibri"/>
          <w:szCs w:val="24"/>
          <w:vertAlign w:val="superscript"/>
        </w:rPr>
        <w:t>7</w:t>
      </w:r>
      <w:r w:rsidRPr="00C03C35">
        <w:rPr>
          <w:rFonts w:cstheme="minorHAnsi"/>
          <w:lang w:val="en-GB"/>
        </w:rPr>
        <w:fldChar w:fldCharType="end"/>
      </w:r>
      <w:r w:rsidRPr="00C03C35">
        <w:rPr>
          <w:rFonts w:cstheme="minorHAnsi"/>
          <w:lang w:val="en-GB"/>
        </w:rPr>
        <w:t xml:space="preserve"> The Dutch TTF hub has gained significant importance due to its high trade volumes, and currently acts as an European and global benchmark for natural gas prices.</w:t>
      </w:r>
      <w:r w:rsidRPr="00C03C35">
        <w:rPr>
          <w:rFonts w:cstheme="minorHAnsi"/>
          <w:lang w:val="en-GB"/>
        </w:rPr>
        <w:fldChar w:fldCharType="begin"/>
      </w:r>
      <w:r w:rsidR="003070D5">
        <w:rPr>
          <w:rFonts w:cstheme="minorHAnsi"/>
          <w:lang w:val="en-GB"/>
        </w:rPr>
        <w:instrText xml:space="preserve"> ADDIN ZOTERO_ITEM CSL_CITATION {"citationID":"Uv3GWV4l","properties":{"formattedCitation":"\\super 8\\nosupersub{}","plainCitation":"8","noteIndex":0},"citationItems":[{"id":"dHwHotKY/vtYMPJwP","uris":["http://zotero.org/users/9157291/items/KY7YU3FE"],"itemData":{"id":31546,"type":"report","language":"en","publisher":"The Oxford Institute for Energy Studies","source":"Zotero","title":"European Traded Gas Hubs: the supremacy of TTF","author":[{"family":"Heather","given":"Patrick"}],"issued":{"date-parts":[["2022",5]]}}}],"schema":"https://github.com/citation-style-language/schema/raw/master/csl-citation.json"} </w:instrText>
      </w:r>
      <w:r w:rsidRPr="00C03C35">
        <w:rPr>
          <w:rFonts w:cstheme="minorHAnsi"/>
          <w:lang w:val="en-GB"/>
        </w:rPr>
        <w:fldChar w:fldCharType="separate"/>
      </w:r>
      <w:r w:rsidR="008D7D7F" w:rsidRPr="008D7D7F">
        <w:rPr>
          <w:rFonts w:ascii="Calibri" w:hAnsi="Calibri" w:cs="Calibri"/>
          <w:szCs w:val="24"/>
          <w:vertAlign w:val="superscript"/>
        </w:rPr>
        <w:t>8</w:t>
      </w:r>
      <w:r w:rsidRPr="00C03C35">
        <w:rPr>
          <w:rFonts w:cstheme="minorHAnsi"/>
          <w:lang w:val="en-GB"/>
        </w:rPr>
        <w:fldChar w:fldCharType="end"/>
      </w:r>
      <w:r w:rsidRPr="00C03C35">
        <w:rPr>
          <w:rFonts w:cstheme="minorHAnsi"/>
          <w:lang w:val="en-GB"/>
        </w:rPr>
        <w:t xml:space="preserve"> Moreover, we consider monthly average </w:t>
      </w:r>
      <w:r w:rsidRPr="00C03C35">
        <w:rPr>
          <w:lang w:val="en-GB"/>
        </w:rPr>
        <w:t xml:space="preserve">electricity prices as shown in </w:t>
      </w:r>
      <w:r w:rsidRPr="00C03C35">
        <w:rPr>
          <w:rFonts w:cstheme="minorHAnsi"/>
          <w:b/>
          <w:lang w:val="en-GB"/>
        </w:rPr>
        <w:t>Figure S5</w:t>
      </w:r>
      <w:r w:rsidRPr="00C03C35">
        <w:rPr>
          <w:rFonts w:cstheme="minorHAnsi"/>
          <w:lang w:val="en-GB"/>
        </w:rPr>
        <w:t>.</w:t>
      </w:r>
      <w:r w:rsidRPr="00C03C35">
        <w:rPr>
          <w:lang w:val="en-GB"/>
        </w:rPr>
        <w:fldChar w:fldCharType="begin"/>
      </w:r>
      <w:r w:rsidR="003070D5">
        <w:rPr>
          <w:lang w:val="en-GB"/>
        </w:rPr>
        <w:instrText xml:space="preserve"> ADDIN ZOTERO_ITEM CSL_CITATION {"citationID":"Qzu14qiq","properties":{"formattedCitation":"\\super 9\\nosupersub{}","plainCitation":"9","noteIndex":0},"citationItems":[{"id":"dHwHotKY/M0lfyOHr","uris":["http://zotero.org/users/9157291/items/7R2WGAFA"],"itemData":{"id":31755,"type":"webpage","abstract":"Explore European electricity prices by month and day. See day-ahead prices for all EU countries","container-title":"Ember","language":"en-US","title":"European power price tracker","URL":"https://ember-climate.org/data/data-tools/europe-power-prices/","author":[{"family":"EMBER","given":""}],"accessed":{"date-parts":[["2023",2,23]]}}}],"schema":"https://github.com/citation-style-language/schema/raw/master/csl-citation.json"} </w:instrText>
      </w:r>
      <w:r w:rsidRPr="00C03C35">
        <w:rPr>
          <w:lang w:val="en-GB"/>
        </w:rPr>
        <w:fldChar w:fldCharType="separate"/>
      </w:r>
      <w:r w:rsidR="008D7D7F" w:rsidRPr="008D7D7F">
        <w:rPr>
          <w:rFonts w:ascii="Calibri" w:hAnsi="Calibri" w:cs="Calibri"/>
          <w:szCs w:val="24"/>
          <w:vertAlign w:val="superscript"/>
        </w:rPr>
        <w:t>9</w:t>
      </w:r>
      <w:r w:rsidRPr="00C03C35">
        <w:rPr>
          <w:lang w:val="en-GB"/>
        </w:rPr>
        <w:fldChar w:fldCharType="end"/>
      </w:r>
    </w:p>
    <w:p w14:paraId="06BFF27B" w14:textId="77777777" w:rsidR="00BF17FF" w:rsidRPr="00C03C35" w:rsidRDefault="00BF17FF" w:rsidP="00BF17FF">
      <w:pPr>
        <w:keepNext/>
        <w:jc w:val="center"/>
        <w:rPr>
          <w:lang w:val="en-GB"/>
        </w:rPr>
      </w:pPr>
      <w:r w:rsidRPr="00C03C35">
        <w:rPr>
          <w:noProof/>
          <w:lang w:val="en-GB"/>
        </w:rPr>
        <w:drawing>
          <wp:inline distT="0" distB="0" distL="0" distR="0" wp14:anchorId="478A7527" wp14:editId="25BD2645">
            <wp:extent cx="3163824" cy="30723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S1.png"/>
                    <pic:cNvPicPr/>
                  </pic:nvPicPr>
                  <pic:blipFill>
                    <a:blip r:embed="rId12"/>
                    <a:stretch>
                      <a:fillRect/>
                    </a:stretch>
                  </pic:blipFill>
                  <pic:spPr>
                    <a:xfrm>
                      <a:off x="0" y="0"/>
                      <a:ext cx="3163824" cy="3072384"/>
                    </a:xfrm>
                    <a:prstGeom prst="rect">
                      <a:avLst/>
                    </a:prstGeom>
                  </pic:spPr>
                </pic:pic>
              </a:graphicData>
            </a:graphic>
          </wp:inline>
        </w:drawing>
      </w:r>
    </w:p>
    <w:p w14:paraId="0CC5FBFA" w14:textId="77777777" w:rsidR="00BF17FF" w:rsidRPr="00C03C35" w:rsidRDefault="00BF17FF" w:rsidP="00BF17FF">
      <w:pPr>
        <w:pStyle w:val="Caption"/>
        <w:jc w:val="both"/>
        <w:rPr>
          <w:bCs/>
          <w:i w:val="0"/>
          <w:iCs w:val="0"/>
          <w:color w:val="auto"/>
          <w:sz w:val="20"/>
          <w:szCs w:val="20"/>
        </w:rPr>
      </w:pPr>
      <w:r w:rsidRPr="00C03C35">
        <w:rPr>
          <w:b/>
          <w:i w:val="0"/>
          <w:color w:val="auto"/>
          <w:sz w:val="20"/>
          <w:szCs w:val="20"/>
        </w:rPr>
        <w:t xml:space="preserve">Figure S5. </w:t>
      </w:r>
      <w:r w:rsidRPr="00C03C35">
        <w:rPr>
          <w:b/>
          <w:bCs/>
          <w:i w:val="0"/>
          <w:iCs w:val="0"/>
          <w:color w:val="auto"/>
          <w:sz w:val="20"/>
          <w:szCs w:val="20"/>
        </w:rPr>
        <w:t xml:space="preserve">Evolution of monthly average electricity prices in Europe. </w:t>
      </w:r>
      <w:r w:rsidRPr="00C03C35">
        <w:rPr>
          <w:bCs/>
          <w:i w:val="0"/>
          <w:iCs w:val="0"/>
          <w:color w:val="auto"/>
          <w:sz w:val="20"/>
          <w:szCs w:val="20"/>
        </w:rPr>
        <w:t xml:space="preserve">Notably, electricity costs per kWh increased steadily since July 2021 following similar reasons as discussed in the case of natural gas (see </w:t>
      </w:r>
      <w:r w:rsidRPr="00C03C35">
        <w:rPr>
          <w:b/>
          <w:bCs/>
          <w:i w:val="0"/>
          <w:iCs w:val="0"/>
          <w:color w:val="auto"/>
          <w:sz w:val="20"/>
          <w:szCs w:val="20"/>
        </w:rPr>
        <w:t>Figure 1</w:t>
      </w:r>
      <w:r w:rsidRPr="00C03C35">
        <w:rPr>
          <w:bCs/>
          <w:i w:val="0"/>
          <w:iCs w:val="0"/>
          <w:color w:val="auto"/>
          <w:sz w:val="20"/>
          <w:szCs w:val="20"/>
        </w:rPr>
        <w:t xml:space="preserve"> in the main manuscript). The monthly average prices of electricity along with natural gas are used in the techno-economic models for calculating the production cost estimates.</w:t>
      </w:r>
    </w:p>
    <w:p w14:paraId="22606E81" w14:textId="77777777" w:rsidR="00BF17FF" w:rsidRPr="00C03C35" w:rsidRDefault="00BF17FF" w:rsidP="00BF17FF">
      <w:pPr>
        <w:pStyle w:val="Caption"/>
        <w:spacing w:after="0"/>
        <w:jc w:val="both"/>
        <w:rPr>
          <w:bCs/>
          <w:i w:val="0"/>
          <w:iCs w:val="0"/>
          <w:color w:val="auto"/>
          <w:sz w:val="20"/>
          <w:szCs w:val="20"/>
        </w:rPr>
      </w:pPr>
      <w:r w:rsidRPr="00C03C35">
        <w:rPr>
          <w:b/>
          <w:bCs/>
          <w:i w:val="0"/>
          <w:iCs w:val="0"/>
          <w:color w:val="auto"/>
          <w:sz w:val="22"/>
          <w:szCs w:val="22"/>
        </w:rPr>
        <w:lastRenderedPageBreak/>
        <w:t>Figure S6</w:t>
      </w:r>
      <w:r w:rsidRPr="00C03C35">
        <w:rPr>
          <w:bCs/>
          <w:i w:val="0"/>
          <w:iCs w:val="0"/>
          <w:color w:val="auto"/>
          <w:sz w:val="22"/>
          <w:szCs w:val="22"/>
        </w:rPr>
        <w:t xml:space="preserve"> shows the monthly average natural gas spot prices in addition to the fossil ammonia and methanol production cost. </w:t>
      </w:r>
      <w:r w:rsidRPr="00C03C35">
        <w:rPr>
          <w:i w:val="0"/>
          <w:color w:val="auto"/>
          <w:sz w:val="22"/>
          <w:szCs w:val="22"/>
        </w:rPr>
        <w:t>Calculations were performed considering the effect of inflation and the monthly fluctuations in natural gas and electricity prices (the evolution of electricity prices in Europe is displayed in</w:t>
      </w:r>
      <w:r w:rsidRPr="00C03C35">
        <w:rPr>
          <w:b/>
          <w:i w:val="0"/>
          <w:color w:val="auto"/>
          <w:sz w:val="22"/>
          <w:szCs w:val="22"/>
        </w:rPr>
        <w:t xml:space="preserve"> Figure S5</w:t>
      </w:r>
      <w:r w:rsidRPr="00C03C35">
        <w:rPr>
          <w:i w:val="0"/>
          <w:color w:val="auto"/>
          <w:sz w:val="22"/>
          <w:szCs w:val="22"/>
        </w:rPr>
        <w:t>). Notably, ammonia and methanol production costs have increased steadily since 2020, due to the rising inflation as a consequence of the COVID-19 pandemic, with a sharp increase since February 2022, after the Russian invasion of Ukraine.</w:t>
      </w:r>
    </w:p>
    <w:p w14:paraId="687C05AE" w14:textId="77777777" w:rsidR="00BF17FF" w:rsidRPr="00C03C35" w:rsidRDefault="00BF17FF" w:rsidP="00BF17FF">
      <w:pPr>
        <w:keepNext/>
        <w:jc w:val="center"/>
        <w:rPr>
          <w:lang w:val="en-GB"/>
        </w:rPr>
      </w:pPr>
      <w:r w:rsidRPr="00C03C35">
        <w:rPr>
          <w:noProof/>
          <w:lang w:val="en-GB"/>
        </w:rPr>
        <w:drawing>
          <wp:inline distT="0" distB="0" distL="0" distR="0" wp14:anchorId="6471FB62" wp14:editId="03C5C209">
            <wp:extent cx="5751588" cy="3147066"/>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a.png"/>
                    <pic:cNvPicPr/>
                  </pic:nvPicPr>
                  <pic:blipFill>
                    <a:blip r:embed="rId13" cstate="print">
                      <a:extLst>
                        <a:ext uri="{28A0092B-C50C-407E-A947-70E740481C1C}">
                          <a14:useLocalDpi xmlns:a14="http://schemas.microsoft.com/office/drawing/2010/main"/>
                        </a:ext>
                      </a:extLst>
                    </a:blip>
                    <a:stretch>
                      <a:fillRect/>
                    </a:stretch>
                  </pic:blipFill>
                  <pic:spPr>
                    <a:xfrm>
                      <a:off x="0" y="0"/>
                      <a:ext cx="5751588" cy="3147066"/>
                    </a:xfrm>
                    <a:prstGeom prst="rect">
                      <a:avLst/>
                    </a:prstGeom>
                  </pic:spPr>
                </pic:pic>
              </a:graphicData>
            </a:graphic>
          </wp:inline>
        </w:drawing>
      </w:r>
    </w:p>
    <w:p w14:paraId="78F2D49A" w14:textId="77777777" w:rsidR="00BF17FF" w:rsidRPr="00C03C35" w:rsidRDefault="00BF17FF" w:rsidP="00BF17FF">
      <w:pPr>
        <w:pStyle w:val="Caption"/>
        <w:jc w:val="both"/>
        <w:rPr>
          <w:i w:val="0"/>
          <w:color w:val="auto"/>
          <w:sz w:val="20"/>
          <w:szCs w:val="20"/>
        </w:rPr>
      </w:pPr>
      <w:r w:rsidRPr="00C03C35">
        <w:rPr>
          <w:b/>
          <w:i w:val="0"/>
          <w:color w:val="auto"/>
          <w:sz w:val="20"/>
          <w:szCs w:val="20"/>
        </w:rPr>
        <w:t>Figure S6. Natural gas spot prices and production cost for fossil ammonia and methanol in Europe.</w:t>
      </w:r>
      <w:r w:rsidRPr="00C03C35">
        <w:rPr>
          <w:i w:val="0"/>
          <w:color w:val="auto"/>
          <w:sz w:val="20"/>
          <w:szCs w:val="20"/>
        </w:rPr>
        <w:t xml:space="preserve"> </w:t>
      </w:r>
      <w:r w:rsidRPr="00C03C35">
        <w:rPr>
          <w:b/>
          <w:bCs/>
          <w:i w:val="0"/>
          <w:color w:val="auto"/>
          <w:sz w:val="20"/>
          <w:szCs w:val="20"/>
        </w:rPr>
        <w:t>(a)</w:t>
      </w:r>
      <w:r w:rsidRPr="00C03C35">
        <w:rPr>
          <w:i w:val="0"/>
          <w:color w:val="auto"/>
          <w:sz w:val="20"/>
          <w:szCs w:val="20"/>
        </w:rPr>
        <w:t xml:space="preserve"> Fossil ammonia produced </w:t>
      </w:r>
      <w:r w:rsidRPr="00C03C35">
        <w:rPr>
          <w:color w:val="auto"/>
          <w:sz w:val="20"/>
          <w:szCs w:val="20"/>
        </w:rPr>
        <w:t>via</w:t>
      </w:r>
      <w:r w:rsidRPr="00C03C35">
        <w:rPr>
          <w:i w:val="0"/>
          <w:color w:val="auto"/>
          <w:sz w:val="20"/>
          <w:szCs w:val="20"/>
        </w:rPr>
        <w:t xml:space="preserve"> the Haber-Bosch process with grey hydrogen from steam methane reforming (SMR) using natural gas as feedstock. </w:t>
      </w:r>
      <w:r w:rsidRPr="00C03C35">
        <w:rPr>
          <w:b/>
          <w:bCs/>
          <w:i w:val="0"/>
          <w:color w:val="auto"/>
          <w:sz w:val="20"/>
          <w:szCs w:val="20"/>
        </w:rPr>
        <w:t>(b)</w:t>
      </w:r>
      <w:r w:rsidRPr="00C03C35">
        <w:rPr>
          <w:i w:val="0"/>
          <w:color w:val="auto"/>
          <w:sz w:val="20"/>
          <w:szCs w:val="20"/>
        </w:rPr>
        <w:t xml:space="preserve"> Fossil methanol synthesised from natural gas. </w:t>
      </w:r>
    </w:p>
    <w:p w14:paraId="16D30378" w14:textId="559C832F" w:rsidR="00BF17FF" w:rsidRPr="00C03C35" w:rsidRDefault="00BF17FF" w:rsidP="00BF17FF">
      <w:pPr>
        <w:jc w:val="both"/>
        <w:rPr>
          <w:rFonts w:cstheme="minorHAnsi"/>
          <w:lang w:val="en-GB"/>
        </w:rPr>
      </w:pPr>
      <w:r w:rsidRPr="00C03C35">
        <w:rPr>
          <w:rFonts w:cstheme="minorHAnsi"/>
          <w:lang w:val="en-GB"/>
        </w:rPr>
        <w:t>The cost of CO</w:t>
      </w:r>
      <w:r w:rsidRPr="00C03C35">
        <w:rPr>
          <w:rFonts w:cstheme="minorHAnsi"/>
          <w:vertAlign w:val="subscript"/>
          <w:lang w:val="en-GB"/>
        </w:rPr>
        <w:t>2</w:t>
      </w:r>
      <w:r w:rsidRPr="00C03C35">
        <w:rPr>
          <w:rFonts w:cstheme="minorHAnsi"/>
          <w:lang w:val="en-GB"/>
        </w:rPr>
        <w:t xml:space="preserve"> from Direct Air Capture (DAC) is taken from Keith </w:t>
      </w:r>
      <w:r w:rsidRPr="00C03C35">
        <w:rPr>
          <w:rFonts w:cstheme="minorHAnsi"/>
          <w:i/>
          <w:iCs/>
          <w:lang w:val="en-GB"/>
        </w:rPr>
        <w:t>et al</w:t>
      </w:r>
      <w:r w:rsidRPr="00C03C35">
        <w:rPr>
          <w:rFonts w:cstheme="minorHAnsi"/>
          <w:lang w:val="en-GB"/>
        </w:rPr>
        <w:t>.</w:t>
      </w:r>
      <w:r w:rsidRPr="00C03C35">
        <w:rPr>
          <w:rFonts w:cstheme="minorHAnsi"/>
          <w:lang w:val="en-GB"/>
        </w:rPr>
        <w:fldChar w:fldCharType="begin"/>
      </w:r>
      <w:r w:rsidR="003070D5">
        <w:rPr>
          <w:rFonts w:cstheme="minorHAnsi"/>
          <w:lang w:val="en-GB"/>
        </w:rPr>
        <w:instrText xml:space="preserve"> ADDIN ZOTERO_ITEM CSL_CITATION {"citationID":"9x8fDhED","properties":{"formattedCitation":"\\super 5\\nosupersub{}","plainCitation":"5","noteIndex":0},"citationItems":[{"id":"dHwHotKY/pOnJPbl1","uris":["http://zotero.org/users/9157291/items/SHKUDHUW"],"itemData":{"id":9964,"type":"article-journal","abstract":"We describe a process for capturing CO2 from the atmosphere in an industrial plant. The design captures </w:instrText>
      </w:r>
      <w:r w:rsidR="003070D5">
        <w:rPr>
          <w:rFonts w:ascii="Cambria Math" w:hAnsi="Cambria Math" w:cs="Cambria Math"/>
          <w:lang w:val="en-GB"/>
        </w:rPr>
        <w:instrText>∼</w:instrText>
      </w:r>
      <w:r w:rsidR="003070D5">
        <w:rPr>
          <w:rFonts w:cstheme="minorHAnsi"/>
          <w:lang w:val="en-GB"/>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Pr="00C03C35">
        <w:rPr>
          <w:rFonts w:cstheme="minorHAnsi"/>
          <w:lang w:val="en-GB"/>
        </w:rPr>
        <w:fldChar w:fldCharType="separate"/>
      </w:r>
      <w:r w:rsidRPr="00C03C35">
        <w:rPr>
          <w:rFonts w:ascii="Calibri" w:hAnsi="Calibri" w:cs="Calibri"/>
          <w:szCs w:val="24"/>
          <w:vertAlign w:val="superscript"/>
          <w:lang w:val="en-GB"/>
        </w:rPr>
        <w:t>5</w:t>
      </w:r>
      <w:r w:rsidRPr="00C03C35">
        <w:rPr>
          <w:rFonts w:cstheme="minorHAnsi"/>
          <w:lang w:val="en-GB"/>
        </w:rPr>
        <w:fldChar w:fldCharType="end"/>
      </w:r>
      <w:r w:rsidRPr="00C03C35">
        <w:rPr>
          <w:rFonts w:cstheme="minorHAnsi"/>
          <w:lang w:val="en-GB"/>
        </w:rPr>
        <w:t xml:space="preserve">  and updated with the new natural gas and electricity prices, thus obtaining the monthly cost shown in </w:t>
      </w:r>
      <w:r w:rsidRPr="00C03C35">
        <w:rPr>
          <w:rFonts w:cstheme="minorHAnsi"/>
          <w:b/>
          <w:lang w:val="en-GB"/>
        </w:rPr>
        <w:t>Figure S11</w:t>
      </w:r>
      <w:r w:rsidRPr="00C03C35">
        <w:rPr>
          <w:rFonts w:cstheme="minorHAnsi"/>
          <w:lang w:val="en-GB"/>
        </w:rPr>
        <w:t>. This is done by subtracting the cost of these two energy inputs at the prices in the original reference, and adding the updated values at the prices considered in this work. It should be noted that the price of CO</w:t>
      </w:r>
      <w:r w:rsidRPr="00C03C35">
        <w:rPr>
          <w:rFonts w:cstheme="minorHAnsi"/>
          <w:vertAlign w:val="subscript"/>
          <w:lang w:val="en-GB"/>
        </w:rPr>
        <w:t>2</w:t>
      </w:r>
      <w:r w:rsidRPr="00C03C35">
        <w:rPr>
          <w:rFonts w:cstheme="minorHAnsi"/>
          <w:lang w:val="en-GB"/>
        </w:rPr>
        <w:t xml:space="preserve"> capture is highly influenced by the natural gas and electricity prices as around 0.1 kg of natural gas and 77 kWh of electricity is required per kg of CO</w:t>
      </w:r>
      <w:r w:rsidRPr="00C03C35">
        <w:rPr>
          <w:rFonts w:cstheme="minorHAnsi"/>
          <w:vertAlign w:val="subscript"/>
          <w:lang w:val="en-GB"/>
        </w:rPr>
        <w:t>2</w:t>
      </w:r>
      <w:r w:rsidRPr="00C03C35">
        <w:rPr>
          <w:rFonts w:cstheme="minorHAnsi"/>
          <w:lang w:val="en-GB"/>
        </w:rPr>
        <w:t xml:space="preserve"> captured.</w:t>
      </w:r>
    </w:p>
    <w:p w14:paraId="24C72336" w14:textId="57B66BB9" w:rsidR="00B945D5" w:rsidRPr="00C03C35" w:rsidRDefault="00B945D5" w:rsidP="00B945D5">
      <w:pPr>
        <w:pStyle w:val="Heading3"/>
        <w:rPr>
          <w:lang w:val="en-GB"/>
        </w:rPr>
      </w:pPr>
      <w:r w:rsidRPr="00C03C35">
        <w:rPr>
          <w:lang w:val="en-GB"/>
        </w:rPr>
        <w:t xml:space="preserve">2.4. Data for </w:t>
      </w:r>
      <w:r w:rsidR="007A0C39" w:rsidRPr="00C03C35">
        <w:rPr>
          <w:lang w:val="en-GB"/>
        </w:rPr>
        <w:t>levelised cost of hydrogen (LCOH)</w:t>
      </w:r>
      <w:r w:rsidRPr="00C03C35">
        <w:rPr>
          <w:lang w:val="en-GB"/>
        </w:rPr>
        <w:t xml:space="preserve"> calculations</w:t>
      </w:r>
    </w:p>
    <w:p w14:paraId="3838DF3F" w14:textId="1FEB2561" w:rsidR="00BF17FF" w:rsidRPr="00C03C35" w:rsidRDefault="00BF17FF" w:rsidP="00BF17FF">
      <w:pPr>
        <w:jc w:val="both"/>
        <w:rPr>
          <w:lang w:val="en-GB"/>
        </w:rPr>
      </w:pPr>
      <w:r w:rsidRPr="00C03C35">
        <w:rPr>
          <w:lang w:val="en-GB"/>
        </w:rPr>
        <w:t>The levelised cost of hydrogen (LCOH) is calculated as in D’Angelo </w:t>
      </w:r>
      <w:r w:rsidRPr="00C03C35">
        <w:rPr>
          <w:i/>
          <w:iCs/>
          <w:lang w:val="en-GB"/>
        </w:rPr>
        <w:t>et al</w:t>
      </w:r>
      <w:r w:rsidRPr="00C03C35">
        <w:rPr>
          <w:lang w:val="en-GB"/>
        </w:rPr>
        <w:t>.</w:t>
      </w:r>
      <w:r w:rsidRPr="00C03C35">
        <w:rPr>
          <w:rFonts w:cstheme="minorHAnsi"/>
          <w:i/>
          <w:lang w:val="en-GB"/>
        </w:rPr>
        <w:fldChar w:fldCharType="begin"/>
      </w:r>
      <w:r w:rsidR="003070D5">
        <w:rPr>
          <w:rFonts w:cstheme="minorHAnsi"/>
          <w:i/>
          <w:lang w:val="en-GB"/>
        </w:rPr>
        <w:instrText xml:space="preserve"> ADDIN ZOTERO_ITEM CSL_CITATION {"citationID":"84HsVPw3","properties":{"formattedCitation":"\\super 1\\nosupersub{}","plainCitation":"1","noteIndex":0},"citationItems":[{"id":"dHwHotKY/5mm4tg0v","uris":["http://zotero.org/users/9157291/items/AFKW7KRC"],"itemData":{"id":3860,"type":"article-journal","abstract":"At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Pr="00C03C35">
        <w:rPr>
          <w:rFonts w:cstheme="minorHAnsi"/>
          <w:i/>
          <w:lang w:val="en-GB"/>
        </w:rPr>
        <w:fldChar w:fldCharType="separate"/>
      </w:r>
      <w:r w:rsidRPr="00C03C35">
        <w:rPr>
          <w:rFonts w:ascii="Calibri" w:hAnsi="Calibri" w:cs="Calibri"/>
          <w:szCs w:val="24"/>
          <w:vertAlign w:val="superscript"/>
          <w:lang w:val="en-GB"/>
        </w:rPr>
        <w:t>1</w:t>
      </w:r>
      <w:r w:rsidRPr="00C03C35">
        <w:rPr>
          <w:rFonts w:cstheme="minorHAnsi"/>
          <w:i/>
          <w:lang w:val="en-GB"/>
        </w:rPr>
        <w:fldChar w:fldCharType="end"/>
      </w:r>
      <w:r w:rsidRPr="00C03C35">
        <w:rPr>
          <w:lang w:val="en-GB"/>
        </w:rPr>
        <w:t xml:space="preserve"> A Proton Exchange Membrane (PEM) electrolyser with a stack lifetime of 60,000 hours is considered for the analysis.</w:t>
      </w:r>
      <w:r w:rsidRPr="00C03C35">
        <w:rPr>
          <w:rFonts w:cstheme="minorHAnsi"/>
          <w:i/>
          <w:lang w:val="en-GB"/>
        </w:rPr>
        <w:fldChar w:fldCharType="begin"/>
      </w:r>
      <w:r w:rsidR="003070D5">
        <w:rPr>
          <w:rFonts w:cstheme="minorHAnsi"/>
          <w:i/>
          <w:lang w:val="en-GB"/>
        </w:rPr>
        <w:instrText xml:space="preserve"> ADDIN ZOTERO_ITEM CSL_CITATION {"citationID":"qqigcUbf","properties":{"formattedCitation":"\\super 1\\nosupersub{}","plainCitation":"1","noteIndex":0},"citationItems":[{"id":"dHwHotKY/5mm4tg0v","uris":["http://zotero.org/users/9157291/items/AFKW7KRC"],"itemData":{"id":3860,"type":"article-journal","abstract":"At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Pr="00C03C35">
        <w:rPr>
          <w:rFonts w:cstheme="minorHAnsi"/>
          <w:i/>
          <w:lang w:val="en-GB"/>
        </w:rPr>
        <w:fldChar w:fldCharType="separate"/>
      </w:r>
      <w:r w:rsidRPr="00C03C35">
        <w:rPr>
          <w:rFonts w:ascii="Calibri" w:hAnsi="Calibri" w:cs="Calibri"/>
          <w:szCs w:val="24"/>
          <w:vertAlign w:val="superscript"/>
          <w:lang w:val="en-GB"/>
        </w:rPr>
        <w:t>1</w:t>
      </w:r>
      <w:r w:rsidRPr="00C03C35">
        <w:rPr>
          <w:rFonts w:cstheme="minorHAnsi"/>
          <w:i/>
          <w:lang w:val="en-GB"/>
        </w:rPr>
        <w:fldChar w:fldCharType="end"/>
      </w:r>
      <w:r w:rsidRPr="00C03C35">
        <w:rPr>
          <w:lang w:val="en-GB"/>
        </w:rPr>
        <w:t xml:space="preserve"> The parameters used to calculate the LCOH are shown in </w:t>
      </w:r>
      <w:r w:rsidRPr="00C03C35">
        <w:rPr>
          <w:b/>
          <w:lang w:val="en-GB"/>
        </w:rPr>
        <w:t>Table S5</w:t>
      </w:r>
      <w:r w:rsidRPr="00C03C35">
        <w:rPr>
          <w:lang w:val="en-GB"/>
        </w:rPr>
        <w:t>.</w:t>
      </w:r>
    </w:p>
    <w:p w14:paraId="78D946C1" w14:textId="465AA03A" w:rsidR="00BF17FF" w:rsidRPr="00C03C35" w:rsidRDefault="00BF17FF" w:rsidP="00BF17FF">
      <w:pPr>
        <w:pStyle w:val="Caption"/>
        <w:keepNext/>
        <w:spacing w:after="0"/>
        <w:jc w:val="both"/>
        <w:rPr>
          <w:i w:val="0"/>
          <w:iCs w:val="0"/>
          <w:color w:val="auto"/>
          <w:sz w:val="20"/>
          <w:szCs w:val="20"/>
        </w:rPr>
      </w:pPr>
      <w:bookmarkStart w:id="8" w:name="_Ref127893863"/>
      <w:r w:rsidRPr="00C03C35">
        <w:rPr>
          <w:b/>
          <w:i w:val="0"/>
          <w:color w:val="auto"/>
          <w:sz w:val="20"/>
          <w:szCs w:val="20"/>
        </w:rPr>
        <w:lastRenderedPageBreak/>
        <w:t>Table S</w:t>
      </w:r>
      <w:r w:rsidRPr="00C03C35">
        <w:rPr>
          <w:b/>
          <w:i w:val="0"/>
          <w:color w:val="auto"/>
          <w:sz w:val="20"/>
          <w:szCs w:val="20"/>
        </w:rPr>
        <w:fldChar w:fldCharType="begin"/>
      </w:r>
      <w:r w:rsidRPr="00C03C35">
        <w:rPr>
          <w:b/>
          <w:i w:val="0"/>
          <w:color w:val="auto"/>
          <w:sz w:val="20"/>
          <w:szCs w:val="20"/>
        </w:rPr>
        <w:instrText xml:space="preserve"> SEQ Table_S \* ARABIC </w:instrText>
      </w:r>
      <w:r w:rsidRPr="00C03C35">
        <w:rPr>
          <w:b/>
          <w:i w:val="0"/>
          <w:color w:val="auto"/>
          <w:sz w:val="20"/>
          <w:szCs w:val="20"/>
        </w:rPr>
        <w:fldChar w:fldCharType="separate"/>
      </w:r>
      <w:r w:rsidR="003B7BCC">
        <w:rPr>
          <w:b/>
          <w:i w:val="0"/>
          <w:noProof/>
          <w:color w:val="auto"/>
          <w:sz w:val="20"/>
          <w:szCs w:val="20"/>
        </w:rPr>
        <w:t>5</w:t>
      </w:r>
      <w:r w:rsidRPr="00C03C35">
        <w:rPr>
          <w:b/>
          <w:i w:val="0"/>
          <w:color w:val="auto"/>
          <w:sz w:val="20"/>
          <w:szCs w:val="20"/>
        </w:rPr>
        <w:fldChar w:fldCharType="end"/>
      </w:r>
      <w:bookmarkEnd w:id="8"/>
      <w:r w:rsidRPr="00C03C35">
        <w:rPr>
          <w:b/>
          <w:i w:val="0"/>
          <w:color w:val="auto"/>
          <w:sz w:val="20"/>
          <w:szCs w:val="20"/>
        </w:rPr>
        <w:t xml:space="preserve">. </w:t>
      </w:r>
      <w:r w:rsidRPr="00C03C35">
        <w:rPr>
          <w:b/>
          <w:bCs/>
          <w:i w:val="0"/>
          <w:iCs w:val="0"/>
          <w:color w:val="auto"/>
          <w:sz w:val="20"/>
          <w:szCs w:val="20"/>
        </w:rPr>
        <w:t>Parameters for the Proton Exchange Membrane (PEM) electrolyser</w:t>
      </w:r>
      <w:r w:rsidR="004E2BAE">
        <w:rPr>
          <w:b/>
          <w:bCs/>
          <w:i w:val="0"/>
          <w:iCs w:val="0"/>
          <w:color w:val="auto"/>
          <w:sz w:val="20"/>
          <w:szCs w:val="20"/>
        </w:rPr>
        <w:t>.</w:t>
      </w:r>
      <w:r w:rsidR="009009A9" w:rsidRPr="00BB0DCA">
        <w:rPr>
          <w:b/>
          <w:bCs/>
          <w:i w:val="0"/>
          <w:iCs w:val="0"/>
          <w:color w:val="auto"/>
          <w:sz w:val="20"/>
          <w:szCs w:val="20"/>
        </w:rPr>
        <w:fldChar w:fldCharType="begin"/>
      </w:r>
      <w:r w:rsidR="003070D5">
        <w:rPr>
          <w:b/>
          <w:bCs/>
          <w:i w:val="0"/>
          <w:iCs w:val="0"/>
          <w:color w:val="auto"/>
          <w:sz w:val="20"/>
          <w:szCs w:val="20"/>
        </w:rPr>
        <w:instrText xml:space="preserve"> ADDIN ZOTERO_ITEM CSL_CITATION {"citationID":"1qlr6XQK","properties":{"formattedCitation":"\\super 1\\nosupersub{}","plainCitation":"1","noteIndex":0},"citationItems":[{"id":"dHwHotKY/5mm4tg0v","uris":["http://zotero.org/users/9157291/items/AFKW7KRC"],"itemData":{"id":"ZJCBetN2/AfjeQXto","type":"article-journal","abstract":"At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9009A9" w:rsidRPr="00BB0DCA">
        <w:rPr>
          <w:b/>
          <w:bCs/>
          <w:i w:val="0"/>
          <w:iCs w:val="0"/>
          <w:color w:val="auto"/>
          <w:sz w:val="20"/>
          <w:szCs w:val="20"/>
        </w:rPr>
        <w:fldChar w:fldCharType="separate"/>
      </w:r>
      <w:r w:rsidR="009009A9" w:rsidRPr="00BB0DCA">
        <w:rPr>
          <w:rFonts w:ascii="Calibri" w:hAnsi="Calibri" w:cs="Calibri"/>
          <w:i w:val="0"/>
          <w:color w:val="auto"/>
          <w:sz w:val="20"/>
          <w:szCs w:val="24"/>
          <w:vertAlign w:val="superscript"/>
        </w:rPr>
        <w:t>1</w:t>
      </w:r>
      <w:r w:rsidR="009009A9" w:rsidRPr="00BB0DCA">
        <w:rPr>
          <w:b/>
          <w:bCs/>
          <w:i w:val="0"/>
          <w:iCs w:val="0"/>
          <w:color w:val="auto"/>
          <w:sz w:val="20"/>
          <w:szCs w:val="20"/>
        </w:rPr>
        <w:fldChar w:fldCharType="end"/>
      </w:r>
      <w:r w:rsidRPr="00C03C35">
        <w:rPr>
          <w:b/>
          <w:bCs/>
          <w:i w:val="0"/>
          <w:iCs w:val="0"/>
          <w:color w:val="auto"/>
          <w:sz w:val="20"/>
          <w:szCs w:val="20"/>
        </w:rPr>
        <w:t xml:space="preserve"> </w:t>
      </w:r>
      <w:r w:rsidRPr="00C03C35">
        <w:rPr>
          <w:i w:val="0"/>
          <w:iCs w:val="0"/>
          <w:color w:val="auto"/>
          <w:sz w:val="20"/>
          <w:szCs w:val="20"/>
        </w:rPr>
        <w:t>All values are in reference to the year 2019. These values are used to calculate the levelised cost of hydrogen using the methodology explained further.</w:t>
      </w:r>
    </w:p>
    <w:p w14:paraId="427C5645" w14:textId="77777777" w:rsidR="00BF17FF" w:rsidRPr="00C03C35" w:rsidRDefault="00BF17FF" w:rsidP="00BF17FF">
      <w:pPr>
        <w:keepNext/>
        <w:spacing w:after="0"/>
        <w:rPr>
          <w:lang w:val="en-GB"/>
        </w:rPr>
      </w:pPr>
    </w:p>
    <w:tbl>
      <w:tblPr>
        <w:tblStyle w:val="TableGrid"/>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61"/>
        <w:gridCol w:w="994"/>
      </w:tblGrid>
      <w:tr w:rsidR="00BF17FF" w:rsidRPr="00C03C35" w14:paraId="421AC620" w14:textId="77777777" w:rsidTr="00BF17FF">
        <w:trPr>
          <w:jc w:val="center"/>
        </w:trPr>
        <w:tc>
          <w:tcPr>
            <w:tcW w:w="5361" w:type="dxa"/>
            <w:tcBorders>
              <w:bottom w:val="single" w:sz="4" w:space="0" w:color="auto"/>
            </w:tcBorders>
          </w:tcPr>
          <w:p w14:paraId="37066E28" w14:textId="77777777" w:rsidR="00BF17FF" w:rsidRPr="00C03C35" w:rsidRDefault="00BF17FF" w:rsidP="00BF17FF">
            <w:pPr>
              <w:keepNext/>
              <w:jc w:val="both"/>
              <w:rPr>
                <w:rFonts w:cstheme="minorHAnsi"/>
                <w:b/>
                <w:bCs/>
                <w:sz w:val="20"/>
                <w:szCs w:val="20"/>
                <w:lang w:val="en-GB"/>
              </w:rPr>
            </w:pPr>
            <w:r w:rsidRPr="00C03C35">
              <w:rPr>
                <w:rFonts w:cstheme="minorHAnsi"/>
                <w:b/>
                <w:bCs/>
                <w:sz w:val="20"/>
                <w:szCs w:val="20"/>
                <w:lang w:val="en-GB"/>
              </w:rPr>
              <w:t>Component</w:t>
            </w:r>
          </w:p>
        </w:tc>
        <w:tc>
          <w:tcPr>
            <w:tcW w:w="994" w:type="dxa"/>
            <w:tcBorders>
              <w:bottom w:val="single" w:sz="4" w:space="0" w:color="auto"/>
            </w:tcBorders>
          </w:tcPr>
          <w:p w14:paraId="0CBCCD40" w14:textId="77777777" w:rsidR="00BF17FF" w:rsidRPr="00C03C35" w:rsidRDefault="00BF17FF" w:rsidP="00BF17FF">
            <w:pPr>
              <w:keepNext/>
              <w:jc w:val="both"/>
              <w:rPr>
                <w:rFonts w:cstheme="minorHAnsi"/>
                <w:b/>
                <w:bCs/>
                <w:sz w:val="20"/>
                <w:szCs w:val="20"/>
                <w:lang w:val="en-GB"/>
              </w:rPr>
            </w:pPr>
            <w:r w:rsidRPr="00C03C35">
              <w:rPr>
                <w:rFonts w:cstheme="minorHAnsi"/>
                <w:b/>
                <w:bCs/>
                <w:sz w:val="20"/>
                <w:szCs w:val="20"/>
                <w:lang w:val="en-GB"/>
              </w:rPr>
              <w:t>Value</w:t>
            </w:r>
          </w:p>
        </w:tc>
      </w:tr>
      <w:tr w:rsidR="00BF17FF" w:rsidRPr="00C03C35" w14:paraId="7D7464B8" w14:textId="77777777" w:rsidTr="00BF17FF">
        <w:trPr>
          <w:jc w:val="center"/>
        </w:trPr>
        <w:tc>
          <w:tcPr>
            <w:tcW w:w="5361" w:type="dxa"/>
            <w:tcBorders>
              <w:top w:val="single" w:sz="4" w:space="0" w:color="auto"/>
            </w:tcBorders>
          </w:tcPr>
          <w:p w14:paraId="182F841B"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Nominal input power [kW]</w:t>
            </w:r>
          </w:p>
        </w:tc>
        <w:tc>
          <w:tcPr>
            <w:tcW w:w="994" w:type="dxa"/>
            <w:tcBorders>
              <w:top w:val="single" w:sz="4" w:space="0" w:color="auto"/>
            </w:tcBorders>
          </w:tcPr>
          <w:p w14:paraId="71EBC869"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5,000</w:t>
            </w:r>
          </w:p>
        </w:tc>
      </w:tr>
      <w:tr w:rsidR="00BF17FF" w:rsidRPr="00C03C35" w14:paraId="29B42A4D" w14:textId="77777777" w:rsidTr="00BF17FF">
        <w:trPr>
          <w:jc w:val="center"/>
        </w:trPr>
        <w:tc>
          <w:tcPr>
            <w:tcW w:w="5361" w:type="dxa"/>
          </w:tcPr>
          <w:p w14:paraId="7548DB5B"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Nominal hydrogen flow [kg h</w:t>
            </w:r>
            <w:r w:rsidRPr="00C03C35">
              <w:rPr>
                <w:rFonts w:cstheme="minorHAnsi"/>
                <w:sz w:val="20"/>
                <w:szCs w:val="20"/>
                <w:vertAlign w:val="superscript"/>
                <w:lang w:val="en-GB"/>
              </w:rPr>
              <w:t>–1</w:t>
            </w:r>
            <w:r w:rsidRPr="00C03C35">
              <w:rPr>
                <w:rFonts w:cstheme="minorHAnsi"/>
                <w:sz w:val="20"/>
                <w:szCs w:val="20"/>
                <w:lang w:val="en-GB"/>
              </w:rPr>
              <w:t>]</w:t>
            </w:r>
          </w:p>
        </w:tc>
        <w:tc>
          <w:tcPr>
            <w:tcW w:w="994" w:type="dxa"/>
          </w:tcPr>
          <w:p w14:paraId="07141D49"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90</w:t>
            </w:r>
          </w:p>
        </w:tc>
      </w:tr>
      <w:tr w:rsidR="00BF17FF" w:rsidRPr="00C03C35" w14:paraId="7D4B0D5A" w14:textId="77777777" w:rsidTr="00BF17FF">
        <w:trPr>
          <w:jc w:val="center"/>
        </w:trPr>
        <w:tc>
          <w:tcPr>
            <w:tcW w:w="5361" w:type="dxa"/>
          </w:tcPr>
          <w:p w14:paraId="7FC788F6"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Stack lifetime [h]</w:t>
            </w:r>
          </w:p>
        </w:tc>
        <w:tc>
          <w:tcPr>
            <w:tcW w:w="994" w:type="dxa"/>
          </w:tcPr>
          <w:p w14:paraId="24DE4007"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60,000</w:t>
            </w:r>
          </w:p>
        </w:tc>
      </w:tr>
      <w:tr w:rsidR="00BF17FF" w:rsidRPr="00C03C35" w14:paraId="6BD6E7CA" w14:textId="77777777" w:rsidTr="00BF17FF">
        <w:trPr>
          <w:jc w:val="center"/>
        </w:trPr>
        <w:tc>
          <w:tcPr>
            <w:tcW w:w="5361" w:type="dxa"/>
          </w:tcPr>
          <w:p w14:paraId="434C3A78"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Power demand electrolyser [kWh Nm</w:t>
            </w:r>
            <w:r w:rsidRPr="00C03C35">
              <w:rPr>
                <w:rFonts w:cstheme="minorHAnsi"/>
                <w:sz w:val="20"/>
                <w:szCs w:val="20"/>
                <w:vertAlign w:val="superscript"/>
                <w:lang w:val="en-GB"/>
              </w:rPr>
              <w:t>–3</w:t>
            </w:r>
            <w:r w:rsidRPr="00C03C35">
              <w:rPr>
                <w:rFonts w:cstheme="minorHAnsi"/>
                <w:sz w:val="20"/>
                <w:szCs w:val="20"/>
                <w:lang w:val="en-GB"/>
              </w:rPr>
              <w:t xml:space="preserve"> H</w:t>
            </w:r>
            <w:r w:rsidRPr="00C03C35">
              <w:rPr>
                <w:rFonts w:cstheme="minorHAnsi"/>
                <w:sz w:val="20"/>
                <w:szCs w:val="20"/>
                <w:vertAlign w:val="subscript"/>
                <w:lang w:val="en-GB"/>
              </w:rPr>
              <w:t>2</w:t>
            </w:r>
            <w:r w:rsidRPr="00C03C35">
              <w:rPr>
                <w:rFonts w:cstheme="minorHAnsi"/>
                <w:sz w:val="20"/>
                <w:szCs w:val="20"/>
                <w:lang w:val="en-GB"/>
              </w:rPr>
              <w:t>]</w:t>
            </w:r>
          </w:p>
        </w:tc>
        <w:tc>
          <w:tcPr>
            <w:tcW w:w="994" w:type="dxa"/>
          </w:tcPr>
          <w:p w14:paraId="5E6BE256"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5</w:t>
            </w:r>
          </w:p>
        </w:tc>
      </w:tr>
      <w:tr w:rsidR="00BF17FF" w:rsidRPr="00C03C35" w14:paraId="6B339418" w14:textId="77777777" w:rsidTr="00BF17FF">
        <w:trPr>
          <w:jc w:val="center"/>
        </w:trPr>
        <w:tc>
          <w:tcPr>
            <w:tcW w:w="5361" w:type="dxa"/>
          </w:tcPr>
          <w:p w14:paraId="2E871576"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Capital cost [USD kW</w:t>
            </w:r>
            <w:r w:rsidRPr="00C03C35">
              <w:rPr>
                <w:rFonts w:cstheme="minorHAnsi"/>
                <w:sz w:val="20"/>
                <w:szCs w:val="20"/>
                <w:vertAlign w:val="superscript"/>
                <w:lang w:val="en-GB"/>
              </w:rPr>
              <w:t>–1</w:t>
            </w:r>
            <w:r w:rsidRPr="00C03C35">
              <w:rPr>
                <w:rFonts w:cstheme="minorHAnsi"/>
                <w:sz w:val="20"/>
                <w:szCs w:val="20"/>
                <w:lang w:val="en-GB"/>
              </w:rPr>
              <w:t>]</w:t>
            </w:r>
          </w:p>
        </w:tc>
        <w:tc>
          <w:tcPr>
            <w:tcW w:w="994" w:type="dxa"/>
          </w:tcPr>
          <w:p w14:paraId="0F4F2B0F"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1,124</w:t>
            </w:r>
          </w:p>
        </w:tc>
      </w:tr>
      <w:tr w:rsidR="00BF17FF" w:rsidRPr="00C03C35" w14:paraId="7A2F32FA" w14:textId="77777777" w:rsidTr="00BF17FF">
        <w:trPr>
          <w:jc w:val="center"/>
        </w:trPr>
        <w:tc>
          <w:tcPr>
            <w:tcW w:w="5361" w:type="dxa"/>
          </w:tcPr>
          <w:p w14:paraId="34C55F05"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Interest rate [%]</w:t>
            </w:r>
          </w:p>
        </w:tc>
        <w:tc>
          <w:tcPr>
            <w:tcW w:w="994" w:type="dxa"/>
          </w:tcPr>
          <w:p w14:paraId="12DB17DD"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6.4</w:t>
            </w:r>
          </w:p>
        </w:tc>
      </w:tr>
      <w:tr w:rsidR="00BF17FF" w:rsidRPr="00C03C35" w14:paraId="2E8B542F" w14:textId="77777777" w:rsidTr="00BF17FF">
        <w:trPr>
          <w:jc w:val="center"/>
        </w:trPr>
        <w:tc>
          <w:tcPr>
            <w:tcW w:w="5361" w:type="dxa"/>
          </w:tcPr>
          <w:p w14:paraId="7FC39BC6"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Other costs factor (fraction of initial CAPEX)</w:t>
            </w:r>
          </w:p>
        </w:tc>
        <w:tc>
          <w:tcPr>
            <w:tcW w:w="994" w:type="dxa"/>
          </w:tcPr>
          <w:p w14:paraId="0E3BFDFC"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0.04</w:t>
            </w:r>
          </w:p>
        </w:tc>
      </w:tr>
      <w:tr w:rsidR="00BF17FF" w:rsidRPr="00C03C35" w14:paraId="05C34BAF" w14:textId="77777777" w:rsidTr="00BF17FF">
        <w:trPr>
          <w:jc w:val="center"/>
        </w:trPr>
        <w:tc>
          <w:tcPr>
            <w:tcW w:w="5361" w:type="dxa"/>
          </w:tcPr>
          <w:p w14:paraId="32296C49"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Decommissioning factor (fraction of depreciable capital)</w:t>
            </w:r>
          </w:p>
        </w:tc>
        <w:tc>
          <w:tcPr>
            <w:tcW w:w="994" w:type="dxa"/>
          </w:tcPr>
          <w:p w14:paraId="7A2C04DB"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0.10</w:t>
            </w:r>
          </w:p>
        </w:tc>
      </w:tr>
      <w:tr w:rsidR="00BF17FF" w:rsidRPr="00C03C35" w14:paraId="06508436" w14:textId="77777777" w:rsidTr="00BF17FF">
        <w:trPr>
          <w:jc w:val="center"/>
        </w:trPr>
        <w:tc>
          <w:tcPr>
            <w:tcW w:w="5361" w:type="dxa"/>
          </w:tcPr>
          <w:p w14:paraId="303B3172"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Equipment replacement factor (fraction of initial CAPEX)</w:t>
            </w:r>
          </w:p>
        </w:tc>
        <w:tc>
          <w:tcPr>
            <w:tcW w:w="994" w:type="dxa"/>
          </w:tcPr>
          <w:p w14:paraId="69E4B715"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0.15</w:t>
            </w:r>
          </w:p>
        </w:tc>
      </w:tr>
      <w:tr w:rsidR="00BF17FF" w:rsidRPr="00C03C35" w14:paraId="13161A4E" w14:textId="77777777" w:rsidTr="00BF17FF">
        <w:trPr>
          <w:jc w:val="center"/>
        </w:trPr>
        <w:tc>
          <w:tcPr>
            <w:tcW w:w="5361" w:type="dxa"/>
          </w:tcPr>
          <w:p w14:paraId="59ECCE74"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Construction period [yr]</w:t>
            </w:r>
          </w:p>
        </w:tc>
        <w:tc>
          <w:tcPr>
            <w:tcW w:w="994" w:type="dxa"/>
          </w:tcPr>
          <w:p w14:paraId="6CB912E0"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2</w:t>
            </w:r>
          </w:p>
        </w:tc>
      </w:tr>
      <w:tr w:rsidR="00BF17FF" w:rsidRPr="00C03C35" w14:paraId="4A9EE5D3" w14:textId="77777777" w:rsidTr="00BF17FF">
        <w:trPr>
          <w:jc w:val="center"/>
        </w:trPr>
        <w:tc>
          <w:tcPr>
            <w:tcW w:w="5361" w:type="dxa"/>
          </w:tcPr>
          <w:p w14:paraId="51FBF0C9"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Start-up period [yr]</w:t>
            </w:r>
          </w:p>
        </w:tc>
        <w:tc>
          <w:tcPr>
            <w:tcW w:w="994" w:type="dxa"/>
          </w:tcPr>
          <w:p w14:paraId="49512FAD"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1</w:t>
            </w:r>
          </w:p>
        </w:tc>
      </w:tr>
      <w:tr w:rsidR="00BF17FF" w:rsidRPr="00C03C35" w14:paraId="27B3BCE3" w14:textId="77777777" w:rsidTr="00BF17FF">
        <w:trPr>
          <w:jc w:val="center"/>
        </w:trPr>
        <w:tc>
          <w:tcPr>
            <w:tcW w:w="5361" w:type="dxa"/>
          </w:tcPr>
          <w:p w14:paraId="4CE3B1A8"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Start-capacity [%]</w:t>
            </w:r>
          </w:p>
        </w:tc>
        <w:tc>
          <w:tcPr>
            <w:tcW w:w="994" w:type="dxa"/>
          </w:tcPr>
          <w:p w14:paraId="56236A59"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50</w:t>
            </w:r>
          </w:p>
        </w:tc>
      </w:tr>
      <w:tr w:rsidR="00C02FFC" w:rsidRPr="00C03C35" w14:paraId="6D623DCA" w14:textId="77777777" w:rsidTr="00BF17FF">
        <w:trPr>
          <w:jc w:val="center"/>
        </w:trPr>
        <w:tc>
          <w:tcPr>
            <w:tcW w:w="5361" w:type="dxa"/>
          </w:tcPr>
          <w:p w14:paraId="2352A77A" w14:textId="46099AA3" w:rsidR="00C02FFC" w:rsidRPr="00C03C35" w:rsidRDefault="00C02FFC" w:rsidP="00BF17FF">
            <w:pPr>
              <w:keepNext/>
              <w:jc w:val="both"/>
              <w:rPr>
                <w:rFonts w:cstheme="minorHAnsi"/>
                <w:sz w:val="20"/>
                <w:szCs w:val="20"/>
                <w:lang w:val="en-GB"/>
              </w:rPr>
            </w:pPr>
            <w:r>
              <w:rPr>
                <w:rFonts w:cstheme="minorHAnsi"/>
                <w:sz w:val="20"/>
                <w:szCs w:val="20"/>
                <w:lang w:val="en-GB"/>
              </w:rPr>
              <w:t>Capital investment allocation [%]</w:t>
            </w:r>
          </w:p>
        </w:tc>
        <w:tc>
          <w:tcPr>
            <w:tcW w:w="994" w:type="dxa"/>
          </w:tcPr>
          <w:p w14:paraId="34EFC4EB" w14:textId="7CFD619F" w:rsidR="00C02FFC" w:rsidRPr="00C03C35" w:rsidRDefault="00C02FFC" w:rsidP="00BF17FF">
            <w:pPr>
              <w:keepNext/>
              <w:jc w:val="both"/>
              <w:rPr>
                <w:rFonts w:cstheme="minorHAnsi"/>
                <w:sz w:val="20"/>
                <w:szCs w:val="20"/>
                <w:lang w:val="en-GB"/>
              </w:rPr>
            </w:pPr>
            <w:r>
              <w:rPr>
                <w:rFonts w:cstheme="minorHAnsi"/>
                <w:sz w:val="20"/>
                <w:szCs w:val="20"/>
                <w:lang w:val="en-GB"/>
              </w:rPr>
              <w:t>50</w:t>
            </w:r>
          </w:p>
        </w:tc>
      </w:tr>
      <w:tr w:rsidR="00BF17FF" w:rsidRPr="00C03C35" w14:paraId="41C6E375" w14:textId="77777777" w:rsidTr="00BF17FF">
        <w:trPr>
          <w:jc w:val="center"/>
        </w:trPr>
        <w:tc>
          <w:tcPr>
            <w:tcW w:w="5361" w:type="dxa"/>
          </w:tcPr>
          <w:p w14:paraId="3562212A"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Annual operation [h]</w:t>
            </w:r>
          </w:p>
        </w:tc>
        <w:tc>
          <w:tcPr>
            <w:tcW w:w="994" w:type="dxa"/>
          </w:tcPr>
          <w:p w14:paraId="109F13CA" w14:textId="77777777" w:rsidR="00BF17FF" w:rsidRPr="00C03C35" w:rsidRDefault="00BF17FF" w:rsidP="00BF17FF">
            <w:pPr>
              <w:keepNext/>
              <w:jc w:val="both"/>
              <w:rPr>
                <w:rFonts w:cstheme="minorHAnsi"/>
                <w:sz w:val="20"/>
                <w:szCs w:val="20"/>
                <w:lang w:val="en-GB"/>
              </w:rPr>
            </w:pPr>
            <w:r w:rsidRPr="00C03C35">
              <w:rPr>
                <w:rFonts w:cstheme="minorHAnsi"/>
                <w:sz w:val="20"/>
                <w:szCs w:val="20"/>
                <w:lang w:val="en-GB"/>
              </w:rPr>
              <w:t>8,760</w:t>
            </w:r>
          </w:p>
        </w:tc>
      </w:tr>
    </w:tbl>
    <w:p w14:paraId="0610C664" w14:textId="6B7D4A5C" w:rsidR="00BF17FF" w:rsidRPr="00C03C35" w:rsidRDefault="00BF17FF" w:rsidP="00BF17FF">
      <w:pPr>
        <w:spacing w:before="240"/>
        <w:jc w:val="both"/>
        <w:rPr>
          <w:rFonts w:eastAsiaTheme="minorEastAsia" w:cstheme="minorHAnsi"/>
          <w:i/>
          <w:iCs/>
          <w:lang w:val="en-GB"/>
        </w:rPr>
      </w:pPr>
      <w:r w:rsidRPr="00C03C35">
        <w:rPr>
          <w:lang w:val="en-GB"/>
        </w:rPr>
        <w:t>First, we calculate the life span of the PEM electrolyser using the stack lifetime and the capacity factors for the specific technology (on-shore wind or solar PV) from</w:t>
      </w:r>
      <w:r w:rsidRPr="00C03C35">
        <w:rPr>
          <w:b/>
          <w:lang w:val="en-GB"/>
        </w:rPr>
        <w:t xml:space="preserve"> Table S6</w:t>
      </w:r>
      <w:r w:rsidRPr="00C03C35">
        <w:rPr>
          <w:lang w:val="en-GB"/>
        </w:rPr>
        <w:t xml:space="preserve"> (</w:t>
      </w:r>
      <w:r w:rsidRPr="00C03C35">
        <w:rPr>
          <w:b/>
          <w:lang w:val="en-GB"/>
        </w:rPr>
        <w:t>Equation S1</w:t>
      </w:r>
      <w:r w:rsidRPr="00C03C35">
        <w:rPr>
          <w:lang w:val="en-GB"/>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8"/>
        <w:gridCol w:w="2212"/>
      </w:tblGrid>
      <w:tr w:rsidR="00BF17FF" w:rsidRPr="00C03C35" w14:paraId="1F6AF705" w14:textId="77777777" w:rsidTr="00BF17FF">
        <w:tc>
          <w:tcPr>
            <w:tcW w:w="3903" w:type="pct"/>
          </w:tcPr>
          <w:p w14:paraId="4C97975C" w14:textId="67926A88" w:rsidR="00BF17FF" w:rsidRPr="00C03C35" w:rsidRDefault="007120C6" w:rsidP="00BF17FF">
            <w:pPr>
              <w:rPr>
                <w:rFonts w:eastAsiaTheme="minorEastAsia" w:cstheme="minorHAnsi"/>
                <w:i/>
                <w:iCs/>
                <w:lang w:val="en-GB"/>
              </w:rPr>
            </w:pPr>
            <w:r w:rsidRPr="00C03C35">
              <w:rPr>
                <w:rFonts w:eastAsiaTheme="minorEastAsia" w:cstheme="minorHAnsi"/>
                <w:i/>
                <w:iCs/>
                <w:position w:val="-26"/>
                <w:lang w:val="en-GB"/>
              </w:rPr>
              <w:object w:dxaOrig="4740" w:dyaOrig="600" w14:anchorId="1A86E6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8.35pt;height:30pt" o:ole="">
                  <v:imagedata r:id="rId14" o:title=""/>
                </v:shape>
                <o:OLEObject Type="Embed" ProgID="Equation.DSMT4" ShapeID="_x0000_i1025" DrawAspect="Content" ObjectID="_1741773445" r:id="rId15"/>
              </w:object>
            </w:r>
          </w:p>
        </w:tc>
        <w:tc>
          <w:tcPr>
            <w:tcW w:w="1097" w:type="pct"/>
          </w:tcPr>
          <w:p w14:paraId="6E9684A1" w14:textId="77777777" w:rsidR="00BF17FF" w:rsidRPr="00C03C35" w:rsidRDefault="00BF17FF" w:rsidP="00BF17FF">
            <w:pPr>
              <w:jc w:val="right"/>
              <w:rPr>
                <w:rFonts w:eastAsiaTheme="minorEastAsia" w:cstheme="minorHAnsi"/>
                <w:b/>
                <w:iCs/>
                <w:sz w:val="20"/>
                <w:szCs w:val="20"/>
                <w:lang w:val="en-GB"/>
              </w:rPr>
            </w:pPr>
            <w:r w:rsidRPr="00C03C35">
              <w:rPr>
                <w:rFonts w:eastAsiaTheme="minorEastAsia" w:cstheme="minorHAnsi"/>
                <w:iCs/>
                <w:sz w:val="20"/>
                <w:szCs w:val="20"/>
                <w:lang w:val="en-GB"/>
              </w:rPr>
              <w:t>(</w:t>
            </w:r>
            <w:r w:rsidRPr="00C03C35">
              <w:rPr>
                <w:rFonts w:eastAsiaTheme="minorEastAsia" w:cstheme="minorHAnsi"/>
                <w:b/>
                <w:iCs/>
                <w:sz w:val="20"/>
                <w:szCs w:val="20"/>
                <w:lang w:val="en-GB"/>
              </w:rPr>
              <w:t>Equation S1</w:t>
            </w:r>
            <w:r w:rsidRPr="00C03C35">
              <w:rPr>
                <w:rFonts w:eastAsiaTheme="minorEastAsia" w:cstheme="minorHAnsi"/>
                <w:iCs/>
                <w:sz w:val="20"/>
                <w:szCs w:val="20"/>
                <w:lang w:val="en-GB"/>
              </w:rPr>
              <w:t>)</w:t>
            </w:r>
          </w:p>
        </w:tc>
      </w:tr>
      <w:tr w:rsidR="00BF17FF" w:rsidRPr="00C03C35" w14:paraId="498C44A7" w14:textId="77777777" w:rsidTr="00BF17FF">
        <w:tc>
          <w:tcPr>
            <w:tcW w:w="3903" w:type="pct"/>
          </w:tcPr>
          <w:p w14:paraId="65934F42" w14:textId="77777777" w:rsidR="00BF17FF" w:rsidRPr="00C03C35" w:rsidRDefault="00BF17FF" w:rsidP="00BF17FF">
            <w:pPr>
              <w:jc w:val="center"/>
              <w:rPr>
                <w:rFonts w:eastAsiaTheme="minorEastAsia" w:cstheme="minorHAnsi"/>
                <w:i/>
                <w:iCs/>
                <w:lang w:val="en-GB"/>
              </w:rPr>
            </w:pPr>
          </w:p>
        </w:tc>
        <w:tc>
          <w:tcPr>
            <w:tcW w:w="1097" w:type="pct"/>
          </w:tcPr>
          <w:p w14:paraId="5F548C03" w14:textId="77777777" w:rsidR="00BF17FF" w:rsidRPr="00C03C35" w:rsidRDefault="00BF17FF" w:rsidP="00BF17FF">
            <w:pPr>
              <w:jc w:val="center"/>
              <w:rPr>
                <w:rFonts w:eastAsiaTheme="minorEastAsia" w:cstheme="minorHAnsi"/>
                <w:iCs/>
                <w:sz w:val="20"/>
                <w:szCs w:val="20"/>
                <w:lang w:val="en-GB"/>
              </w:rPr>
            </w:pPr>
          </w:p>
        </w:tc>
      </w:tr>
    </w:tbl>
    <w:p w14:paraId="25329449" w14:textId="77777777" w:rsidR="00BF17FF" w:rsidRPr="00C03C35" w:rsidRDefault="00BF17FF" w:rsidP="00BF17FF">
      <w:pPr>
        <w:jc w:val="both"/>
        <w:rPr>
          <w:rFonts w:eastAsiaTheme="minorEastAsia" w:cstheme="minorHAnsi"/>
          <w:iCs/>
          <w:lang w:val="en-GB"/>
        </w:rPr>
      </w:pPr>
      <w:r w:rsidRPr="00C03C35">
        <w:rPr>
          <w:rFonts w:eastAsiaTheme="minorEastAsia" w:cstheme="minorHAnsi"/>
          <w:iCs/>
          <w:lang w:val="en-GB"/>
        </w:rPr>
        <w:t xml:space="preserve">The amount of hydrogen produced annually is then calculated assuming a nominal hydrogen flow per stack using </w:t>
      </w:r>
      <w:r w:rsidRPr="00C03C35">
        <w:rPr>
          <w:rFonts w:eastAsiaTheme="minorEastAsia" w:cstheme="minorHAnsi"/>
          <w:b/>
          <w:iCs/>
          <w:lang w:val="en-GB"/>
        </w:rPr>
        <w:t>Equation S2</w:t>
      </w:r>
      <w:r w:rsidRPr="00C03C35">
        <w:rPr>
          <w:rFonts w:eastAsiaTheme="minorEastAsia" w:cstheme="minorHAnsi"/>
          <w:iCs/>
          <w:lang w:val="en-GB"/>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3"/>
        <w:gridCol w:w="2127"/>
      </w:tblGrid>
      <w:tr w:rsidR="00BF17FF" w:rsidRPr="00C03C35" w14:paraId="0970C189" w14:textId="77777777" w:rsidTr="00BF17FF">
        <w:trPr>
          <w:jc w:val="center"/>
        </w:trPr>
        <w:tc>
          <w:tcPr>
            <w:tcW w:w="3945" w:type="pct"/>
          </w:tcPr>
          <w:p w14:paraId="206F714A" w14:textId="115C0E9E" w:rsidR="00BF17FF" w:rsidRPr="00C03C35" w:rsidRDefault="007120C6" w:rsidP="00BF17FF">
            <w:pPr>
              <w:jc w:val="both"/>
              <w:rPr>
                <w:rFonts w:eastAsiaTheme="minorEastAsia" w:cstheme="minorHAnsi"/>
                <w:i/>
                <w:lang w:val="en-GB"/>
              </w:rPr>
            </w:pPr>
            <w:r w:rsidRPr="00C03C35">
              <w:rPr>
                <w:rFonts w:ascii="Calibri" w:eastAsia="Times New Roman" w:hAnsi="Calibri" w:cs="Calibri"/>
                <w:position w:val="-26"/>
                <w:lang w:val="en-GB"/>
              </w:rPr>
              <w:object w:dxaOrig="5920" w:dyaOrig="600" w14:anchorId="4435CCC8">
                <v:shape id="_x0000_i1026" type="#_x0000_t75" style="width:298.35pt;height:30pt" o:ole="">
                  <v:imagedata r:id="rId16" o:title=""/>
                </v:shape>
                <o:OLEObject Type="Embed" ProgID="Equation.DSMT4" ShapeID="_x0000_i1026" DrawAspect="Content" ObjectID="_1741773446" r:id="rId17"/>
              </w:object>
            </w:r>
          </w:p>
        </w:tc>
        <w:tc>
          <w:tcPr>
            <w:tcW w:w="1055" w:type="pct"/>
          </w:tcPr>
          <w:p w14:paraId="6E59E345" w14:textId="77777777" w:rsidR="00BF17FF" w:rsidRPr="00C03C35" w:rsidRDefault="00BF17FF" w:rsidP="00BF17FF">
            <w:pPr>
              <w:jc w:val="right"/>
              <w:rPr>
                <w:rFonts w:eastAsiaTheme="minorEastAsia" w:cstheme="minorHAnsi"/>
                <w:iCs/>
                <w:sz w:val="20"/>
                <w:szCs w:val="20"/>
                <w:lang w:val="en-GB"/>
              </w:rPr>
            </w:pPr>
            <w:r w:rsidRPr="00C03C35">
              <w:rPr>
                <w:rFonts w:eastAsiaTheme="minorEastAsia" w:cstheme="minorHAnsi"/>
                <w:iCs/>
                <w:sz w:val="20"/>
                <w:szCs w:val="20"/>
                <w:lang w:val="en-GB"/>
              </w:rPr>
              <w:t>(</w:t>
            </w:r>
            <w:r w:rsidRPr="00C03C35">
              <w:rPr>
                <w:rFonts w:eastAsiaTheme="minorEastAsia" w:cstheme="minorHAnsi"/>
                <w:b/>
                <w:iCs/>
                <w:sz w:val="20"/>
                <w:szCs w:val="20"/>
                <w:lang w:val="en-GB"/>
              </w:rPr>
              <w:t>Equation S2</w:t>
            </w:r>
            <w:r w:rsidRPr="00C03C35">
              <w:rPr>
                <w:rFonts w:eastAsiaTheme="minorEastAsia" w:cstheme="minorHAnsi"/>
                <w:iCs/>
                <w:sz w:val="20"/>
                <w:szCs w:val="20"/>
                <w:lang w:val="en-GB"/>
              </w:rPr>
              <w:t>)</w:t>
            </w:r>
          </w:p>
        </w:tc>
      </w:tr>
      <w:tr w:rsidR="00BF17FF" w:rsidRPr="00C03C35" w14:paraId="22FF525F" w14:textId="77777777" w:rsidTr="00BF17FF">
        <w:trPr>
          <w:jc w:val="center"/>
        </w:trPr>
        <w:tc>
          <w:tcPr>
            <w:tcW w:w="3945" w:type="pct"/>
          </w:tcPr>
          <w:p w14:paraId="45BD54CC" w14:textId="77777777" w:rsidR="00BF17FF" w:rsidRPr="00C03C35" w:rsidRDefault="00BF17FF" w:rsidP="00BF17FF">
            <w:pPr>
              <w:jc w:val="center"/>
              <w:rPr>
                <w:rFonts w:ascii="Calibri" w:eastAsia="Times New Roman" w:hAnsi="Calibri" w:cs="Calibri"/>
                <w:lang w:val="en-GB"/>
              </w:rPr>
            </w:pPr>
          </w:p>
        </w:tc>
        <w:tc>
          <w:tcPr>
            <w:tcW w:w="1055" w:type="pct"/>
          </w:tcPr>
          <w:p w14:paraId="0B6B0083" w14:textId="77777777" w:rsidR="00BF17FF" w:rsidRPr="00C03C35" w:rsidRDefault="00BF17FF" w:rsidP="00BF17FF">
            <w:pPr>
              <w:jc w:val="center"/>
              <w:rPr>
                <w:rFonts w:eastAsiaTheme="minorEastAsia" w:cstheme="minorHAnsi"/>
                <w:b/>
                <w:iCs/>
                <w:sz w:val="20"/>
                <w:szCs w:val="20"/>
                <w:lang w:val="en-GB"/>
              </w:rPr>
            </w:pPr>
          </w:p>
        </w:tc>
      </w:tr>
    </w:tbl>
    <w:p w14:paraId="3807C381" w14:textId="10430472" w:rsidR="00BF17FF" w:rsidRPr="00C03C35" w:rsidRDefault="00BF17FF" w:rsidP="00BF17FF">
      <w:pPr>
        <w:jc w:val="both"/>
        <w:rPr>
          <w:rFonts w:eastAsiaTheme="minorEastAsia" w:cstheme="minorHAnsi"/>
          <w:iCs/>
          <w:lang w:val="en-GB"/>
        </w:rPr>
      </w:pPr>
      <w:r w:rsidRPr="00C03C35">
        <w:rPr>
          <w:rFonts w:eastAsiaTheme="minorEastAsia" w:cstheme="minorHAnsi"/>
          <w:iCs/>
          <w:lang w:val="en-GB"/>
        </w:rPr>
        <w:t xml:space="preserve">Assuming a </w:t>
      </w:r>
      <w:r w:rsidR="009F0CDD">
        <w:rPr>
          <w:rFonts w:eastAsiaTheme="minorEastAsia" w:cstheme="minorHAnsi"/>
          <w:iCs/>
          <w:lang w:val="en-GB"/>
        </w:rPr>
        <w:t xml:space="preserve">capital investment allocation </w:t>
      </w:r>
      <w:r w:rsidRPr="00C03C35">
        <w:rPr>
          <w:rFonts w:eastAsiaTheme="minorEastAsia" w:cstheme="minorHAnsi"/>
          <w:iCs/>
          <w:lang w:val="en-GB"/>
        </w:rPr>
        <w:t>of 50%</w:t>
      </w:r>
      <w:r w:rsidR="009F0CDD">
        <w:rPr>
          <w:rFonts w:eastAsiaTheme="minorEastAsia" w:cstheme="minorHAnsi"/>
          <w:iCs/>
          <w:lang w:val="en-GB"/>
        </w:rPr>
        <w:t xml:space="preserve"> for two years</w:t>
      </w:r>
      <w:r w:rsidR="006F2F62">
        <w:rPr>
          <w:rFonts w:eastAsiaTheme="minorEastAsia" w:cstheme="minorHAnsi"/>
          <w:iCs/>
          <w:lang w:val="en-GB"/>
        </w:rPr>
        <w:t xml:space="preserve"> with one year of construction completed</w:t>
      </w:r>
      <w:r w:rsidR="0020383A">
        <w:rPr>
          <w:rFonts w:eastAsiaTheme="minorEastAsia" w:cstheme="minorHAnsi"/>
          <w:iCs/>
          <w:lang w:val="en-GB"/>
        </w:rPr>
        <w:fldChar w:fldCharType="begin"/>
      </w:r>
      <w:r w:rsidR="003070D5">
        <w:rPr>
          <w:rFonts w:eastAsiaTheme="minorEastAsia" w:cstheme="minorHAnsi"/>
          <w:iCs/>
          <w:lang w:val="en-GB"/>
        </w:rPr>
        <w:instrText xml:space="preserve"> ADDIN ZOTERO_ITEM CSL_CITATION {"citationID":"WV7Hc8JF","properties":{"formattedCitation":"\\super 1\\nosupersub{}","plainCitation":"1","noteIndex":0},"citationItems":[{"id":"dHwHotKY/5mm4tg0v","uris":["http://zotero.org/users/9157291/items/AFKW7KRC"],"itemData":{"id":"ZJCBetN2/AfjeQXto","type":"article-journal","abstract":"At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20383A">
        <w:rPr>
          <w:rFonts w:eastAsiaTheme="minorEastAsia" w:cstheme="minorHAnsi"/>
          <w:iCs/>
          <w:lang w:val="en-GB"/>
        </w:rPr>
        <w:fldChar w:fldCharType="separate"/>
      </w:r>
      <w:r w:rsidR="0020383A" w:rsidRPr="0079042D">
        <w:rPr>
          <w:rFonts w:ascii="Calibri" w:hAnsi="Calibri" w:cs="Calibri"/>
          <w:szCs w:val="24"/>
          <w:vertAlign w:val="superscript"/>
        </w:rPr>
        <w:t>1</w:t>
      </w:r>
      <w:r w:rsidR="0020383A">
        <w:rPr>
          <w:rFonts w:eastAsiaTheme="minorEastAsia" w:cstheme="minorHAnsi"/>
          <w:iCs/>
          <w:lang w:val="en-GB"/>
        </w:rPr>
        <w:fldChar w:fldCharType="end"/>
      </w:r>
      <w:r w:rsidRPr="00C03C35">
        <w:rPr>
          <w:rFonts w:eastAsiaTheme="minorEastAsia" w:cstheme="minorHAnsi"/>
          <w:iCs/>
          <w:lang w:val="en-GB"/>
        </w:rPr>
        <w:t xml:space="preserve">, the CAPEX is estimated using the capital cost and nominal input power employing </w:t>
      </w:r>
      <w:r w:rsidRPr="00C03C35">
        <w:rPr>
          <w:rFonts w:eastAsiaTheme="minorEastAsia" w:cstheme="minorHAnsi"/>
          <w:b/>
          <w:iCs/>
          <w:lang w:val="en-GB"/>
        </w:rPr>
        <w:t>Equation S3</w:t>
      </w:r>
      <w:r w:rsidRPr="00C03C35">
        <w:rPr>
          <w:rFonts w:eastAsiaTheme="minorEastAsia" w:cstheme="minorHAnsi"/>
          <w:iCs/>
          <w:lang w:val="en-GB"/>
        </w:rPr>
        <w:t xml:space="preserve">. Notably, the capital cost is with reference to the year 2019 and is updated for inflation using the CEPCI when considering data for a different year.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87"/>
        <w:gridCol w:w="2093"/>
      </w:tblGrid>
      <w:tr w:rsidR="00BF17FF" w:rsidRPr="00C03C35" w14:paraId="3A62C930" w14:textId="77777777" w:rsidTr="00BF17FF">
        <w:trPr>
          <w:jc w:val="center"/>
        </w:trPr>
        <w:tc>
          <w:tcPr>
            <w:tcW w:w="3962" w:type="pct"/>
          </w:tcPr>
          <w:p w14:paraId="1CE40029" w14:textId="16AFF99C" w:rsidR="00BF17FF" w:rsidRPr="00C03C35" w:rsidRDefault="007120C6" w:rsidP="00BF17FF">
            <w:pPr>
              <w:rPr>
                <w:rFonts w:eastAsiaTheme="minorEastAsia" w:cstheme="minorHAnsi"/>
                <w:i/>
                <w:iCs/>
                <w:lang w:val="en-GB"/>
              </w:rPr>
            </w:pPr>
            <w:r w:rsidRPr="00C03C35">
              <w:rPr>
                <w:rFonts w:eastAsiaTheme="minorEastAsia"/>
                <w:position w:val="-26"/>
                <w:lang w:val="en-GB"/>
              </w:rPr>
              <w:object w:dxaOrig="6700" w:dyaOrig="820" w14:anchorId="5EFDF8FC">
                <v:shape id="_x0000_i1027" type="#_x0000_t75" style="width:337.65pt;height:42pt" o:ole="">
                  <v:imagedata r:id="rId18" o:title=""/>
                </v:shape>
                <o:OLEObject Type="Embed" ProgID="Equation.DSMT4" ShapeID="_x0000_i1027" DrawAspect="Content" ObjectID="_1741773447" r:id="rId19"/>
              </w:object>
            </w:r>
          </w:p>
        </w:tc>
        <w:tc>
          <w:tcPr>
            <w:tcW w:w="1038" w:type="pct"/>
          </w:tcPr>
          <w:p w14:paraId="71E6E5A1" w14:textId="77777777" w:rsidR="00BF17FF" w:rsidRPr="00C03C35" w:rsidRDefault="00BF17FF" w:rsidP="00BF17FF">
            <w:pPr>
              <w:jc w:val="center"/>
              <w:rPr>
                <w:rFonts w:eastAsiaTheme="minorEastAsia" w:cstheme="minorHAnsi"/>
                <w:b/>
                <w:iCs/>
                <w:sz w:val="20"/>
                <w:szCs w:val="20"/>
                <w:lang w:val="en-GB"/>
              </w:rPr>
            </w:pPr>
          </w:p>
          <w:p w14:paraId="42044F4B" w14:textId="77777777" w:rsidR="00BF17FF" w:rsidRPr="00C03C35" w:rsidRDefault="00BF17FF" w:rsidP="00BF17FF">
            <w:pPr>
              <w:jc w:val="right"/>
              <w:rPr>
                <w:rFonts w:eastAsiaTheme="minorEastAsia" w:cstheme="minorHAnsi"/>
                <w:iCs/>
                <w:sz w:val="20"/>
                <w:szCs w:val="20"/>
                <w:lang w:val="en-GB"/>
              </w:rPr>
            </w:pPr>
            <w:r w:rsidRPr="00C03C35">
              <w:rPr>
                <w:rFonts w:eastAsiaTheme="minorEastAsia" w:cstheme="minorHAnsi"/>
                <w:iCs/>
                <w:sz w:val="20"/>
                <w:szCs w:val="20"/>
                <w:lang w:val="en-GB"/>
              </w:rPr>
              <w:t>(</w:t>
            </w:r>
            <w:r w:rsidRPr="00C03C35">
              <w:rPr>
                <w:rFonts w:eastAsiaTheme="minorEastAsia" w:cstheme="minorHAnsi"/>
                <w:b/>
                <w:iCs/>
                <w:sz w:val="20"/>
                <w:szCs w:val="20"/>
                <w:lang w:val="en-GB"/>
              </w:rPr>
              <w:t>Equation S3</w:t>
            </w:r>
            <w:r w:rsidRPr="00C03C35">
              <w:rPr>
                <w:rFonts w:eastAsiaTheme="minorEastAsia" w:cstheme="minorHAnsi"/>
                <w:iCs/>
                <w:sz w:val="20"/>
                <w:szCs w:val="20"/>
                <w:lang w:val="en-GB"/>
              </w:rPr>
              <w:t>)</w:t>
            </w:r>
          </w:p>
        </w:tc>
      </w:tr>
      <w:tr w:rsidR="00BF17FF" w:rsidRPr="00C03C35" w14:paraId="188A9BAD" w14:textId="77777777" w:rsidTr="00BF17FF">
        <w:trPr>
          <w:jc w:val="center"/>
        </w:trPr>
        <w:tc>
          <w:tcPr>
            <w:tcW w:w="3962" w:type="pct"/>
          </w:tcPr>
          <w:p w14:paraId="7ACD0136" w14:textId="77777777" w:rsidR="00BF17FF" w:rsidRPr="00C03C35" w:rsidRDefault="00BF17FF" w:rsidP="00BF17FF">
            <w:pPr>
              <w:jc w:val="center"/>
              <w:rPr>
                <w:rFonts w:eastAsiaTheme="minorEastAsia"/>
                <w:lang w:val="en-GB"/>
              </w:rPr>
            </w:pPr>
          </w:p>
        </w:tc>
        <w:tc>
          <w:tcPr>
            <w:tcW w:w="1038" w:type="pct"/>
          </w:tcPr>
          <w:p w14:paraId="25B47F76" w14:textId="77777777" w:rsidR="00BF17FF" w:rsidRPr="00C03C35" w:rsidRDefault="00BF17FF" w:rsidP="00BF17FF">
            <w:pPr>
              <w:jc w:val="center"/>
              <w:rPr>
                <w:rFonts w:eastAsiaTheme="minorEastAsia" w:cstheme="minorHAnsi"/>
                <w:b/>
                <w:iCs/>
                <w:sz w:val="20"/>
                <w:szCs w:val="20"/>
                <w:lang w:val="en-GB"/>
              </w:rPr>
            </w:pPr>
          </w:p>
        </w:tc>
      </w:tr>
    </w:tbl>
    <w:p w14:paraId="1882EC1B" w14:textId="67947A2F" w:rsidR="00BF17FF" w:rsidRPr="00C03C35" w:rsidRDefault="00BF17FF" w:rsidP="00BF17FF">
      <w:pPr>
        <w:jc w:val="both"/>
        <w:rPr>
          <w:rFonts w:eastAsiaTheme="minorEastAsia" w:cstheme="minorHAnsi"/>
          <w:iCs/>
          <w:lang w:val="en-GB"/>
        </w:rPr>
      </w:pPr>
      <w:r w:rsidRPr="00C03C35">
        <w:rPr>
          <w:rFonts w:eastAsiaTheme="minorEastAsia" w:cstheme="minorHAnsi"/>
          <w:iCs/>
          <w:lang w:val="en-GB"/>
        </w:rPr>
        <w:t xml:space="preserve">The amount of hydrogen produced throughout the life span of the electrolyser is then calculated using </w:t>
      </w:r>
      <w:r w:rsidRPr="00C03C35">
        <w:rPr>
          <w:rFonts w:eastAsiaTheme="minorEastAsia" w:cstheme="minorHAnsi"/>
          <w:b/>
          <w:iCs/>
          <w:lang w:val="en-GB"/>
        </w:rPr>
        <w:t>Equation S4</w:t>
      </w:r>
      <w:r w:rsidRPr="00C03C35">
        <w:rPr>
          <w:rFonts w:eastAsiaTheme="minorEastAsia" w:cstheme="minorHAnsi"/>
          <w:iCs/>
          <w:lang w:val="en-GB"/>
        </w:rPr>
        <w:t>. We assume that in the first year of operation the plant works at a 50% capacity.</w:t>
      </w:r>
      <w:r w:rsidR="003070D5">
        <w:rPr>
          <w:rFonts w:eastAsiaTheme="minorEastAsia" w:cstheme="minorHAnsi"/>
          <w:iCs/>
          <w:lang w:val="en-GB"/>
        </w:rPr>
        <w:fldChar w:fldCharType="begin"/>
      </w:r>
      <w:r w:rsidR="003070D5">
        <w:rPr>
          <w:rFonts w:eastAsiaTheme="minorEastAsia" w:cstheme="minorHAnsi"/>
          <w:iCs/>
          <w:lang w:val="en-GB"/>
        </w:rPr>
        <w:instrText xml:space="preserve"> ADDIN ZOTERO_ITEM CSL_CITATION {"citationID":"lIWQQg0a","properties":{"formattedCitation":"\\super 1\\nosupersub{}","plainCitation":"1","noteIndex":0},"citationItems":[{"id":"dHwHotKY/5mm4tg0v","uris":["http://zotero.org/users/9157291/items/AFKW7KRC"],"itemData":{"id":"dHwHotKY/5mm4tg0v","type":"article-journal","abstract":"At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3070D5">
        <w:rPr>
          <w:rFonts w:eastAsiaTheme="minorEastAsia" w:cstheme="minorHAnsi"/>
          <w:iCs/>
          <w:lang w:val="en-GB"/>
        </w:rPr>
        <w:fldChar w:fldCharType="separate"/>
      </w:r>
      <w:r w:rsidR="003070D5" w:rsidRPr="003070D5">
        <w:rPr>
          <w:rFonts w:ascii="Calibri" w:hAnsi="Calibri" w:cs="Calibri"/>
          <w:szCs w:val="24"/>
          <w:vertAlign w:val="superscript"/>
        </w:rPr>
        <w:t>1</w:t>
      </w:r>
      <w:r w:rsidR="003070D5">
        <w:rPr>
          <w:rFonts w:eastAsiaTheme="minorEastAsia" w:cstheme="minorHAnsi"/>
          <w:iCs/>
          <w:lang w:val="en-GB"/>
        </w:rPr>
        <w:fldChar w:fldCharType="end"/>
      </w:r>
      <w:r w:rsidRPr="00C03C35">
        <w:rPr>
          <w:rFonts w:eastAsiaTheme="minorEastAsia" w:cstheme="minorHAnsi"/>
          <w:iCs/>
          <w:lang w:val="en-GB"/>
        </w:rPr>
        <w:t xml:space="preserve"> Therefore, only for the first year, the hydrogen produced is multiplied by a factor of 0.5.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1"/>
        <w:gridCol w:w="2859"/>
      </w:tblGrid>
      <w:tr w:rsidR="00BF17FF" w:rsidRPr="00C03C35" w14:paraId="1065A956" w14:textId="77777777" w:rsidTr="00BF17FF">
        <w:trPr>
          <w:jc w:val="center"/>
        </w:trPr>
        <w:tc>
          <w:tcPr>
            <w:tcW w:w="3582" w:type="pct"/>
            <w:vAlign w:val="center"/>
          </w:tcPr>
          <w:p w14:paraId="71A87A62" w14:textId="7441BD4B" w:rsidR="00BF17FF" w:rsidRPr="00C03C35" w:rsidRDefault="007120C6" w:rsidP="00BF17FF">
            <w:pPr>
              <w:rPr>
                <w:rFonts w:eastAsiaTheme="minorEastAsia" w:cstheme="minorHAnsi"/>
                <w:iCs/>
                <w:lang w:val="en-GB"/>
              </w:rPr>
            </w:pPr>
            <w:r w:rsidRPr="007120C6">
              <w:rPr>
                <w:rFonts w:eastAsiaTheme="minorEastAsia" w:cstheme="minorHAnsi"/>
                <w:iCs/>
                <w:position w:val="-24"/>
                <w:lang w:val="en-GB"/>
              </w:rPr>
              <w:object w:dxaOrig="5820" w:dyaOrig="600" w14:anchorId="5045BDB4">
                <v:shape id="_x0000_i1028" type="#_x0000_t75" style="width:291.65pt;height:28.65pt" o:ole="">
                  <v:imagedata r:id="rId20" o:title=""/>
                </v:shape>
                <o:OLEObject Type="Embed" ProgID="Equation.DSMT4" ShapeID="_x0000_i1028" DrawAspect="Content" ObjectID="_1741773448" r:id="rId21"/>
              </w:object>
            </w:r>
          </w:p>
        </w:tc>
        <w:tc>
          <w:tcPr>
            <w:tcW w:w="1418" w:type="pct"/>
            <w:vMerge w:val="restart"/>
            <w:vAlign w:val="center"/>
          </w:tcPr>
          <w:p w14:paraId="676BF2BE" w14:textId="77777777" w:rsidR="00BF17FF" w:rsidRPr="00C03C35" w:rsidRDefault="00BF17FF" w:rsidP="00BF17FF">
            <w:pPr>
              <w:jc w:val="center"/>
              <w:rPr>
                <w:rFonts w:eastAsiaTheme="minorEastAsia" w:cstheme="minorHAnsi"/>
                <w:iCs/>
                <w:lang w:val="en-GB"/>
              </w:rPr>
            </w:pPr>
          </w:p>
          <w:p w14:paraId="334C47A7" w14:textId="77777777" w:rsidR="00BF17FF" w:rsidRPr="00C03C35" w:rsidRDefault="00BF17FF" w:rsidP="00BF17FF">
            <w:pPr>
              <w:jc w:val="right"/>
              <w:rPr>
                <w:rFonts w:eastAsiaTheme="minorEastAsia" w:cstheme="minorHAnsi"/>
                <w:iCs/>
                <w:sz w:val="20"/>
                <w:szCs w:val="20"/>
                <w:lang w:val="en-GB"/>
              </w:rPr>
            </w:pPr>
            <w:r w:rsidRPr="00C03C35">
              <w:rPr>
                <w:rFonts w:eastAsiaTheme="minorEastAsia" w:cstheme="minorHAnsi"/>
                <w:iCs/>
                <w:sz w:val="20"/>
                <w:szCs w:val="20"/>
                <w:lang w:val="en-GB"/>
              </w:rPr>
              <w:t>(</w:t>
            </w:r>
            <w:r w:rsidRPr="00C03C35">
              <w:rPr>
                <w:rFonts w:eastAsiaTheme="minorEastAsia" w:cstheme="minorHAnsi"/>
                <w:b/>
                <w:iCs/>
                <w:sz w:val="20"/>
                <w:szCs w:val="20"/>
                <w:lang w:val="en-GB"/>
              </w:rPr>
              <w:t>Equation S4</w:t>
            </w:r>
            <w:r w:rsidRPr="00C03C35">
              <w:rPr>
                <w:rFonts w:eastAsiaTheme="minorEastAsia" w:cstheme="minorHAnsi"/>
                <w:iCs/>
                <w:sz w:val="20"/>
                <w:szCs w:val="20"/>
                <w:lang w:val="en-GB"/>
              </w:rPr>
              <w:t>)</w:t>
            </w:r>
          </w:p>
        </w:tc>
      </w:tr>
      <w:tr w:rsidR="00BF17FF" w:rsidRPr="00C03C35" w14:paraId="2AA80F43" w14:textId="77777777" w:rsidTr="00BF17FF">
        <w:trPr>
          <w:jc w:val="center"/>
        </w:trPr>
        <w:tc>
          <w:tcPr>
            <w:tcW w:w="3582" w:type="pct"/>
            <w:vAlign w:val="center"/>
          </w:tcPr>
          <w:p w14:paraId="271E0FA7" w14:textId="77777777" w:rsidR="00BF17FF" w:rsidRPr="00C03C35" w:rsidRDefault="00BF17FF" w:rsidP="00BF17FF">
            <w:pPr>
              <w:jc w:val="center"/>
              <w:rPr>
                <w:rFonts w:eastAsiaTheme="minorEastAsia" w:cstheme="minorHAnsi"/>
                <w:iCs/>
                <w:lang w:val="en-GB"/>
              </w:rPr>
            </w:pPr>
          </w:p>
        </w:tc>
        <w:tc>
          <w:tcPr>
            <w:tcW w:w="1418" w:type="pct"/>
            <w:vMerge/>
            <w:vAlign w:val="center"/>
          </w:tcPr>
          <w:p w14:paraId="474B311D" w14:textId="77777777" w:rsidR="00BF17FF" w:rsidRPr="00C03C35" w:rsidRDefault="00BF17FF" w:rsidP="00BF17FF">
            <w:pPr>
              <w:jc w:val="center"/>
              <w:rPr>
                <w:rFonts w:eastAsiaTheme="minorEastAsia" w:cstheme="minorHAnsi"/>
                <w:iCs/>
                <w:lang w:val="en-GB"/>
              </w:rPr>
            </w:pPr>
          </w:p>
        </w:tc>
      </w:tr>
      <w:tr w:rsidR="00BF17FF" w:rsidRPr="00C03C35" w14:paraId="224AA377" w14:textId="77777777" w:rsidTr="00BF17FF">
        <w:trPr>
          <w:jc w:val="center"/>
        </w:trPr>
        <w:tc>
          <w:tcPr>
            <w:tcW w:w="3582" w:type="pct"/>
            <w:vAlign w:val="center"/>
          </w:tcPr>
          <w:p w14:paraId="17D7EB9A" w14:textId="77777777" w:rsidR="000B4504" w:rsidRPr="005302FF" w:rsidRDefault="000B4504" w:rsidP="000B4504">
            <w:pPr>
              <w:rPr>
                <w:rFonts w:eastAsiaTheme="minorEastAsia" w:cstheme="minorHAnsi"/>
                <w:i/>
                <w:iCs/>
                <w:sz w:val="20"/>
                <w:szCs w:val="20"/>
                <w:lang w:val="en-GB"/>
              </w:rPr>
            </w:pPr>
            <m:oMathPara>
              <m:oMathParaPr>
                <m:jc m:val="left"/>
              </m:oMathParaPr>
              <m:oMath>
                <m:r>
                  <m:rPr>
                    <m:nor/>
                  </m:rPr>
                  <w:rPr>
                    <w:rFonts w:eastAsiaTheme="minorEastAsia" w:cstheme="minorHAnsi"/>
                    <w:iCs/>
                    <w:sz w:val="20"/>
                    <w:szCs w:val="20"/>
                    <w:lang w:val="en-GB"/>
                  </w:rPr>
                  <m:t xml:space="preserve">with </m:t>
                </m:r>
                <m:sSub>
                  <m:sSubPr>
                    <m:ctrlPr>
                      <w:rPr>
                        <w:rFonts w:ascii="Cambria Math" w:eastAsiaTheme="minorEastAsia" w:hAnsi="Cambria Math" w:cstheme="minorHAnsi"/>
                        <w:i/>
                        <w:iCs/>
                        <w:sz w:val="20"/>
                        <w:szCs w:val="20"/>
                        <w:lang w:val="en-GB"/>
                      </w:rPr>
                    </m:ctrlPr>
                  </m:sSubPr>
                  <m:e>
                    <m:r>
                      <m:rPr>
                        <m:nor/>
                      </m:rPr>
                      <w:rPr>
                        <w:rFonts w:eastAsiaTheme="minorEastAsia" w:cstheme="minorHAnsi"/>
                        <w:iCs/>
                        <w:sz w:val="20"/>
                        <w:szCs w:val="20"/>
                        <w:lang w:val="en-GB"/>
                      </w:rPr>
                      <m:t>H</m:t>
                    </m:r>
                  </m:e>
                  <m:sub>
                    <m:r>
                      <m:rPr>
                        <m:nor/>
                      </m:rPr>
                      <w:rPr>
                        <w:rFonts w:eastAsiaTheme="minorEastAsia" w:cstheme="minorHAnsi"/>
                        <w:iCs/>
                        <w:sz w:val="20"/>
                        <w:szCs w:val="20"/>
                        <w:lang w:val="en-GB"/>
                      </w:rPr>
                      <m:t>2</m:t>
                    </m:r>
                  </m:sub>
                </m:sSub>
                <m:r>
                  <m:rPr>
                    <m:nor/>
                  </m:rPr>
                  <w:rPr>
                    <w:rFonts w:eastAsiaTheme="minorEastAsia" w:cstheme="minorHAnsi"/>
                    <w:iCs/>
                    <w:sz w:val="20"/>
                    <w:szCs w:val="20"/>
                    <w:lang w:val="en-GB"/>
                  </w:rPr>
                  <m:t xml:space="preserve"> production capacity(</m:t>
                </m:r>
                <m:r>
                  <m:rPr>
                    <m:nor/>
                  </m:rPr>
                  <w:rPr>
                    <w:rFonts w:eastAsiaTheme="minorEastAsia" w:cstheme="minorHAnsi"/>
                    <w:i/>
                    <w:iCs/>
                    <w:sz w:val="20"/>
                    <w:szCs w:val="20"/>
                    <w:lang w:val="en-GB"/>
                  </w:rPr>
                  <m:t>i</m:t>
                </m:r>
                <m:r>
                  <m:rPr>
                    <m:nor/>
                  </m:rPr>
                  <w:rPr>
                    <w:rFonts w:eastAsiaTheme="minorEastAsia" w:cstheme="minorHAnsi"/>
                    <w:iCs/>
                    <w:sz w:val="20"/>
                    <w:szCs w:val="20"/>
                    <w:lang w:val="en-GB"/>
                  </w:rPr>
                  <m:t xml:space="preserve">) = </m:t>
                </m:r>
                <m:d>
                  <m:dPr>
                    <m:begChr m:val="{"/>
                    <m:endChr m:val=""/>
                    <m:ctrlPr>
                      <w:rPr>
                        <w:rFonts w:ascii="Cambria Math" w:eastAsiaTheme="minorEastAsia" w:hAnsi="Cambria Math" w:cstheme="minorHAnsi"/>
                        <w:i/>
                        <w:iCs/>
                        <w:sz w:val="20"/>
                        <w:szCs w:val="20"/>
                        <w:lang w:val="en-GB"/>
                      </w:rPr>
                    </m:ctrlPr>
                  </m:dPr>
                  <m:e>
                    <m:r>
                      <m:rPr>
                        <m:nor/>
                      </m:rPr>
                      <w:rPr>
                        <w:rFonts w:eastAsiaTheme="minorEastAsia" w:cstheme="minorHAnsi"/>
                        <w:sz w:val="20"/>
                        <w:szCs w:val="20"/>
                        <w:lang w:val="en-GB"/>
                      </w:rPr>
                      <m:t xml:space="preserve"> </m:t>
                    </m:r>
                    <m:eqArr>
                      <m:eqArrPr>
                        <m:ctrlPr>
                          <w:rPr>
                            <w:rFonts w:ascii="Cambria Math" w:eastAsiaTheme="minorEastAsia" w:hAnsi="Cambria Math" w:cstheme="minorHAnsi"/>
                            <w:i/>
                            <w:iCs/>
                            <w:sz w:val="20"/>
                            <w:szCs w:val="20"/>
                            <w:lang w:val="en-GB"/>
                          </w:rPr>
                        </m:ctrlPr>
                      </m:eqArrPr>
                      <m:e>
                        <m:r>
                          <m:rPr>
                            <m:nor/>
                          </m:rPr>
                          <w:rPr>
                            <w:rFonts w:eastAsiaTheme="minorEastAsia" w:cstheme="minorHAnsi"/>
                            <w:iCs/>
                            <w:sz w:val="20"/>
                            <w:szCs w:val="20"/>
                            <w:lang w:val="en-GB"/>
                          </w:rPr>
                          <m:t xml:space="preserve">0.5 </m:t>
                        </m:r>
                        <m:r>
                          <m:rPr>
                            <m:nor/>
                          </m:rPr>
                          <w:rPr>
                            <w:rFonts w:eastAsiaTheme="minorEastAsia" w:cstheme="minorHAnsi"/>
                            <w:i/>
                            <w:iCs/>
                            <w:sz w:val="20"/>
                            <w:szCs w:val="20"/>
                            <w:lang w:val="en-GB"/>
                          </w:rPr>
                          <m:t>i</m:t>
                        </m:r>
                        <m:r>
                          <m:rPr>
                            <m:nor/>
                          </m:rPr>
                          <w:rPr>
                            <w:rFonts w:eastAsiaTheme="minorEastAsia" w:cstheme="minorHAnsi"/>
                            <w:iCs/>
                            <w:sz w:val="20"/>
                            <w:szCs w:val="20"/>
                            <w:lang w:val="en-GB"/>
                          </w:rPr>
                          <m:t xml:space="preserve"> = 1</m:t>
                        </m:r>
                      </m:e>
                      <m:e>
                        <m:r>
                          <m:rPr>
                            <m:nor/>
                          </m:rPr>
                          <w:rPr>
                            <w:rFonts w:eastAsiaTheme="minorEastAsia" w:cstheme="minorHAnsi"/>
                            <w:iCs/>
                            <w:sz w:val="20"/>
                            <w:szCs w:val="20"/>
                            <w:lang w:val="en-GB"/>
                          </w:rPr>
                          <m:t xml:space="preserve">1.0 </m:t>
                        </m:r>
                        <m:r>
                          <m:rPr>
                            <m:nor/>
                          </m:rPr>
                          <w:rPr>
                            <w:rFonts w:eastAsiaTheme="minorEastAsia" w:cstheme="minorHAnsi"/>
                            <w:i/>
                            <w:iCs/>
                            <w:sz w:val="20"/>
                            <w:szCs w:val="20"/>
                            <w:lang w:val="en-GB"/>
                          </w:rPr>
                          <m:t>i</m:t>
                        </m:r>
                        <m:r>
                          <m:rPr>
                            <m:nor/>
                          </m:rPr>
                          <w:rPr>
                            <w:rFonts w:eastAsiaTheme="minorEastAsia" w:cstheme="minorHAnsi"/>
                            <w:iCs/>
                            <w:sz w:val="20"/>
                            <w:szCs w:val="20"/>
                            <w:lang w:val="en-GB"/>
                          </w:rPr>
                          <m:t xml:space="preserve"> &gt; 1</m:t>
                        </m:r>
                      </m:e>
                    </m:eqArr>
                  </m:e>
                </m:d>
              </m:oMath>
            </m:oMathPara>
          </w:p>
          <w:p w14:paraId="0C5E3C22" w14:textId="6425C3DD" w:rsidR="00BF17FF" w:rsidRPr="00C03C35" w:rsidRDefault="00BF17FF" w:rsidP="00BF17FF">
            <w:pPr>
              <w:jc w:val="center"/>
              <w:rPr>
                <w:rFonts w:eastAsiaTheme="minorEastAsia" w:cstheme="minorHAnsi"/>
                <w:iCs/>
                <w:sz w:val="20"/>
                <w:szCs w:val="20"/>
                <w:lang w:val="en-GB"/>
              </w:rPr>
            </w:pPr>
          </w:p>
        </w:tc>
        <w:tc>
          <w:tcPr>
            <w:tcW w:w="1418" w:type="pct"/>
            <w:vMerge/>
            <w:vAlign w:val="center"/>
          </w:tcPr>
          <w:p w14:paraId="1635A013" w14:textId="77777777" w:rsidR="00BF17FF" w:rsidRPr="00C03C35" w:rsidRDefault="00BF17FF" w:rsidP="00BF17FF">
            <w:pPr>
              <w:jc w:val="center"/>
              <w:rPr>
                <w:rFonts w:eastAsiaTheme="minorEastAsia" w:cstheme="minorHAnsi"/>
                <w:iCs/>
                <w:lang w:val="en-GB"/>
              </w:rPr>
            </w:pPr>
          </w:p>
        </w:tc>
      </w:tr>
      <w:tr w:rsidR="00BF17FF" w:rsidRPr="00C03C35" w14:paraId="6FC8195D" w14:textId="77777777" w:rsidTr="00BF17FF">
        <w:trPr>
          <w:jc w:val="center"/>
        </w:trPr>
        <w:tc>
          <w:tcPr>
            <w:tcW w:w="3582" w:type="pct"/>
            <w:vAlign w:val="center"/>
          </w:tcPr>
          <w:p w14:paraId="246DC64D" w14:textId="77777777" w:rsidR="00BF17FF" w:rsidRPr="00C03C35" w:rsidRDefault="00BF17FF" w:rsidP="00BF17FF">
            <w:pPr>
              <w:jc w:val="center"/>
              <w:rPr>
                <w:rFonts w:ascii="Calibri" w:eastAsia="Calibri" w:hAnsi="Calibri" w:cs="Times New Roman"/>
                <w:iCs/>
                <w:sz w:val="20"/>
                <w:szCs w:val="20"/>
                <w:lang w:val="en-GB"/>
              </w:rPr>
            </w:pPr>
          </w:p>
        </w:tc>
        <w:tc>
          <w:tcPr>
            <w:tcW w:w="1418" w:type="pct"/>
            <w:vAlign w:val="center"/>
          </w:tcPr>
          <w:p w14:paraId="225D490C" w14:textId="77777777" w:rsidR="00BF17FF" w:rsidRPr="00C03C35" w:rsidRDefault="00BF17FF" w:rsidP="00BF17FF">
            <w:pPr>
              <w:jc w:val="center"/>
              <w:rPr>
                <w:rFonts w:eastAsiaTheme="minorEastAsia" w:cstheme="minorHAnsi"/>
                <w:iCs/>
                <w:lang w:val="en-GB"/>
              </w:rPr>
            </w:pPr>
          </w:p>
        </w:tc>
      </w:tr>
    </w:tbl>
    <w:p w14:paraId="6A81F3FA" w14:textId="2CC9448B" w:rsidR="00BF17FF" w:rsidRPr="00C03C35" w:rsidRDefault="00BF17FF" w:rsidP="00BF17FF">
      <w:pPr>
        <w:jc w:val="both"/>
        <w:rPr>
          <w:rFonts w:eastAsiaTheme="minorEastAsia" w:cstheme="minorHAnsi"/>
          <w:iCs/>
          <w:lang w:val="en-GB"/>
        </w:rPr>
      </w:pPr>
      <w:r w:rsidRPr="00C03C35">
        <w:rPr>
          <w:rFonts w:eastAsiaTheme="minorEastAsia" w:cstheme="minorHAnsi"/>
          <w:iCs/>
          <w:lang w:val="en-GB"/>
        </w:rPr>
        <w:t>In the next step, the total OPEX are calculated by summing the electricity costs (</w:t>
      </w:r>
      <w:r w:rsidRPr="00C03C35">
        <w:rPr>
          <w:rFonts w:eastAsiaTheme="minorEastAsia" w:cstheme="minorHAnsi"/>
          <w:b/>
          <w:iCs/>
          <w:lang w:val="en-GB"/>
        </w:rPr>
        <w:t>Equation S5</w:t>
      </w:r>
      <w:r w:rsidRPr="00C03C35">
        <w:rPr>
          <w:rFonts w:eastAsiaTheme="minorEastAsia" w:cstheme="minorHAnsi"/>
          <w:iCs/>
          <w:lang w:val="en-GB"/>
        </w:rPr>
        <w:t>) using the levelised cost of electricity (LCOE), other costs as 4% of initial CAPEX (</w:t>
      </w:r>
      <w:r w:rsidRPr="00C03C35">
        <w:rPr>
          <w:rFonts w:eastAsiaTheme="minorEastAsia" w:cstheme="minorHAnsi"/>
          <w:b/>
          <w:iCs/>
          <w:lang w:val="en-GB"/>
        </w:rPr>
        <w:t>Equation S6</w:t>
      </w:r>
      <w:r w:rsidRPr="00C03C35">
        <w:rPr>
          <w:rFonts w:eastAsiaTheme="minorEastAsia" w:cstheme="minorHAnsi"/>
          <w:iCs/>
          <w:lang w:val="en-GB"/>
        </w:rPr>
        <w:t>), plant decommissioning as 10% of initial CAPEX (</w:t>
      </w:r>
      <w:r w:rsidRPr="00C03C35">
        <w:rPr>
          <w:rFonts w:eastAsiaTheme="minorEastAsia" w:cstheme="minorHAnsi"/>
          <w:b/>
          <w:iCs/>
          <w:lang w:val="en-GB"/>
        </w:rPr>
        <w:t>Equation S7</w:t>
      </w:r>
      <w:r w:rsidRPr="00C03C35">
        <w:rPr>
          <w:rFonts w:eastAsiaTheme="minorEastAsia" w:cstheme="minorHAnsi"/>
          <w:iCs/>
          <w:lang w:val="en-GB"/>
        </w:rPr>
        <w:t>), and equipment replacement costs as 15% of depreciable CAPEX</w:t>
      </w:r>
      <w:r w:rsidR="00525FEF">
        <w:rPr>
          <w:rFonts w:eastAsiaTheme="minorEastAsia" w:cstheme="minorHAnsi"/>
          <w:iCs/>
          <w:lang w:val="en-GB"/>
        </w:rPr>
        <w:t xml:space="preserve"> </w:t>
      </w:r>
      <w:r w:rsidR="00525FEF" w:rsidRPr="00C03C35">
        <w:rPr>
          <w:rFonts w:eastAsiaTheme="minorEastAsia" w:cstheme="minorHAnsi"/>
          <w:iCs/>
          <w:lang w:val="en-GB"/>
        </w:rPr>
        <w:t>(</w:t>
      </w:r>
      <w:r w:rsidR="00525FEF" w:rsidRPr="00C03C35">
        <w:rPr>
          <w:rFonts w:eastAsiaTheme="minorEastAsia" w:cstheme="minorHAnsi"/>
          <w:b/>
          <w:iCs/>
          <w:lang w:val="en-GB"/>
        </w:rPr>
        <w:t>Equation S</w:t>
      </w:r>
      <w:r w:rsidR="00525FEF">
        <w:rPr>
          <w:rFonts w:eastAsiaTheme="minorEastAsia" w:cstheme="minorHAnsi"/>
          <w:b/>
          <w:iCs/>
          <w:lang w:val="en-GB"/>
        </w:rPr>
        <w:t>8</w:t>
      </w:r>
      <w:r w:rsidR="00525FEF" w:rsidRPr="00C03C35">
        <w:rPr>
          <w:rFonts w:eastAsiaTheme="minorEastAsia" w:cstheme="minorHAnsi"/>
          <w:iCs/>
          <w:lang w:val="en-GB"/>
        </w:rPr>
        <w:t>)</w:t>
      </w:r>
      <w:r w:rsidRPr="00C03C35">
        <w:rPr>
          <w:rFonts w:eastAsiaTheme="minorEastAsia" w:cstheme="minorHAnsi"/>
          <w:iCs/>
          <w:lang w:val="en-GB"/>
        </w:rPr>
        <w:t>.</w:t>
      </w:r>
      <w:r w:rsidR="00735128">
        <w:rPr>
          <w:rFonts w:eastAsiaTheme="minorEastAsia" w:cstheme="minorHAnsi"/>
          <w:iCs/>
          <w:lang w:val="en-GB"/>
        </w:rPr>
        <w:fldChar w:fldCharType="begin"/>
      </w:r>
      <w:r w:rsidR="003070D5">
        <w:rPr>
          <w:rFonts w:eastAsiaTheme="minorEastAsia" w:cstheme="minorHAnsi"/>
          <w:iCs/>
          <w:lang w:val="en-GB"/>
        </w:rPr>
        <w:instrText xml:space="preserve"> ADDIN ZOTERO_ITEM CSL_CITATION {"citationID":"VNhKaIxa","properties":{"formattedCitation":"\\super 1,10\\nosupersub{}","plainCitation":"1,10","noteIndex":0},"citationItems":[{"id":"dHwHotKY/5mm4tg0v","uris":["http://zotero.org/users/9157291/items/AFKW7KRC"],"itemData":{"id":"ZJCBetN2/AfjeQXto","type":"article-journal","abstract":"At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40,"uris":["http://zotero.org/users/local/gMmtBwrT/items/FZB2EY78"],"itemData":{"id":40,"type":"article-journal","abstract":"Different technologies produce hydrogen with varying cost and carbon footprints over the entire resource supply chain and manufacturing steps. This paper examines the relative costs of carbon mitigation from a life cycle perspective for 12 different hydrogen production techniques using fossil fuels, nuclear energy and renewable sources by technology substitution. Production costs and life cycle emissions are parameterized and re-estimated from currently available assessments to produce robust ranges to describe uncertainties for each technology. Hydrogen production routes are then compared using a combination of metrics, levelized cost of carbon mitigation and the proportional decarbonization benchmarked against steam methane reforming, to provide a clearer picture of the relative merits of various hydrogen production pathways, the limitations of technologies and the research challenges that need to be addressed for cost-effective decarbonization pathways. The results show that there is a trade-off between the cost of mitigation and the proportion of decarbonization achieved. The most cost-effective methods of decarbonization still utilize fossil feedstocks due to their low cost of extraction and processing, but only offer moderate decarbonisation levels due to previous underestimations of supply chain emissions contributions. Methane pyrolysis may be the most cost-effective short-term abatement solution, but its emissions reduction performance is heavily dependent on managing supply chain emissions whilst cost effectiveness is governed by the price of solid carbon. Renewable electrolytic routes offer significantly higher emissions reductions, but production routes are more complex than those that utilise naturally-occurring energy-dense fuels and hydrogen costs are high at modest renewable energy capacity factors. Nuclear routes are highly cost-effective mitigation options, but could suffer from regionally varied perceptions of safety and concerns regarding proliferation and the available data lacks depth and transparency. Better-performing fossil-based hydrogen production technologies with lower decarbonization fractions will be required to minimise the total cost of decarbonization but may not be commensurate with ambitious climate targets.","container-title":"Energy and Environmental Science","DOI":"10.1039/c8ee02079e","ISSN":"17545706","issue":"1","note":"publisher: Royal Society of Chemistry","page":"19-40","title":"Hydrogen - Parkinson","volume":"12","author":[{"family":"Parkinson","given":"B."},{"family":"Balcombe","given":"P."},{"family":"Speirs","given":"J. F."},{"family":"Hawkes","given":"A. D."},{"family":"Hellgardt","given":"K."}],"issued":{"date-parts":[["2019",1,1]]}}}],"schema":"https://github.com/citation-style-language/schema/raw/master/csl-citation.json"} </w:instrText>
      </w:r>
      <w:r w:rsidR="00735128">
        <w:rPr>
          <w:rFonts w:eastAsiaTheme="minorEastAsia" w:cstheme="minorHAnsi"/>
          <w:iCs/>
          <w:lang w:val="en-GB"/>
        </w:rPr>
        <w:fldChar w:fldCharType="separate"/>
      </w:r>
      <w:r w:rsidR="005F4130" w:rsidRPr="005F4130">
        <w:rPr>
          <w:rFonts w:ascii="Calibri" w:hAnsi="Calibri" w:cs="Calibri"/>
          <w:szCs w:val="24"/>
          <w:vertAlign w:val="superscript"/>
        </w:rPr>
        <w:t>1,10</w:t>
      </w:r>
      <w:r w:rsidR="00735128">
        <w:rPr>
          <w:rFonts w:eastAsiaTheme="minorEastAsia" w:cstheme="minorHAnsi"/>
          <w:iCs/>
          <w:lang w:val="en-GB"/>
        </w:rPr>
        <w:fldChar w:fldCharType="end"/>
      </w:r>
      <w:r w:rsidRPr="00C03C35">
        <w:rPr>
          <w:rFonts w:eastAsiaTheme="minorEastAsia" w:cstheme="minorHAnsi"/>
          <w:iCs/>
          <w:lang w:val="en-GB"/>
        </w:rPr>
        <w:t xml:space="preserve">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6"/>
        <w:gridCol w:w="2034"/>
      </w:tblGrid>
      <w:tr w:rsidR="00BF17FF" w:rsidRPr="00C03C35" w14:paraId="0A78DE84" w14:textId="77777777" w:rsidTr="00BF17FF">
        <w:trPr>
          <w:jc w:val="center"/>
        </w:trPr>
        <w:tc>
          <w:tcPr>
            <w:tcW w:w="3991" w:type="pct"/>
          </w:tcPr>
          <w:p w14:paraId="1679ACF1" w14:textId="28ACAD44" w:rsidR="00BF17FF" w:rsidRPr="00C03C35" w:rsidRDefault="00C04441" w:rsidP="00BF17FF">
            <w:pPr>
              <w:rPr>
                <w:rFonts w:eastAsiaTheme="minorEastAsia" w:cstheme="minorHAnsi"/>
                <w:iCs/>
                <w:lang w:val="en-GB"/>
              </w:rPr>
            </w:pPr>
            <w:r w:rsidRPr="00C04441">
              <w:rPr>
                <w:rFonts w:eastAsiaTheme="minorEastAsia" w:cstheme="minorHAnsi"/>
                <w:iCs/>
                <w:position w:val="-26"/>
                <w:lang w:val="en-GB"/>
              </w:rPr>
              <w:object w:dxaOrig="6200" w:dyaOrig="620" w14:anchorId="1E8B7A49">
                <v:shape id="_x0000_i1029" type="#_x0000_t75" style="width:310.35pt;height:31.65pt" o:ole="">
                  <v:imagedata r:id="rId22" o:title=""/>
                </v:shape>
                <o:OLEObject Type="Embed" ProgID="Equation.DSMT4" ShapeID="_x0000_i1029" DrawAspect="Content" ObjectID="_1741773449" r:id="rId23"/>
              </w:object>
            </w:r>
          </w:p>
        </w:tc>
        <w:tc>
          <w:tcPr>
            <w:tcW w:w="1009" w:type="pct"/>
          </w:tcPr>
          <w:p w14:paraId="54EC5B56" w14:textId="77777777" w:rsidR="00BF17FF" w:rsidRPr="00C03C35" w:rsidRDefault="00BF17FF" w:rsidP="00BF17FF">
            <w:pPr>
              <w:jc w:val="right"/>
              <w:rPr>
                <w:rFonts w:eastAsiaTheme="minorEastAsia" w:cstheme="minorHAnsi"/>
                <w:iCs/>
                <w:sz w:val="20"/>
                <w:szCs w:val="20"/>
                <w:lang w:val="en-GB"/>
              </w:rPr>
            </w:pPr>
            <w:r w:rsidRPr="00C03C35">
              <w:rPr>
                <w:rFonts w:eastAsiaTheme="minorEastAsia" w:cstheme="minorHAnsi"/>
                <w:iCs/>
                <w:sz w:val="20"/>
                <w:szCs w:val="20"/>
                <w:lang w:val="en-GB"/>
              </w:rPr>
              <w:t>(</w:t>
            </w:r>
            <w:r w:rsidRPr="00C03C35">
              <w:rPr>
                <w:rFonts w:eastAsiaTheme="minorEastAsia" w:cstheme="minorHAnsi"/>
                <w:b/>
                <w:iCs/>
                <w:sz w:val="20"/>
                <w:szCs w:val="20"/>
                <w:lang w:val="en-GB"/>
              </w:rPr>
              <w:t>Equation S5</w:t>
            </w:r>
            <w:r w:rsidRPr="00C03C35">
              <w:rPr>
                <w:rFonts w:eastAsiaTheme="minorEastAsia" w:cstheme="minorHAnsi"/>
                <w:iCs/>
                <w:sz w:val="20"/>
                <w:szCs w:val="20"/>
                <w:lang w:val="en-GB"/>
              </w:rPr>
              <w:t>)</w:t>
            </w:r>
          </w:p>
        </w:tc>
      </w:tr>
    </w:tbl>
    <w:p w14:paraId="59FD337C" w14:textId="77777777" w:rsidR="00BF17FF" w:rsidRPr="00C03C35" w:rsidRDefault="00BF17FF" w:rsidP="00BF17FF">
      <w:pPr>
        <w:jc w:val="both"/>
        <w:rPr>
          <w:rFonts w:eastAsiaTheme="minorEastAsia" w:cstheme="minorHAnsi"/>
          <w:iCs/>
          <w:lang w:val="en-GB"/>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09"/>
        <w:gridCol w:w="1871"/>
      </w:tblGrid>
      <w:tr w:rsidR="00BF17FF" w:rsidRPr="00C03C35" w14:paraId="2ABE539E" w14:textId="77777777" w:rsidTr="00BF17FF">
        <w:trPr>
          <w:jc w:val="center"/>
        </w:trPr>
        <w:tc>
          <w:tcPr>
            <w:tcW w:w="4072" w:type="pct"/>
          </w:tcPr>
          <w:p w14:paraId="61AD0B77" w14:textId="57287854" w:rsidR="00BF17FF" w:rsidRPr="00C03C35" w:rsidRDefault="00C04441" w:rsidP="00BF17FF">
            <w:pPr>
              <w:rPr>
                <w:rFonts w:eastAsiaTheme="minorEastAsia" w:cstheme="minorHAnsi"/>
                <w:iCs/>
                <w:lang w:val="en-GB"/>
              </w:rPr>
            </w:pPr>
            <w:r w:rsidRPr="00C03C35">
              <w:rPr>
                <w:rFonts w:eastAsiaTheme="minorEastAsia" w:cstheme="minorHAnsi"/>
                <w:iCs/>
                <w:position w:val="-26"/>
                <w:lang w:val="en-GB"/>
              </w:rPr>
              <w:object w:dxaOrig="6399" w:dyaOrig="620" w14:anchorId="67DEF877">
                <v:shape id="_x0000_i1030" type="#_x0000_t75" style="width:322.65pt;height:30pt" o:ole="">
                  <v:imagedata r:id="rId24" o:title=""/>
                </v:shape>
                <o:OLEObject Type="Embed" ProgID="Equation.DSMT4" ShapeID="_x0000_i1030" DrawAspect="Content" ObjectID="_1741773450" r:id="rId25"/>
              </w:object>
            </w:r>
          </w:p>
        </w:tc>
        <w:tc>
          <w:tcPr>
            <w:tcW w:w="928" w:type="pct"/>
          </w:tcPr>
          <w:p w14:paraId="469DB1E4" w14:textId="77777777" w:rsidR="00BF17FF" w:rsidRPr="00C03C35" w:rsidRDefault="00BF17FF" w:rsidP="00BF17FF">
            <w:pPr>
              <w:jc w:val="right"/>
              <w:rPr>
                <w:rFonts w:eastAsiaTheme="minorEastAsia" w:cstheme="minorHAnsi"/>
                <w:iCs/>
                <w:lang w:val="en-GB"/>
              </w:rPr>
            </w:pPr>
            <w:r w:rsidRPr="00C03C35">
              <w:rPr>
                <w:rFonts w:eastAsiaTheme="minorEastAsia" w:cstheme="minorHAnsi"/>
                <w:iCs/>
                <w:sz w:val="20"/>
                <w:szCs w:val="20"/>
                <w:lang w:val="en-GB"/>
              </w:rPr>
              <w:t>(</w:t>
            </w:r>
            <w:r w:rsidRPr="00C03C35">
              <w:rPr>
                <w:rFonts w:eastAsiaTheme="minorEastAsia" w:cstheme="minorHAnsi"/>
                <w:b/>
                <w:iCs/>
                <w:sz w:val="20"/>
                <w:szCs w:val="20"/>
                <w:lang w:val="en-GB"/>
              </w:rPr>
              <w:t>Equation S6</w:t>
            </w:r>
            <w:r w:rsidRPr="00C03C35">
              <w:rPr>
                <w:rFonts w:eastAsiaTheme="minorEastAsia" w:cstheme="minorHAnsi"/>
                <w:iCs/>
                <w:sz w:val="20"/>
                <w:szCs w:val="20"/>
                <w:lang w:val="en-GB"/>
              </w:rPr>
              <w:t>)</w:t>
            </w:r>
          </w:p>
        </w:tc>
      </w:tr>
    </w:tbl>
    <w:p w14:paraId="629A9B6E" w14:textId="77777777" w:rsidR="00BF17FF" w:rsidRPr="00C03C35" w:rsidRDefault="00BF17FF" w:rsidP="00BF17FF">
      <w:pPr>
        <w:jc w:val="both"/>
        <w:rPr>
          <w:rFonts w:eastAsiaTheme="minorEastAsia" w:cstheme="minorHAnsi"/>
          <w:iCs/>
          <w:lang w:val="en-GB"/>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gridCol w:w="1577"/>
      </w:tblGrid>
      <w:tr w:rsidR="00BF17FF" w:rsidRPr="00C03C35" w14:paraId="57C6A7E5" w14:textId="77777777" w:rsidTr="00BF17FF">
        <w:trPr>
          <w:jc w:val="center"/>
        </w:trPr>
        <w:tc>
          <w:tcPr>
            <w:tcW w:w="4218" w:type="pct"/>
            <w:vAlign w:val="center"/>
          </w:tcPr>
          <w:p w14:paraId="6049AC4B" w14:textId="4878D6E9" w:rsidR="00BF17FF" w:rsidRPr="00C03C35" w:rsidRDefault="00C04441" w:rsidP="00BF17FF">
            <w:pPr>
              <w:rPr>
                <w:rFonts w:eastAsiaTheme="minorEastAsia" w:cstheme="minorHAnsi"/>
                <w:iCs/>
                <w:lang w:val="en-GB"/>
              </w:rPr>
            </w:pPr>
            <w:r w:rsidRPr="00C03C35">
              <w:rPr>
                <w:rFonts w:eastAsiaTheme="minorEastAsia" w:cstheme="minorHAnsi"/>
                <w:iCs/>
                <w:position w:val="-26"/>
                <w:lang w:val="en-GB"/>
              </w:rPr>
              <w:object w:dxaOrig="7839" w:dyaOrig="620" w14:anchorId="6FEEE50A">
                <v:shape id="_x0000_i1031" type="#_x0000_t75" style="width:394pt;height:30pt" o:ole="">
                  <v:imagedata r:id="rId26" o:title=""/>
                </v:shape>
                <o:OLEObject Type="Embed" ProgID="Equation.DSMT4" ShapeID="_x0000_i1031" DrawAspect="Content" ObjectID="_1741773451" r:id="rId27"/>
              </w:object>
            </w:r>
          </w:p>
        </w:tc>
        <w:tc>
          <w:tcPr>
            <w:tcW w:w="782" w:type="pct"/>
            <w:vAlign w:val="center"/>
          </w:tcPr>
          <w:p w14:paraId="05639137" w14:textId="77777777" w:rsidR="00BF17FF" w:rsidRPr="00C03C35" w:rsidRDefault="00BF17FF" w:rsidP="00BF17FF">
            <w:pPr>
              <w:jc w:val="right"/>
              <w:rPr>
                <w:rFonts w:eastAsiaTheme="minorEastAsia" w:cstheme="minorHAnsi"/>
                <w:iCs/>
                <w:lang w:val="en-GB"/>
              </w:rPr>
            </w:pPr>
            <w:r w:rsidRPr="00C03C35">
              <w:rPr>
                <w:rFonts w:eastAsiaTheme="minorEastAsia" w:cstheme="minorHAnsi"/>
                <w:iCs/>
                <w:sz w:val="20"/>
                <w:szCs w:val="20"/>
                <w:lang w:val="en-GB"/>
              </w:rPr>
              <w:t>(</w:t>
            </w:r>
            <w:r w:rsidRPr="00C03C35">
              <w:rPr>
                <w:rFonts w:eastAsiaTheme="minorEastAsia" w:cstheme="minorHAnsi"/>
                <w:b/>
                <w:iCs/>
                <w:sz w:val="20"/>
                <w:szCs w:val="20"/>
                <w:lang w:val="en-GB"/>
              </w:rPr>
              <w:t>Equation S7</w:t>
            </w:r>
            <w:r w:rsidRPr="00C03C35">
              <w:rPr>
                <w:rFonts w:eastAsiaTheme="minorEastAsia" w:cstheme="minorHAnsi"/>
                <w:iCs/>
                <w:sz w:val="20"/>
                <w:szCs w:val="20"/>
                <w:lang w:val="en-GB"/>
              </w:rPr>
              <w:t>)</w:t>
            </w:r>
          </w:p>
        </w:tc>
      </w:tr>
    </w:tbl>
    <w:p w14:paraId="7B23EFE1" w14:textId="77777777" w:rsidR="00BF17FF" w:rsidRPr="00C03C35" w:rsidRDefault="00BF17FF" w:rsidP="00BF17FF">
      <w:pPr>
        <w:jc w:val="both"/>
        <w:rPr>
          <w:rFonts w:eastAsiaTheme="minorEastAsia" w:cstheme="minorHAnsi"/>
          <w:iCs/>
          <w:lang w:val="en-GB"/>
        </w:rPr>
      </w:pPr>
      <w:r w:rsidRPr="00C03C35">
        <w:rPr>
          <w:rFonts w:eastAsiaTheme="minorEastAsia" w:cstheme="minorHAnsi"/>
          <w:iCs/>
          <w:lang w:val="en-GB"/>
        </w:rPr>
        <w:tab/>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57"/>
        <w:gridCol w:w="1323"/>
      </w:tblGrid>
      <w:tr w:rsidR="00BF17FF" w:rsidRPr="00C03C35" w14:paraId="77899F94" w14:textId="77777777" w:rsidTr="00BF17FF">
        <w:trPr>
          <w:jc w:val="center"/>
        </w:trPr>
        <w:tc>
          <w:tcPr>
            <w:tcW w:w="4356" w:type="pct"/>
            <w:vAlign w:val="center"/>
          </w:tcPr>
          <w:p w14:paraId="2CB675F6" w14:textId="51F4F334" w:rsidR="00BF17FF" w:rsidRPr="00C03C35" w:rsidRDefault="00DD022D" w:rsidP="00BF17FF">
            <w:pPr>
              <w:rPr>
                <w:rFonts w:eastAsiaTheme="minorEastAsia" w:cstheme="minorHAnsi"/>
                <w:iCs/>
                <w:lang w:val="en-GB"/>
              </w:rPr>
            </w:pPr>
            <w:r w:rsidRPr="00DD022D">
              <w:rPr>
                <w:rFonts w:eastAsiaTheme="minorEastAsia" w:cstheme="minorHAnsi"/>
                <w:iCs/>
                <w:position w:val="-48"/>
                <w:lang w:val="en-GB"/>
              </w:rPr>
              <w:object w:dxaOrig="6460" w:dyaOrig="1060" w14:anchorId="3AD59B7B">
                <v:shape id="_x0000_i1032" type="#_x0000_t75" style="width:320.65pt;height:50pt" o:ole="">
                  <v:imagedata r:id="rId28" o:title=""/>
                </v:shape>
                <o:OLEObject Type="Embed" ProgID="Equation.DSMT4" ShapeID="_x0000_i1032" DrawAspect="Content" ObjectID="_1741773452" r:id="rId29"/>
              </w:object>
            </w:r>
          </w:p>
        </w:tc>
        <w:tc>
          <w:tcPr>
            <w:tcW w:w="644" w:type="pct"/>
            <w:vAlign w:val="center"/>
          </w:tcPr>
          <w:p w14:paraId="6ED83582" w14:textId="77777777" w:rsidR="00BF17FF" w:rsidRPr="00C03C35" w:rsidRDefault="00BF17FF" w:rsidP="00BF17FF">
            <w:pPr>
              <w:rPr>
                <w:rFonts w:eastAsiaTheme="minorEastAsia" w:cstheme="minorHAnsi"/>
                <w:b/>
                <w:iCs/>
                <w:sz w:val="20"/>
                <w:szCs w:val="20"/>
                <w:lang w:val="en-GB"/>
              </w:rPr>
            </w:pPr>
            <w:r w:rsidRPr="00C03C35">
              <w:rPr>
                <w:rFonts w:eastAsiaTheme="minorEastAsia" w:cstheme="minorHAnsi"/>
                <w:iCs/>
                <w:sz w:val="20"/>
                <w:szCs w:val="20"/>
                <w:lang w:val="en-GB"/>
              </w:rPr>
              <w:t>(</w:t>
            </w:r>
            <w:r w:rsidRPr="00C03C35">
              <w:rPr>
                <w:rFonts w:eastAsiaTheme="minorEastAsia" w:cstheme="minorHAnsi"/>
                <w:b/>
                <w:iCs/>
                <w:sz w:val="20"/>
                <w:szCs w:val="20"/>
                <w:lang w:val="en-GB"/>
              </w:rPr>
              <w:t>Equation S8</w:t>
            </w:r>
            <w:r w:rsidRPr="00C03C35">
              <w:rPr>
                <w:rFonts w:eastAsiaTheme="minorEastAsia" w:cstheme="minorHAnsi"/>
                <w:iCs/>
                <w:sz w:val="20"/>
                <w:szCs w:val="20"/>
                <w:lang w:val="en-GB"/>
              </w:rPr>
              <w:t>)</w:t>
            </w:r>
          </w:p>
        </w:tc>
      </w:tr>
    </w:tbl>
    <w:p w14:paraId="75BBEB92" w14:textId="77777777" w:rsidR="00BF17FF" w:rsidRPr="00C03C35" w:rsidRDefault="00BF17FF" w:rsidP="00BF17FF">
      <w:pPr>
        <w:jc w:val="both"/>
        <w:rPr>
          <w:rFonts w:eastAsiaTheme="minorEastAsia" w:cstheme="minorHAnsi"/>
          <w:iCs/>
          <w:lang w:val="en-GB"/>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2"/>
        <w:gridCol w:w="1518"/>
      </w:tblGrid>
      <w:tr w:rsidR="00BF17FF" w:rsidRPr="00C03C35" w14:paraId="34556B9B" w14:textId="77777777" w:rsidTr="00BF17FF">
        <w:trPr>
          <w:jc w:val="center"/>
        </w:trPr>
        <w:tc>
          <w:tcPr>
            <w:tcW w:w="4247" w:type="pct"/>
          </w:tcPr>
          <w:p w14:paraId="45493527" w14:textId="3ABB5670" w:rsidR="00BF17FF" w:rsidRPr="00C03C35" w:rsidRDefault="004A232D" w:rsidP="00BF17FF">
            <w:pPr>
              <w:rPr>
                <w:rFonts w:eastAsiaTheme="minorEastAsia" w:cstheme="minorHAnsi"/>
                <w:i/>
                <w:iCs/>
                <w:lang w:val="en-GB"/>
              </w:rPr>
            </w:pPr>
            <w:r w:rsidRPr="00C03C35">
              <w:rPr>
                <w:rFonts w:eastAsiaTheme="minorEastAsia" w:cstheme="minorHAnsi"/>
                <w:iCs/>
                <w:position w:val="-10"/>
                <w:lang w:val="en-GB"/>
              </w:rPr>
              <w:object w:dxaOrig="8120" w:dyaOrig="279" w14:anchorId="2FBA986C">
                <v:shape id="_x0000_i1033" type="#_x0000_t75" style="width:406.65pt;height:13.65pt" o:ole="">
                  <v:imagedata r:id="rId30" o:title=""/>
                </v:shape>
                <o:OLEObject Type="Embed" ProgID="Equation.DSMT4" ShapeID="_x0000_i1033" DrawAspect="Content" ObjectID="_1741773453" r:id="rId31"/>
              </w:object>
            </w:r>
          </w:p>
        </w:tc>
        <w:tc>
          <w:tcPr>
            <w:tcW w:w="753" w:type="pct"/>
          </w:tcPr>
          <w:p w14:paraId="2488EF6A" w14:textId="77777777" w:rsidR="00BF17FF" w:rsidRPr="00C03C35" w:rsidRDefault="00BF17FF" w:rsidP="00BF17FF">
            <w:pPr>
              <w:jc w:val="right"/>
              <w:rPr>
                <w:rFonts w:eastAsiaTheme="minorEastAsia" w:cstheme="minorHAnsi"/>
                <w:iCs/>
                <w:sz w:val="20"/>
                <w:szCs w:val="20"/>
                <w:lang w:val="en-GB"/>
              </w:rPr>
            </w:pPr>
            <w:r w:rsidRPr="00C03C35">
              <w:rPr>
                <w:rFonts w:eastAsiaTheme="minorEastAsia" w:cstheme="minorHAnsi"/>
                <w:iCs/>
                <w:sz w:val="20"/>
                <w:szCs w:val="20"/>
                <w:lang w:val="en-GB"/>
              </w:rPr>
              <w:t>(</w:t>
            </w:r>
            <w:r w:rsidRPr="00C03C35">
              <w:rPr>
                <w:rFonts w:eastAsiaTheme="minorEastAsia" w:cstheme="minorHAnsi"/>
                <w:b/>
                <w:iCs/>
                <w:sz w:val="20"/>
                <w:szCs w:val="20"/>
                <w:lang w:val="en-GB"/>
              </w:rPr>
              <w:t>Equation S9</w:t>
            </w:r>
            <w:r w:rsidRPr="00C03C35">
              <w:rPr>
                <w:rFonts w:eastAsiaTheme="minorEastAsia" w:cstheme="minorHAnsi"/>
                <w:iCs/>
                <w:sz w:val="20"/>
                <w:szCs w:val="20"/>
                <w:lang w:val="en-GB"/>
              </w:rPr>
              <w:t>)</w:t>
            </w:r>
          </w:p>
        </w:tc>
      </w:tr>
    </w:tbl>
    <w:p w14:paraId="4C0DF8B1" w14:textId="1B4203F8" w:rsidR="00BF17FF" w:rsidRPr="00C03C35" w:rsidRDefault="00BF17FF" w:rsidP="00BF17FF">
      <w:pPr>
        <w:spacing w:before="240"/>
        <w:jc w:val="both"/>
        <w:rPr>
          <w:lang w:val="en-GB"/>
        </w:rPr>
      </w:pPr>
      <w:r w:rsidRPr="00C03C35">
        <w:rPr>
          <w:lang w:val="en-GB"/>
        </w:rPr>
        <w:t xml:space="preserve">We retrieved European average </w:t>
      </w:r>
      <w:r w:rsidRPr="00C03C35">
        <w:rPr>
          <w:rFonts w:eastAsiaTheme="minorEastAsia" w:cstheme="minorHAnsi"/>
          <w:iCs/>
          <w:lang w:val="en-GB"/>
        </w:rPr>
        <w:t>LCOE</w:t>
      </w:r>
      <w:r w:rsidRPr="00C03C35">
        <w:rPr>
          <w:lang w:val="en-GB"/>
        </w:rPr>
        <w:t xml:space="preserve"> for on-shore wind and solar electricity and their corresponding capacity factors from the International Renewable Energy Agency (IRENA)</w:t>
      </w:r>
      <w:r w:rsidRPr="00C03C35">
        <w:rPr>
          <w:lang w:val="en-GB"/>
        </w:rPr>
        <w:fldChar w:fldCharType="begin"/>
      </w:r>
      <w:r w:rsidR="003070D5">
        <w:rPr>
          <w:lang w:val="en-GB"/>
        </w:rPr>
        <w:instrText xml:space="preserve"> ADDIN ZOTERO_ITEM CSL_CITATION {"citationID":"iiHdVYN6","properties":{"formattedCitation":"\\super 11\\nosupersub{}","plainCitation":"11","noteIndex":0},"citationItems":[{"id":"dHwHotKY/TtEoZ1BM","uris":["http://zotero.org/users/9157291/items/LLHHPAKQ"],"itemData":{"id":31758,"type":"report","language":"en","publisher":"International Renewable Energy Agency","source":"Zotero","title":"Renewable power generation costs in 2021","author":[{"family":"IRENA","given":""}],"issued":{"date-parts":[["2021"]]}}}],"schema":"https://github.com/citation-style-language/schema/raw/master/csl-citation.json"} </w:instrText>
      </w:r>
      <w:r w:rsidRPr="00C03C35">
        <w:rPr>
          <w:lang w:val="en-GB"/>
        </w:rPr>
        <w:fldChar w:fldCharType="separate"/>
      </w:r>
      <w:r w:rsidR="00735128" w:rsidRPr="00735128">
        <w:rPr>
          <w:rFonts w:ascii="Calibri" w:hAnsi="Calibri" w:cs="Calibri"/>
          <w:szCs w:val="24"/>
          <w:vertAlign w:val="superscript"/>
        </w:rPr>
        <w:t>11</w:t>
      </w:r>
      <w:r w:rsidRPr="00C03C35">
        <w:rPr>
          <w:lang w:val="en-GB"/>
        </w:rPr>
        <w:fldChar w:fldCharType="end"/>
      </w:r>
      <w:r w:rsidRPr="00C03C35">
        <w:rPr>
          <w:lang w:val="en-GB"/>
        </w:rPr>
        <w:t xml:space="preserve"> for 2019 to 2021, as shown in </w:t>
      </w:r>
      <w:r w:rsidRPr="00C03C35">
        <w:rPr>
          <w:b/>
          <w:lang w:val="en-GB"/>
        </w:rPr>
        <w:t>Table S6</w:t>
      </w:r>
      <w:r w:rsidRPr="00C03C35">
        <w:rPr>
          <w:lang w:val="en-GB"/>
        </w:rPr>
        <w:t xml:space="preserve">. </w:t>
      </w:r>
    </w:p>
    <w:p w14:paraId="4F0A80E8" w14:textId="72CD804A" w:rsidR="00BF17FF" w:rsidRPr="00C03C35" w:rsidRDefault="00BF17FF" w:rsidP="00BF17FF">
      <w:pPr>
        <w:pStyle w:val="Caption"/>
        <w:keepNext/>
        <w:jc w:val="both"/>
        <w:rPr>
          <w:b/>
          <w:sz w:val="20"/>
          <w:szCs w:val="20"/>
        </w:rPr>
      </w:pPr>
      <w:bookmarkStart w:id="9" w:name="_Ref127893525"/>
      <w:r w:rsidRPr="00C03C35">
        <w:rPr>
          <w:b/>
          <w:i w:val="0"/>
          <w:color w:val="auto"/>
          <w:sz w:val="20"/>
          <w:szCs w:val="20"/>
        </w:rPr>
        <w:t>Table S</w:t>
      </w:r>
      <w:r w:rsidRPr="00C03C35">
        <w:rPr>
          <w:b/>
          <w:i w:val="0"/>
          <w:color w:val="auto"/>
          <w:sz w:val="20"/>
          <w:szCs w:val="20"/>
        </w:rPr>
        <w:fldChar w:fldCharType="begin"/>
      </w:r>
      <w:r w:rsidRPr="00C03C35">
        <w:rPr>
          <w:b/>
          <w:i w:val="0"/>
          <w:color w:val="auto"/>
          <w:sz w:val="20"/>
          <w:szCs w:val="20"/>
        </w:rPr>
        <w:instrText xml:space="preserve"> SEQ Table_S \* ARABIC </w:instrText>
      </w:r>
      <w:r w:rsidRPr="00C03C35">
        <w:rPr>
          <w:b/>
          <w:i w:val="0"/>
          <w:color w:val="auto"/>
          <w:sz w:val="20"/>
          <w:szCs w:val="20"/>
        </w:rPr>
        <w:fldChar w:fldCharType="separate"/>
      </w:r>
      <w:r w:rsidR="003B7BCC">
        <w:rPr>
          <w:b/>
          <w:i w:val="0"/>
          <w:noProof/>
          <w:color w:val="auto"/>
          <w:sz w:val="20"/>
          <w:szCs w:val="20"/>
        </w:rPr>
        <w:t>6</w:t>
      </w:r>
      <w:r w:rsidRPr="00C03C35">
        <w:rPr>
          <w:b/>
          <w:i w:val="0"/>
          <w:color w:val="auto"/>
          <w:sz w:val="20"/>
          <w:szCs w:val="20"/>
        </w:rPr>
        <w:fldChar w:fldCharType="end"/>
      </w:r>
      <w:bookmarkEnd w:id="9"/>
      <w:r w:rsidRPr="00C03C35">
        <w:rPr>
          <w:b/>
          <w:i w:val="0"/>
          <w:color w:val="auto"/>
          <w:sz w:val="20"/>
          <w:szCs w:val="20"/>
        </w:rPr>
        <w:t xml:space="preserve">. </w:t>
      </w:r>
      <w:r w:rsidRPr="00C03C35">
        <w:rPr>
          <w:b/>
          <w:bCs/>
          <w:i w:val="0"/>
          <w:iCs w:val="0"/>
          <w:color w:val="auto"/>
          <w:sz w:val="20"/>
          <w:szCs w:val="20"/>
        </w:rPr>
        <w:t>Levelised cost of electricity (LCOE) in USD MWh</w:t>
      </w:r>
      <w:r w:rsidRPr="00C03C35">
        <w:rPr>
          <w:b/>
          <w:bCs/>
          <w:i w:val="0"/>
          <w:iCs w:val="0"/>
          <w:color w:val="auto"/>
          <w:sz w:val="20"/>
          <w:szCs w:val="20"/>
          <w:vertAlign w:val="superscript"/>
        </w:rPr>
        <w:t>–1</w:t>
      </w:r>
      <w:r w:rsidRPr="00C03C35">
        <w:rPr>
          <w:b/>
          <w:bCs/>
          <w:i w:val="0"/>
          <w:iCs w:val="0"/>
          <w:color w:val="auto"/>
          <w:sz w:val="20"/>
          <w:szCs w:val="20"/>
        </w:rPr>
        <w:t xml:space="preserve"> and capacity factors (CF) in Europe.</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9"/>
        <w:gridCol w:w="581"/>
        <w:gridCol w:w="558"/>
        <w:gridCol w:w="594"/>
        <w:gridCol w:w="714"/>
        <w:gridCol w:w="581"/>
        <w:gridCol w:w="558"/>
        <w:gridCol w:w="594"/>
        <w:gridCol w:w="714"/>
        <w:gridCol w:w="581"/>
        <w:gridCol w:w="558"/>
        <w:gridCol w:w="594"/>
        <w:gridCol w:w="714"/>
      </w:tblGrid>
      <w:tr w:rsidR="00BF17FF" w:rsidRPr="00C03C35" w14:paraId="1D7C3264" w14:textId="77777777" w:rsidTr="00BF17FF">
        <w:trPr>
          <w:trHeight w:val="288"/>
          <w:jc w:val="center"/>
        </w:trPr>
        <w:tc>
          <w:tcPr>
            <w:tcW w:w="0" w:type="auto"/>
            <w:vMerge w:val="restart"/>
            <w:noWrap/>
            <w:vAlign w:val="center"/>
          </w:tcPr>
          <w:p w14:paraId="61001F9E" w14:textId="77777777" w:rsidR="00BF17FF" w:rsidRPr="00C03C35" w:rsidRDefault="00BF17FF" w:rsidP="00BF17FF">
            <w:pPr>
              <w:jc w:val="both"/>
              <w:rPr>
                <w:rFonts w:eastAsia="Times New Roman"/>
                <w:b/>
                <w:color w:val="000000"/>
                <w:sz w:val="20"/>
                <w:szCs w:val="20"/>
                <w:lang w:val="en-GB"/>
              </w:rPr>
            </w:pPr>
            <w:r w:rsidRPr="00C03C35">
              <w:rPr>
                <w:rFonts w:eastAsia="Times New Roman"/>
                <w:b/>
                <w:color w:val="000000"/>
                <w:sz w:val="20"/>
                <w:szCs w:val="20"/>
                <w:lang w:val="en-GB"/>
              </w:rPr>
              <w:t>Power technology</w:t>
            </w:r>
          </w:p>
        </w:tc>
        <w:tc>
          <w:tcPr>
            <w:tcW w:w="0" w:type="auto"/>
            <w:gridSpan w:val="4"/>
            <w:tcBorders>
              <w:bottom w:val="single" w:sz="4" w:space="0" w:color="auto"/>
            </w:tcBorders>
            <w:noWrap/>
            <w:hideMark/>
          </w:tcPr>
          <w:p w14:paraId="5CC9DA58"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2019</w:t>
            </w:r>
          </w:p>
        </w:tc>
        <w:tc>
          <w:tcPr>
            <w:tcW w:w="0" w:type="auto"/>
            <w:gridSpan w:val="4"/>
            <w:tcBorders>
              <w:bottom w:val="single" w:sz="4" w:space="0" w:color="auto"/>
            </w:tcBorders>
            <w:noWrap/>
            <w:hideMark/>
          </w:tcPr>
          <w:p w14:paraId="46CA5C07"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2020</w:t>
            </w:r>
          </w:p>
        </w:tc>
        <w:tc>
          <w:tcPr>
            <w:tcW w:w="0" w:type="auto"/>
            <w:gridSpan w:val="4"/>
            <w:tcBorders>
              <w:bottom w:val="single" w:sz="4" w:space="0" w:color="auto"/>
            </w:tcBorders>
          </w:tcPr>
          <w:p w14:paraId="5C394E42"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2021</w:t>
            </w:r>
          </w:p>
        </w:tc>
      </w:tr>
      <w:tr w:rsidR="00BF17FF" w:rsidRPr="00C03C35" w14:paraId="19C7BCC3" w14:textId="77777777" w:rsidTr="00BF17FF">
        <w:trPr>
          <w:trHeight w:val="288"/>
          <w:jc w:val="center"/>
        </w:trPr>
        <w:tc>
          <w:tcPr>
            <w:tcW w:w="0" w:type="auto"/>
            <w:vMerge/>
            <w:tcBorders>
              <w:bottom w:val="single" w:sz="4" w:space="0" w:color="auto"/>
            </w:tcBorders>
            <w:noWrap/>
          </w:tcPr>
          <w:p w14:paraId="40A5D5D5" w14:textId="77777777" w:rsidR="00BF17FF" w:rsidRPr="00C03C35" w:rsidRDefault="00BF17FF" w:rsidP="00BF17FF">
            <w:pPr>
              <w:jc w:val="both"/>
              <w:rPr>
                <w:rFonts w:eastAsia="Times New Roman"/>
                <w:color w:val="000000"/>
                <w:sz w:val="20"/>
                <w:szCs w:val="20"/>
                <w:lang w:val="en-GB"/>
              </w:rPr>
            </w:pPr>
          </w:p>
        </w:tc>
        <w:tc>
          <w:tcPr>
            <w:tcW w:w="0" w:type="auto"/>
            <w:tcBorders>
              <w:top w:val="single" w:sz="4" w:space="0" w:color="auto"/>
              <w:bottom w:val="single" w:sz="4" w:space="0" w:color="auto"/>
            </w:tcBorders>
            <w:noWrap/>
            <w:hideMark/>
          </w:tcPr>
          <w:p w14:paraId="35092C5D"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Avg.</w:t>
            </w:r>
          </w:p>
        </w:tc>
        <w:tc>
          <w:tcPr>
            <w:tcW w:w="0" w:type="auto"/>
            <w:tcBorders>
              <w:top w:val="single" w:sz="4" w:space="0" w:color="auto"/>
              <w:bottom w:val="single" w:sz="4" w:space="0" w:color="auto"/>
            </w:tcBorders>
            <w:noWrap/>
            <w:hideMark/>
          </w:tcPr>
          <w:p w14:paraId="3BF7B969"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Low</w:t>
            </w:r>
          </w:p>
        </w:tc>
        <w:tc>
          <w:tcPr>
            <w:tcW w:w="0" w:type="auto"/>
            <w:tcBorders>
              <w:top w:val="single" w:sz="4" w:space="0" w:color="auto"/>
              <w:bottom w:val="single" w:sz="4" w:space="0" w:color="auto"/>
            </w:tcBorders>
            <w:noWrap/>
            <w:hideMark/>
          </w:tcPr>
          <w:p w14:paraId="2990D1E1"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High</w:t>
            </w:r>
          </w:p>
        </w:tc>
        <w:tc>
          <w:tcPr>
            <w:tcW w:w="0" w:type="auto"/>
            <w:tcBorders>
              <w:top w:val="single" w:sz="4" w:space="0" w:color="auto"/>
              <w:bottom w:val="single" w:sz="4" w:space="0" w:color="auto"/>
            </w:tcBorders>
            <w:noWrap/>
            <w:hideMark/>
          </w:tcPr>
          <w:p w14:paraId="33D06B52"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CF</w:t>
            </w:r>
          </w:p>
        </w:tc>
        <w:tc>
          <w:tcPr>
            <w:tcW w:w="0" w:type="auto"/>
            <w:tcBorders>
              <w:top w:val="single" w:sz="4" w:space="0" w:color="auto"/>
              <w:bottom w:val="single" w:sz="4" w:space="0" w:color="auto"/>
            </w:tcBorders>
            <w:noWrap/>
            <w:hideMark/>
          </w:tcPr>
          <w:p w14:paraId="5DB206AC"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Avg.</w:t>
            </w:r>
          </w:p>
        </w:tc>
        <w:tc>
          <w:tcPr>
            <w:tcW w:w="0" w:type="auto"/>
            <w:tcBorders>
              <w:top w:val="single" w:sz="4" w:space="0" w:color="auto"/>
              <w:bottom w:val="single" w:sz="4" w:space="0" w:color="auto"/>
            </w:tcBorders>
            <w:noWrap/>
            <w:hideMark/>
          </w:tcPr>
          <w:p w14:paraId="11B6E52E"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Low</w:t>
            </w:r>
          </w:p>
        </w:tc>
        <w:tc>
          <w:tcPr>
            <w:tcW w:w="0" w:type="auto"/>
            <w:tcBorders>
              <w:top w:val="single" w:sz="4" w:space="0" w:color="auto"/>
              <w:bottom w:val="single" w:sz="4" w:space="0" w:color="auto"/>
            </w:tcBorders>
            <w:noWrap/>
            <w:hideMark/>
          </w:tcPr>
          <w:p w14:paraId="3082D062"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High</w:t>
            </w:r>
          </w:p>
        </w:tc>
        <w:tc>
          <w:tcPr>
            <w:tcW w:w="0" w:type="auto"/>
            <w:tcBorders>
              <w:top w:val="single" w:sz="4" w:space="0" w:color="auto"/>
              <w:bottom w:val="single" w:sz="4" w:space="0" w:color="auto"/>
            </w:tcBorders>
            <w:noWrap/>
            <w:hideMark/>
          </w:tcPr>
          <w:p w14:paraId="2580FBB2"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CF</w:t>
            </w:r>
          </w:p>
        </w:tc>
        <w:tc>
          <w:tcPr>
            <w:tcW w:w="0" w:type="auto"/>
            <w:tcBorders>
              <w:top w:val="single" w:sz="4" w:space="0" w:color="auto"/>
              <w:bottom w:val="single" w:sz="4" w:space="0" w:color="auto"/>
            </w:tcBorders>
          </w:tcPr>
          <w:p w14:paraId="6044A910"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Avg.</w:t>
            </w:r>
          </w:p>
        </w:tc>
        <w:tc>
          <w:tcPr>
            <w:tcW w:w="0" w:type="auto"/>
            <w:tcBorders>
              <w:top w:val="single" w:sz="4" w:space="0" w:color="auto"/>
              <w:bottom w:val="single" w:sz="4" w:space="0" w:color="auto"/>
            </w:tcBorders>
          </w:tcPr>
          <w:p w14:paraId="4516BD01"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Low</w:t>
            </w:r>
          </w:p>
        </w:tc>
        <w:tc>
          <w:tcPr>
            <w:tcW w:w="0" w:type="auto"/>
            <w:tcBorders>
              <w:top w:val="single" w:sz="4" w:space="0" w:color="auto"/>
              <w:bottom w:val="single" w:sz="4" w:space="0" w:color="auto"/>
            </w:tcBorders>
          </w:tcPr>
          <w:p w14:paraId="145DA250"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High</w:t>
            </w:r>
          </w:p>
        </w:tc>
        <w:tc>
          <w:tcPr>
            <w:tcW w:w="0" w:type="auto"/>
            <w:tcBorders>
              <w:top w:val="single" w:sz="4" w:space="0" w:color="auto"/>
              <w:bottom w:val="single" w:sz="4" w:space="0" w:color="auto"/>
            </w:tcBorders>
          </w:tcPr>
          <w:p w14:paraId="67288D75"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CF</w:t>
            </w:r>
          </w:p>
        </w:tc>
      </w:tr>
      <w:tr w:rsidR="00BF17FF" w:rsidRPr="00C03C35" w14:paraId="5C2A7ED0" w14:textId="77777777" w:rsidTr="00BF17FF">
        <w:trPr>
          <w:trHeight w:val="288"/>
          <w:jc w:val="center"/>
        </w:trPr>
        <w:tc>
          <w:tcPr>
            <w:tcW w:w="0" w:type="auto"/>
            <w:tcBorders>
              <w:top w:val="single" w:sz="4" w:space="0" w:color="auto"/>
            </w:tcBorders>
            <w:noWrap/>
            <w:hideMark/>
          </w:tcPr>
          <w:p w14:paraId="1EA156F7"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Wind - on shore</w:t>
            </w:r>
          </w:p>
        </w:tc>
        <w:tc>
          <w:tcPr>
            <w:tcW w:w="0" w:type="auto"/>
            <w:tcBorders>
              <w:top w:val="single" w:sz="4" w:space="0" w:color="auto"/>
            </w:tcBorders>
            <w:noWrap/>
            <w:hideMark/>
          </w:tcPr>
          <w:p w14:paraId="2E91F834"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67</w:t>
            </w:r>
          </w:p>
        </w:tc>
        <w:tc>
          <w:tcPr>
            <w:tcW w:w="0" w:type="auto"/>
            <w:tcBorders>
              <w:top w:val="single" w:sz="4" w:space="0" w:color="auto"/>
            </w:tcBorders>
            <w:noWrap/>
            <w:hideMark/>
          </w:tcPr>
          <w:p w14:paraId="30EBBEC1"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37</w:t>
            </w:r>
          </w:p>
        </w:tc>
        <w:tc>
          <w:tcPr>
            <w:tcW w:w="0" w:type="auto"/>
            <w:tcBorders>
              <w:top w:val="single" w:sz="4" w:space="0" w:color="auto"/>
            </w:tcBorders>
            <w:noWrap/>
            <w:hideMark/>
          </w:tcPr>
          <w:p w14:paraId="5F01C01D"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96</w:t>
            </w:r>
          </w:p>
        </w:tc>
        <w:tc>
          <w:tcPr>
            <w:tcW w:w="0" w:type="auto"/>
            <w:tcBorders>
              <w:top w:val="single" w:sz="4" w:space="0" w:color="auto"/>
            </w:tcBorders>
            <w:noWrap/>
            <w:hideMark/>
          </w:tcPr>
          <w:p w14:paraId="6133F5BF"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35.6%</w:t>
            </w:r>
          </w:p>
        </w:tc>
        <w:tc>
          <w:tcPr>
            <w:tcW w:w="0" w:type="auto"/>
            <w:tcBorders>
              <w:top w:val="single" w:sz="4" w:space="0" w:color="auto"/>
            </w:tcBorders>
            <w:noWrap/>
            <w:hideMark/>
          </w:tcPr>
          <w:p w14:paraId="216778BB"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45</w:t>
            </w:r>
          </w:p>
        </w:tc>
        <w:tc>
          <w:tcPr>
            <w:tcW w:w="0" w:type="auto"/>
            <w:tcBorders>
              <w:top w:val="single" w:sz="4" w:space="0" w:color="auto"/>
            </w:tcBorders>
            <w:noWrap/>
            <w:hideMark/>
          </w:tcPr>
          <w:p w14:paraId="198F5755"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35</w:t>
            </w:r>
          </w:p>
        </w:tc>
        <w:tc>
          <w:tcPr>
            <w:tcW w:w="0" w:type="auto"/>
            <w:tcBorders>
              <w:top w:val="single" w:sz="4" w:space="0" w:color="auto"/>
            </w:tcBorders>
            <w:noWrap/>
            <w:hideMark/>
          </w:tcPr>
          <w:p w14:paraId="2B16109A"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65</w:t>
            </w:r>
          </w:p>
        </w:tc>
        <w:tc>
          <w:tcPr>
            <w:tcW w:w="0" w:type="auto"/>
            <w:tcBorders>
              <w:top w:val="single" w:sz="4" w:space="0" w:color="auto"/>
            </w:tcBorders>
            <w:noWrap/>
            <w:hideMark/>
          </w:tcPr>
          <w:p w14:paraId="0887AAAE"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36.0%</w:t>
            </w:r>
          </w:p>
        </w:tc>
        <w:tc>
          <w:tcPr>
            <w:tcW w:w="0" w:type="auto"/>
            <w:tcBorders>
              <w:top w:val="single" w:sz="4" w:space="0" w:color="auto"/>
            </w:tcBorders>
          </w:tcPr>
          <w:p w14:paraId="57AB9AAB"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42</w:t>
            </w:r>
          </w:p>
        </w:tc>
        <w:tc>
          <w:tcPr>
            <w:tcW w:w="0" w:type="auto"/>
            <w:tcBorders>
              <w:top w:val="single" w:sz="4" w:space="0" w:color="auto"/>
            </w:tcBorders>
          </w:tcPr>
          <w:p w14:paraId="6D597A92"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26</w:t>
            </w:r>
          </w:p>
        </w:tc>
        <w:tc>
          <w:tcPr>
            <w:tcW w:w="0" w:type="auto"/>
            <w:tcBorders>
              <w:top w:val="single" w:sz="4" w:space="0" w:color="auto"/>
            </w:tcBorders>
          </w:tcPr>
          <w:p w14:paraId="1CC014D3"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59</w:t>
            </w:r>
          </w:p>
        </w:tc>
        <w:tc>
          <w:tcPr>
            <w:tcW w:w="0" w:type="auto"/>
            <w:tcBorders>
              <w:top w:val="single" w:sz="4" w:space="0" w:color="auto"/>
            </w:tcBorders>
          </w:tcPr>
          <w:p w14:paraId="0FEB97C8"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39.0%</w:t>
            </w:r>
          </w:p>
        </w:tc>
      </w:tr>
      <w:tr w:rsidR="00BF17FF" w:rsidRPr="00C03C35" w14:paraId="7780B5C3" w14:textId="77777777" w:rsidTr="00BF17FF">
        <w:trPr>
          <w:trHeight w:val="288"/>
          <w:jc w:val="center"/>
        </w:trPr>
        <w:tc>
          <w:tcPr>
            <w:tcW w:w="0" w:type="auto"/>
            <w:noWrap/>
            <w:hideMark/>
          </w:tcPr>
          <w:p w14:paraId="654FE360"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Solar PV</w:t>
            </w:r>
          </w:p>
        </w:tc>
        <w:tc>
          <w:tcPr>
            <w:tcW w:w="0" w:type="auto"/>
            <w:noWrap/>
            <w:hideMark/>
          </w:tcPr>
          <w:p w14:paraId="44D2D6B5"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68</w:t>
            </w:r>
          </w:p>
        </w:tc>
        <w:tc>
          <w:tcPr>
            <w:tcW w:w="0" w:type="auto"/>
            <w:noWrap/>
            <w:hideMark/>
          </w:tcPr>
          <w:p w14:paraId="6783A8C1"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52</w:t>
            </w:r>
          </w:p>
        </w:tc>
        <w:tc>
          <w:tcPr>
            <w:tcW w:w="0" w:type="auto"/>
            <w:noWrap/>
            <w:hideMark/>
          </w:tcPr>
          <w:p w14:paraId="40EDED7F"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190</w:t>
            </w:r>
          </w:p>
        </w:tc>
        <w:tc>
          <w:tcPr>
            <w:tcW w:w="0" w:type="auto"/>
            <w:noWrap/>
            <w:hideMark/>
          </w:tcPr>
          <w:p w14:paraId="02BD04DF"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17.5%</w:t>
            </w:r>
          </w:p>
        </w:tc>
        <w:tc>
          <w:tcPr>
            <w:tcW w:w="0" w:type="auto"/>
            <w:noWrap/>
            <w:hideMark/>
          </w:tcPr>
          <w:p w14:paraId="2870896C"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57</w:t>
            </w:r>
          </w:p>
        </w:tc>
        <w:tc>
          <w:tcPr>
            <w:tcW w:w="0" w:type="auto"/>
            <w:noWrap/>
            <w:hideMark/>
          </w:tcPr>
          <w:p w14:paraId="0054C6BD"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39</w:t>
            </w:r>
          </w:p>
        </w:tc>
        <w:tc>
          <w:tcPr>
            <w:tcW w:w="0" w:type="auto"/>
            <w:noWrap/>
            <w:hideMark/>
          </w:tcPr>
          <w:p w14:paraId="4F58E440"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163</w:t>
            </w:r>
          </w:p>
        </w:tc>
        <w:tc>
          <w:tcPr>
            <w:tcW w:w="0" w:type="auto"/>
            <w:noWrap/>
            <w:hideMark/>
          </w:tcPr>
          <w:p w14:paraId="20394FCF"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16.1%</w:t>
            </w:r>
          </w:p>
        </w:tc>
        <w:tc>
          <w:tcPr>
            <w:tcW w:w="0" w:type="auto"/>
          </w:tcPr>
          <w:p w14:paraId="51B770EB"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48</w:t>
            </w:r>
          </w:p>
        </w:tc>
        <w:tc>
          <w:tcPr>
            <w:tcW w:w="0" w:type="auto"/>
          </w:tcPr>
          <w:p w14:paraId="0573D478"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29</w:t>
            </w:r>
          </w:p>
        </w:tc>
        <w:tc>
          <w:tcPr>
            <w:tcW w:w="0" w:type="auto"/>
          </w:tcPr>
          <w:p w14:paraId="47AAC50D"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120</w:t>
            </w:r>
          </w:p>
        </w:tc>
        <w:tc>
          <w:tcPr>
            <w:tcW w:w="0" w:type="auto"/>
          </w:tcPr>
          <w:p w14:paraId="7D566C2B"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17.2%</w:t>
            </w:r>
          </w:p>
        </w:tc>
      </w:tr>
    </w:tbl>
    <w:p w14:paraId="1FC9FBB1" w14:textId="77777777" w:rsidR="00BF17FF" w:rsidRPr="00C03C35" w:rsidRDefault="00BF17FF" w:rsidP="00BF17FF">
      <w:pPr>
        <w:spacing w:before="240"/>
        <w:jc w:val="both"/>
        <w:rPr>
          <w:rFonts w:eastAsiaTheme="minorEastAsia" w:cstheme="minorHAnsi"/>
          <w:iCs/>
          <w:lang w:val="en-GB"/>
        </w:rPr>
      </w:pPr>
      <w:r w:rsidRPr="00C03C35">
        <w:rPr>
          <w:rFonts w:eastAsiaTheme="minorEastAsia" w:cstheme="minorHAnsi"/>
          <w:iCs/>
          <w:lang w:val="en-GB"/>
        </w:rPr>
        <w:t xml:space="preserve">In the final step, the LCOH is calculated by summing the CAPEX and OPEX and dividing by the total amount of hydrogen produced as shown in </w:t>
      </w:r>
      <w:r w:rsidRPr="00C03C35">
        <w:rPr>
          <w:rFonts w:eastAsiaTheme="minorEastAsia" w:cstheme="minorHAnsi"/>
          <w:b/>
          <w:iCs/>
          <w:lang w:val="en-GB"/>
        </w:rPr>
        <w:t>Equation S10</w:t>
      </w:r>
      <w:r w:rsidRPr="00C03C35">
        <w:rPr>
          <w:rFonts w:eastAsiaTheme="minorEastAsia" w:cstheme="minorHAnsi"/>
          <w:iCs/>
          <w:lang w:val="en-GB"/>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62"/>
        <w:gridCol w:w="3818"/>
      </w:tblGrid>
      <w:tr w:rsidR="00BF17FF" w:rsidRPr="00C03C35" w14:paraId="125E042B" w14:textId="77777777" w:rsidTr="00BF17FF">
        <w:trPr>
          <w:jc w:val="center"/>
        </w:trPr>
        <w:tc>
          <w:tcPr>
            <w:tcW w:w="3106" w:type="pct"/>
            <w:vAlign w:val="center"/>
          </w:tcPr>
          <w:p w14:paraId="22C986E6" w14:textId="646EDC12" w:rsidR="00BF17FF" w:rsidRPr="00C03C35" w:rsidRDefault="00682FD3" w:rsidP="00BF17FF">
            <w:pPr>
              <w:rPr>
                <w:rFonts w:eastAsiaTheme="minorEastAsia" w:cstheme="minorHAnsi"/>
                <w:i/>
                <w:iCs/>
                <w:lang w:val="en-GB"/>
              </w:rPr>
            </w:pPr>
            <w:r w:rsidRPr="00682FD3">
              <w:rPr>
                <w:rFonts w:ascii="Calibri" w:eastAsia="Times New Roman" w:hAnsi="Calibri" w:cs="Calibri"/>
                <w:iCs/>
                <w:position w:val="-54"/>
                <w:lang w:val="en-GB"/>
              </w:rPr>
              <w:object w:dxaOrig="4720" w:dyaOrig="880" w14:anchorId="24763FCD">
                <v:shape id="_x0000_i1034" type="#_x0000_t75" style="width:243.65pt;height:43.65pt" o:ole="">
                  <v:imagedata r:id="rId32" o:title=""/>
                </v:shape>
                <o:OLEObject Type="Embed" ProgID="Equation.DSMT4" ShapeID="_x0000_i1034" DrawAspect="Content" ObjectID="_1741773454" r:id="rId33"/>
              </w:object>
            </w:r>
          </w:p>
        </w:tc>
        <w:tc>
          <w:tcPr>
            <w:tcW w:w="1894" w:type="pct"/>
            <w:vAlign w:val="center"/>
          </w:tcPr>
          <w:p w14:paraId="2848F7FA" w14:textId="77777777" w:rsidR="00BF17FF" w:rsidRPr="00C03C35" w:rsidRDefault="00BF17FF" w:rsidP="00BF17FF">
            <w:pPr>
              <w:jc w:val="right"/>
              <w:rPr>
                <w:rFonts w:eastAsiaTheme="minorEastAsia" w:cstheme="minorHAnsi"/>
                <w:iCs/>
                <w:sz w:val="20"/>
                <w:szCs w:val="20"/>
                <w:lang w:val="en-GB"/>
              </w:rPr>
            </w:pPr>
            <w:r w:rsidRPr="00C03C35">
              <w:rPr>
                <w:rFonts w:eastAsiaTheme="minorEastAsia" w:cstheme="minorHAnsi"/>
                <w:iCs/>
                <w:sz w:val="20"/>
                <w:szCs w:val="20"/>
                <w:lang w:val="en-GB"/>
              </w:rPr>
              <w:t>(</w:t>
            </w:r>
            <w:r w:rsidRPr="00C03C35">
              <w:rPr>
                <w:rFonts w:eastAsiaTheme="minorEastAsia" w:cstheme="minorHAnsi"/>
                <w:b/>
                <w:iCs/>
                <w:sz w:val="20"/>
                <w:szCs w:val="20"/>
                <w:lang w:val="en-GB"/>
              </w:rPr>
              <w:t>Equation S10</w:t>
            </w:r>
            <w:r w:rsidRPr="00C03C35">
              <w:rPr>
                <w:rFonts w:eastAsiaTheme="minorEastAsia" w:cstheme="minorHAnsi"/>
                <w:iCs/>
                <w:sz w:val="20"/>
                <w:szCs w:val="20"/>
                <w:lang w:val="en-GB"/>
              </w:rPr>
              <w:t>)</w:t>
            </w:r>
          </w:p>
        </w:tc>
      </w:tr>
      <w:tr w:rsidR="00BF17FF" w:rsidRPr="00C03C35" w14:paraId="699B299F" w14:textId="77777777" w:rsidTr="00BF17FF">
        <w:trPr>
          <w:jc w:val="center"/>
        </w:trPr>
        <w:tc>
          <w:tcPr>
            <w:tcW w:w="3106" w:type="pct"/>
            <w:vAlign w:val="center"/>
          </w:tcPr>
          <w:p w14:paraId="3BD2B100" w14:textId="77777777" w:rsidR="00BF17FF" w:rsidRPr="00C03C35" w:rsidRDefault="00BF17FF" w:rsidP="00BF17FF">
            <w:pPr>
              <w:jc w:val="center"/>
              <w:rPr>
                <w:rFonts w:ascii="Calibri" w:eastAsia="Times New Roman" w:hAnsi="Calibri" w:cs="Calibri"/>
                <w:iCs/>
                <w:lang w:val="en-GB"/>
              </w:rPr>
            </w:pPr>
          </w:p>
        </w:tc>
        <w:tc>
          <w:tcPr>
            <w:tcW w:w="1894" w:type="pct"/>
            <w:vAlign w:val="center"/>
          </w:tcPr>
          <w:p w14:paraId="1CDD1C80" w14:textId="77777777" w:rsidR="00BF17FF" w:rsidRPr="00C03C35" w:rsidRDefault="00BF17FF" w:rsidP="00BF17FF">
            <w:pPr>
              <w:jc w:val="center"/>
              <w:rPr>
                <w:rFonts w:eastAsiaTheme="minorEastAsia" w:cstheme="minorHAnsi"/>
                <w:iCs/>
                <w:sz w:val="20"/>
                <w:szCs w:val="20"/>
                <w:lang w:val="en-GB"/>
              </w:rPr>
            </w:pPr>
          </w:p>
        </w:tc>
      </w:tr>
    </w:tbl>
    <w:p w14:paraId="0098B1C6" w14:textId="77777777" w:rsidR="00BF17FF" w:rsidRPr="00C03C35" w:rsidRDefault="00BF17FF" w:rsidP="00BF17FF">
      <w:pPr>
        <w:jc w:val="both"/>
        <w:rPr>
          <w:lang w:val="en-GB"/>
        </w:rPr>
      </w:pPr>
      <w:r w:rsidRPr="00C03C35">
        <w:rPr>
          <w:lang w:val="en-GB"/>
        </w:rPr>
        <w:t>Due to data gaps for 2022, we determine first the LCOH for 2021 and then adjust it for inflation using the CEPCI. The calculated average, low, and high LCOH for each power technology in each year is reported in</w:t>
      </w:r>
      <w:r w:rsidRPr="00C03C35">
        <w:rPr>
          <w:b/>
          <w:lang w:val="en-GB"/>
        </w:rPr>
        <w:t xml:space="preserve"> Table S7</w:t>
      </w:r>
      <w:r w:rsidRPr="00C03C35">
        <w:rPr>
          <w:lang w:val="en-GB"/>
        </w:rPr>
        <w:t>.</w:t>
      </w:r>
    </w:p>
    <w:p w14:paraId="1B003EA3" w14:textId="77777777" w:rsidR="00EE7D8C" w:rsidRDefault="00EE7D8C" w:rsidP="00BF17FF">
      <w:pPr>
        <w:pStyle w:val="Caption"/>
        <w:keepNext/>
        <w:jc w:val="both"/>
        <w:rPr>
          <w:b/>
          <w:i w:val="0"/>
          <w:color w:val="auto"/>
          <w:sz w:val="20"/>
          <w:szCs w:val="20"/>
        </w:rPr>
      </w:pPr>
      <w:bookmarkStart w:id="10" w:name="_Ref127893530"/>
      <w:bookmarkStart w:id="11" w:name="_Ref127893736"/>
    </w:p>
    <w:p w14:paraId="7CE8B9D0" w14:textId="69F35BE6" w:rsidR="00BF17FF" w:rsidRPr="00C03C35" w:rsidRDefault="00BF17FF" w:rsidP="00BF17FF">
      <w:pPr>
        <w:pStyle w:val="Caption"/>
        <w:keepNext/>
        <w:jc w:val="both"/>
        <w:rPr>
          <w:b/>
          <w:sz w:val="20"/>
          <w:szCs w:val="20"/>
        </w:rPr>
      </w:pPr>
      <w:r w:rsidRPr="00C03C35">
        <w:rPr>
          <w:b/>
          <w:i w:val="0"/>
          <w:color w:val="auto"/>
          <w:sz w:val="20"/>
          <w:szCs w:val="20"/>
        </w:rPr>
        <w:t>Table S</w:t>
      </w:r>
      <w:r w:rsidRPr="00C03C35">
        <w:rPr>
          <w:b/>
          <w:i w:val="0"/>
          <w:color w:val="auto"/>
          <w:sz w:val="20"/>
          <w:szCs w:val="20"/>
        </w:rPr>
        <w:fldChar w:fldCharType="begin"/>
      </w:r>
      <w:r w:rsidRPr="00C03C35">
        <w:rPr>
          <w:b/>
          <w:i w:val="0"/>
          <w:color w:val="auto"/>
          <w:sz w:val="20"/>
          <w:szCs w:val="20"/>
        </w:rPr>
        <w:instrText xml:space="preserve"> SEQ Table_S \* ARABIC </w:instrText>
      </w:r>
      <w:r w:rsidRPr="00C03C35">
        <w:rPr>
          <w:b/>
          <w:i w:val="0"/>
          <w:color w:val="auto"/>
          <w:sz w:val="20"/>
          <w:szCs w:val="20"/>
        </w:rPr>
        <w:fldChar w:fldCharType="separate"/>
      </w:r>
      <w:r w:rsidR="003B7BCC">
        <w:rPr>
          <w:b/>
          <w:i w:val="0"/>
          <w:noProof/>
          <w:color w:val="auto"/>
          <w:sz w:val="20"/>
          <w:szCs w:val="20"/>
        </w:rPr>
        <w:t>7</w:t>
      </w:r>
      <w:r w:rsidRPr="00C03C35">
        <w:rPr>
          <w:b/>
          <w:i w:val="0"/>
          <w:color w:val="auto"/>
          <w:sz w:val="20"/>
          <w:szCs w:val="20"/>
        </w:rPr>
        <w:fldChar w:fldCharType="end"/>
      </w:r>
      <w:bookmarkEnd w:id="10"/>
      <w:r w:rsidRPr="00C03C35">
        <w:rPr>
          <w:b/>
          <w:i w:val="0"/>
          <w:color w:val="auto"/>
          <w:sz w:val="20"/>
          <w:szCs w:val="20"/>
        </w:rPr>
        <w:t xml:space="preserve">. </w:t>
      </w:r>
      <w:r w:rsidRPr="00C03C35">
        <w:rPr>
          <w:b/>
          <w:bCs/>
          <w:i w:val="0"/>
          <w:iCs w:val="0"/>
          <w:color w:val="auto"/>
          <w:sz w:val="20"/>
          <w:szCs w:val="20"/>
        </w:rPr>
        <w:t>Levelised cost of hydrogen (LCOH) in USD kg</w:t>
      </w:r>
      <w:r w:rsidRPr="00C03C35">
        <w:rPr>
          <w:b/>
          <w:bCs/>
          <w:i w:val="0"/>
          <w:iCs w:val="0"/>
          <w:color w:val="auto"/>
          <w:sz w:val="20"/>
          <w:szCs w:val="20"/>
          <w:vertAlign w:val="superscript"/>
        </w:rPr>
        <w:t>–1</w:t>
      </w:r>
      <w:r w:rsidRPr="00C03C35">
        <w:rPr>
          <w:b/>
          <w:bCs/>
          <w:i w:val="0"/>
          <w:iCs w:val="0"/>
          <w:color w:val="auto"/>
          <w:sz w:val="20"/>
          <w:szCs w:val="20"/>
        </w:rPr>
        <w:t xml:space="preserve">. </w:t>
      </w:r>
      <w:r w:rsidRPr="00C03C35">
        <w:rPr>
          <w:bCs/>
          <w:i w:val="0"/>
          <w:iCs w:val="0"/>
          <w:color w:val="auto"/>
          <w:sz w:val="20"/>
          <w:szCs w:val="20"/>
        </w:rPr>
        <w:t>Section 2.</w:t>
      </w:r>
      <w:r w:rsidR="002F3504" w:rsidRPr="00C03C35">
        <w:rPr>
          <w:bCs/>
          <w:i w:val="0"/>
          <w:iCs w:val="0"/>
          <w:color w:val="auto"/>
          <w:sz w:val="20"/>
          <w:szCs w:val="20"/>
        </w:rPr>
        <w:t>4</w:t>
      </w:r>
      <w:r w:rsidRPr="00C03C35">
        <w:rPr>
          <w:bCs/>
          <w:i w:val="0"/>
          <w:iCs w:val="0"/>
          <w:color w:val="auto"/>
          <w:sz w:val="20"/>
          <w:szCs w:val="20"/>
        </w:rPr>
        <w:t xml:space="preserve"> provides a comprehensive explanation of the assumptions and methodology employed for computing the LCOH values.</w:t>
      </w:r>
      <w:bookmarkEnd w:id="11"/>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9"/>
        <w:gridCol w:w="581"/>
        <w:gridCol w:w="571"/>
        <w:gridCol w:w="594"/>
        <w:gridCol w:w="581"/>
        <w:gridCol w:w="571"/>
        <w:gridCol w:w="672"/>
        <w:gridCol w:w="581"/>
        <w:gridCol w:w="571"/>
        <w:gridCol w:w="672"/>
        <w:gridCol w:w="581"/>
        <w:gridCol w:w="571"/>
        <w:gridCol w:w="672"/>
      </w:tblGrid>
      <w:tr w:rsidR="00BF17FF" w:rsidRPr="00C03C35" w14:paraId="4C19F406" w14:textId="77777777" w:rsidTr="00BF17FF">
        <w:trPr>
          <w:trHeight w:val="288"/>
          <w:jc w:val="center"/>
        </w:trPr>
        <w:tc>
          <w:tcPr>
            <w:tcW w:w="0" w:type="auto"/>
            <w:vMerge w:val="restart"/>
            <w:noWrap/>
            <w:vAlign w:val="center"/>
          </w:tcPr>
          <w:p w14:paraId="072D6C4F" w14:textId="77777777" w:rsidR="00BF17FF" w:rsidRPr="00C03C35" w:rsidRDefault="00BF17FF" w:rsidP="00BF17FF">
            <w:pPr>
              <w:jc w:val="both"/>
              <w:rPr>
                <w:rFonts w:eastAsia="Times New Roman"/>
                <w:color w:val="000000"/>
                <w:sz w:val="20"/>
                <w:szCs w:val="20"/>
                <w:lang w:val="en-GB"/>
              </w:rPr>
            </w:pPr>
            <w:r w:rsidRPr="00C03C35">
              <w:rPr>
                <w:rFonts w:eastAsia="Times New Roman"/>
                <w:b/>
                <w:color w:val="000000"/>
                <w:sz w:val="20"/>
                <w:szCs w:val="20"/>
                <w:lang w:val="en-GB"/>
              </w:rPr>
              <w:t>Power technology</w:t>
            </w:r>
          </w:p>
        </w:tc>
        <w:tc>
          <w:tcPr>
            <w:tcW w:w="0" w:type="auto"/>
            <w:gridSpan w:val="3"/>
            <w:tcBorders>
              <w:bottom w:val="single" w:sz="4" w:space="0" w:color="auto"/>
            </w:tcBorders>
            <w:noWrap/>
            <w:hideMark/>
          </w:tcPr>
          <w:p w14:paraId="74A0C892"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2019</w:t>
            </w:r>
          </w:p>
        </w:tc>
        <w:tc>
          <w:tcPr>
            <w:tcW w:w="0" w:type="auto"/>
            <w:gridSpan w:val="3"/>
            <w:tcBorders>
              <w:bottom w:val="single" w:sz="4" w:space="0" w:color="auto"/>
            </w:tcBorders>
            <w:noWrap/>
            <w:hideMark/>
          </w:tcPr>
          <w:p w14:paraId="573B79E1"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2020</w:t>
            </w:r>
          </w:p>
        </w:tc>
        <w:tc>
          <w:tcPr>
            <w:tcW w:w="0" w:type="auto"/>
            <w:gridSpan w:val="3"/>
            <w:tcBorders>
              <w:bottom w:val="single" w:sz="4" w:space="0" w:color="auto"/>
            </w:tcBorders>
          </w:tcPr>
          <w:p w14:paraId="1FBF9BDC"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2021</w:t>
            </w:r>
          </w:p>
        </w:tc>
        <w:tc>
          <w:tcPr>
            <w:tcW w:w="0" w:type="auto"/>
            <w:gridSpan w:val="3"/>
            <w:tcBorders>
              <w:bottom w:val="single" w:sz="4" w:space="0" w:color="auto"/>
            </w:tcBorders>
          </w:tcPr>
          <w:p w14:paraId="14CB08B6"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2022</w:t>
            </w:r>
          </w:p>
        </w:tc>
      </w:tr>
      <w:tr w:rsidR="00BF17FF" w:rsidRPr="00C03C35" w14:paraId="57DCC6D4" w14:textId="77777777" w:rsidTr="00BF17FF">
        <w:trPr>
          <w:trHeight w:val="288"/>
          <w:jc w:val="center"/>
        </w:trPr>
        <w:tc>
          <w:tcPr>
            <w:tcW w:w="0" w:type="auto"/>
            <w:vMerge/>
            <w:noWrap/>
          </w:tcPr>
          <w:p w14:paraId="1AB37614" w14:textId="77777777" w:rsidR="00BF17FF" w:rsidRPr="00C03C35" w:rsidRDefault="00BF17FF" w:rsidP="00BF17FF">
            <w:pPr>
              <w:jc w:val="both"/>
              <w:rPr>
                <w:rFonts w:eastAsia="Times New Roman"/>
                <w:color w:val="000000"/>
                <w:sz w:val="20"/>
                <w:szCs w:val="20"/>
                <w:lang w:val="en-GB"/>
              </w:rPr>
            </w:pPr>
          </w:p>
        </w:tc>
        <w:tc>
          <w:tcPr>
            <w:tcW w:w="0" w:type="auto"/>
            <w:tcBorders>
              <w:top w:val="single" w:sz="4" w:space="0" w:color="auto"/>
              <w:bottom w:val="single" w:sz="4" w:space="0" w:color="auto"/>
            </w:tcBorders>
            <w:noWrap/>
            <w:hideMark/>
          </w:tcPr>
          <w:p w14:paraId="71C5A651"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Avg.</w:t>
            </w:r>
          </w:p>
        </w:tc>
        <w:tc>
          <w:tcPr>
            <w:tcW w:w="0" w:type="auto"/>
            <w:tcBorders>
              <w:top w:val="single" w:sz="4" w:space="0" w:color="auto"/>
              <w:bottom w:val="single" w:sz="4" w:space="0" w:color="auto"/>
            </w:tcBorders>
            <w:noWrap/>
            <w:hideMark/>
          </w:tcPr>
          <w:p w14:paraId="468A7573"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Low</w:t>
            </w:r>
          </w:p>
        </w:tc>
        <w:tc>
          <w:tcPr>
            <w:tcW w:w="0" w:type="auto"/>
            <w:tcBorders>
              <w:top w:val="single" w:sz="4" w:space="0" w:color="auto"/>
              <w:bottom w:val="single" w:sz="4" w:space="0" w:color="auto"/>
            </w:tcBorders>
            <w:noWrap/>
            <w:hideMark/>
          </w:tcPr>
          <w:p w14:paraId="48C898B7"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High</w:t>
            </w:r>
          </w:p>
        </w:tc>
        <w:tc>
          <w:tcPr>
            <w:tcW w:w="0" w:type="auto"/>
            <w:tcBorders>
              <w:top w:val="single" w:sz="4" w:space="0" w:color="auto"/>
              <w:bottom w:val="single" w:sz="4" w:space="0" w:color="auto"/>
            </w:tcBorders>
            <w:noWrap/>
            <w:hideMark/>
          </w:tcPr>
          <w:p w14:paraId="52977973"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Avg.</w:t>
            </w:r>
          </w:p>
        </w:tc>
        <w:tc>
          <w:tcPr>
            <w:tcW w:w="0" w:type="auto"/>
            <w:tcBorders>
              <w:top w:val="single" w:sz="4" w:space="0" w:color="auto"/>
              <w:bottom w:val="single" w:sz="4" w:space="0" w:color="auto"/>
            </w:tcBorders>
            <w:noWrap/>
            <w:hideMark/>
          </w:tcPr>
          <w:p w14:paraId="181B09DF"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Low</w:t>
            </w:r>
          </w:p>
        </w:tc>
        <w:tc>
          <w:tcPr>
            <w:tcW w:w="0" w:type="auto"/>
            <w:tcBorders>
              <w:top w:val="single" w:sz="4" w:space="0" w:color="auto"/>
              <w:bottom w:val="single" w:sz="4" w:space="0" w:color="auto"/>
            </w:tcBorders>
            <w:noWrap/>
            <w:hideMark/>
          </w:tcPr>
          <w:p w14:paraId="6056625D"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High</w:t>
            </w:r>
          </w:p>
        </w:tc>
        <w:tc>
          <w:tcPr>
            <w:tcW w:w="0" w:type="auto"/>
            <w:tcBorders>
              <w:top w:val="single" w:sz="4" w:space="0" w:color="auto"/>
              <w:bottom w:val="single" w:sz="4" w:space="0" w:color="auto"/>
            </w:tcBorders>
          </w:tcPr>
          <w:p w14:paraId="6D086605"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Avg.</w:t>
            </w:r>
          </w:p>
        </w:tc>
        <w:tc>
          <w:tcPr>
            <w:tcW w:w="0" w:type="auto"/>
            <w:tcBorders>
              <w:top w:val="single" w:sz="4" w:space="0" w:color="auto"/>
              <w:bottom w:val="single" w:sz="4" w:space="0" w:color="auto"/>
            </w:tcBorders>
          </w:tcPr>
          <w:p w14:paraId="763EBEA8"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Low</w:t>
            </w:r>
          </w:p>
        </w:tc>
        <w:tc>
          <w:tcPr>
            <w:tcW w:w="0" w:type="auto"/>
            <w:tcBorders>
              <w:top w:val="single" w:sz="4" w:space="0" w:color="auto"/>
              <w:bottom w:val="single" w:sz="4" w:space="0" w:color="auto"/>
            </w:tcBorders>
          </w:tcPr>
          <w:p w14:paraId="60252226"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High</w:t>
            </w:r>
          </w:p>
        </w:tc>
        <w:tc>
          <w:tcPr>
            <w:tcW w:w="0" w:type="auto"/>
            <w:tcBorders>
              <w:top w:val="single" w:sz="4" w:space="0" w:color="auto"/>
              <w:bottom w:val="single" w:sz="4" w:space="0" w:color="auto"/>
            </w:tcBorders>
          </w:tcPr>
          <w:p w14:paraId="0B9BF409"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Avg.</w:t>
            </w:r>
          </w:p>
        </w:tc>
        <w:tc>
          <w:tcPr>
            <w:tcW w:w="0" w:type="auto"/>
            <w:tcBorders>
              <w:top w:val="single" w:sz="4" w:space="0" w:color="auto"/>
              <w:bottom w:val="single" w:sz="4" w:space="0" w:color="auto"/>
            </w:tcBorders>
          </w:tcPr>
          <w:p w14:paraId="78EDA3C8"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Low</w:t>
            </w:r>
          </w:p>
        </w:tc>
        <w:tc>
          <w:tcPr>
            <w:tcW w:w="0" w:type="auto"/>
            <w:tcBorders>
              <w:top w:val="single" w:sz="4" w:space="0" w:color="auto"/>
              <w:bottom w:val="single" w:sz="4" w:space="0" w:color="auto"/>
            </w:tcBorders>
          </w:tcPr>
          <w:p w14:paraId="4FB1176E" w14:textId="77777777" w:rsidR="00BF17FF" w:rsidRPr="00C03C35" w:rsidRDefault="00BF17FF" w:rsidP="00BF17FF">
            <w:pPr>
              <w:jc w:val="both"/>
              <w:rPr>
                <w:rFonts w:eastAsia="Times New Roman"/>
                <w:b/>
                <w:bCs/>
                <w:color w:val="000000"/>
                <w:sz w:val="20"/>
                <w:szCs w:val="20"/>
                <w:lang w:val="en-GB"/>
              </w:rPr>
            </w:pPr>
            <w:r w:rsidRPr="00C03C35">
              <w:rPr>
                <w:rFonts w:eastAsia="Times New Roman"/>
                <w:b/>
                <w:bCs/>
                <w:color w:val="000000"/>
                <w:sz w:val="20"/>
                <w:szCs w:val="20"/>
                <w:lang w:val="en-GB"/>
              </w:rPr>
              <w:t>High</w:t>
            </w:r>
          </w:p>
        </w:tc>
      </w:tr>
      <w:tr w:rsidR="00BF17FF" w:rsidRPr="00C03C35" w14:paraId="794314C6" w14:textId="77777777" w:rsidTr="00BF17FF">
        <w:trPr>
          <w:trHeight w:val="288"/>
          <w:jc w:val="center"/>
        </w:trPr>
        <w:tc>
          <w:tcPr>
            <w:tcW w:w="0" w:type="auto"/>
            <w:noWrap/>
            <w:hideMark/>
          </w:tcPr>
          <w:p w14:paraId="4BC4941F"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Wind - on shore</w:t>
            </w:r>
          </w:p>
        </w:tc>
        <w:tc>
          <w:tcPr>
            <w:tcW w:w="0" w:type="auto"/>
            <w:tcBorders>
              <w:top w:val="single" w:sz="4" w:space="0" w:color="auto"/>
            </w:tcBorders>
            <w:noWrap/>
            <w:hideMark/>
          </w:tcPr>
          <w:p w14:paraId="4F7352AF"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6.88</w:t>
            </w:r>
          </w:p>
        </w:tc>
        <w:tc>
          <w:tcPr>
            <w:tcW w:w="0" w:type="auto"/>
            <w:tcBorders>
              <w:top w:val="single" w:sz="4" w:space="0" w:color="auto"/>
            </w:tcBorders>
            <w:noWrap/>
            <w:hideMark/>
          </w:tcPr>
          <w:p w14:paraId="1637F338"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5.23</w:t>
            </w:r>
          </w:p>
        </w:tc>
        <w:tc>
          <w:tcPr>
            <w:tcW w:w="0" w:type="auto"/>
            <w:tcBorders>
              <w:top w:val="single" w:sz="4" w:space="0" w:color="auto"/>
            </w:tcBorders>
            <w:noWrap/>
            <w:hideMark/>
          </w:tcPr>
          <w:p w14:paraId="7B7A778B"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8.48</w:t>
            </w:r>
          </w:p>
        </w:tc>
        <w:tc>
          <w:tcPr>
            <w:tcW w:w="0" w:type="auto"/>
            <w:tcBorders>
              <w:top w:val="single" w:sz="4" w:space="0" w:color="auto"/>
            </w:tcBorders>
            <w:noWrap/>
            <w:hideMark/>
          </w:tcPr>
          <w:p w14:paraId="24490549"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5.64</w:t>
            </w:r>
          </w:p>
        </w:tc>
        <w:tc>
          <w:tcPr>
            <w:tcW w:w="0" w:type="auto"/>
            <w:tcBorders>
              <w:top w:val="single" w:sz="4" w:space="0" w:color="auto"/>
            </w:tcBorders>
            <w:noWrap/>
            <w:hideMark/>
          </w:tcPr>
          <w:p w14:paraId="205C89AE"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5.09</w:t>
            </w:r>
          </w:p>
        </w:tc>
        <w:tc>
          <w:tcPr>
            <w:tcW w:w="0" w:type="auto"/>
            <w:tcBorders>
              <w:top w:val="single" w:sz="4" w:space="0" w:color="auto"/>
            </w:tcBorders>
            <w:noWrap/>
            <w:hideMark/>
          </w:tcPr>
          <w:p w14:paraId="191A889E"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6.74</w:t>
            </w:r>
          </w:p>
        </w:tc>
        <w:tc>
          <w:tcPr>
            <w:tcW w:w="0" w:type="auto"/>
            <w:tcBorders>
              <w:top w:val="single" w:sz="4" w:space="0" w:color="auto"/>
            </w:tcBorders>
          </w:tcPr>
          <w:p w14:paraId="29F7D5EA"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5.38</w:t>
            </w:r>
          </w:p>
        </w:tc>
        <w:tc>
          <w:tcPr>
            <w:tcW w:w="0" w:type="auto"/>
            <w:tcBorders>
              <w:top w:val="single" w:sz="4" w:space="0" w:color="auto"/>
            </w:tcBorders>
          </w:tcPr>
          <w:p w14:paraId="23D6348C"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4.50</w:t>
            </w:r>
          </w:p>
        </w:tc>
        <w:tc>
          <w:tcPr>
            <w:tcW w:w="0" w:type="auto"/>
            <w:tcBorders>
              <w:top w:val="single" w:sz="4" w:space="0" w:color="auto"/>
            </w:tcBorders>
          </w:tcPr>
          <w:p w14:paraId="6BAA9DB9"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6.31</w:t>
            </w:r>
          </w:p>
        </w:tc>
        <w:tc>
          <w:tcPr>
            <w:tcW w:w="0" w:type="auto"/>
            <w:tcBorders>
              <w:top w:val="single" w:sz="4" w:space="0" w:color="auto"/>
            </w:tcBorders>
          </w:tcPr>
          <w:p w14:paraId="0B71AB43"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6.21</w:t>
            </w:r>
          </w:p>
        </w:tc>
        <w:tc>
          <w:tcPr>
            <w:tcW w:w="0" w:type="auto"/>
            <w:tcBorders>
              <w:top w:val="single" w:sz="4" w:space="0" w:color="auto"/>
            </w:tcBorders>
          </w:tcPr>
          <w:p w14:paraId="22C3CFEE"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5.19</w:t>
            </w:r>
          </w:p>
        </w:tc>
        <w:tc>
          <w:tcPr>
            <w:tcW w:w="0" w:type="auto"/>
            <w:tcBorders>
              <w:top w:val="single" w:sz="4" w:space="0" w:color="auto"/>
            </w:tcBorders>
          </w:tcPr>
          <w:p w14:paraId="4D0CA5D7"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7.29</w:t>
            </w:r>
          </w:p>
        </w:tc>
      </w:tr>
      <w:tr w:rsidR="00BF17FF" w:rsidRPr="00C03C35" w14:paraId="3CF0D609" w14:textId="77777777" w:rsidTr="00BF17FF">
        <w:trPr>
          <w:trHeight w:val="288"/>
          <w:jc w:val="center"/>
        </w:trPr>
        <w:tc>
          <w:tcPr>
            <w:tcW w:w="0" w:type="auto"/>
            <w:noWrap/>
            <w:hideMark/>
          </w:tcPr>
          <w:p w14:paraId="1D80F0CF"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Solar PV</w:t>
            </w:r>
          </w:p>
        </w:tc>
        <w:tc>
          <w:tcPr>
            <w:tcW w:w="0" w:type="auto"/>
            <w:noWrap/>
            <w:hideMark/>
          </w:tcPr>
          <w:p w14:paraId="76A2F8DB"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9.22</w:t>
            </w:r>
          </w:p>
        </w:tc>
        <w:tc>
          <w:tcPr>
            <w:tcW w:w="0" w:type="auto"/>
            <w:noWrap/>
            <w:hideMark/>
          </w:tcPr>
          <w:p w14:paraId="6531EA95"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8.34</w:t>
            </w:r>
          </w:p>
        </w:tc>
        <w:tc>
          <w:tcPr>
            <w:tcW w:w="0" w:type="auto"/>
            <w:noWrap/>
            <w:hideMark/>
          </w:tcPr>
          <w:p w14:paraId="47014E3D"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15.9</w:t>
            </w:r>
          </w:p>
        </w:tc>
        <w:tc>
          <w:tcPr>
            <w:tcW w:w="0" w:type="auto"/>
            <w:noWrap/>
            <w:hideMark/>
          </w:tcPr>
          <w:p w14:paraId="18235A85"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9.05</w:t>
            </w:r>
          </w:p>
        </w:tc>
        <w:tc>
          <w:tcPr>
            <w:tcW w:w="0" w:type="auto"/>
            <w:noWrap/>
            <w:hideMark/>
          </w:tcPr>
          <w:p w14:paraId="1F546A6C"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8.06</w:t>
            </w:r>
          </w:p>
        </w:tc>
        <w:tc>
          <w:tcPr>
            <w:tcW w:w="0" w:type="auto"/>
            <w:noWrap/>
            <w:hideMark/>
          </w:tcPr>
          <w:p w14:paraId="04837D5E"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14.88</w:t>
            </w:r>
          </w:p>
        </w:tc>
        <w:tc>
          <w:tcPr>
            <w:tcW w:w="0" w:type="auto"/>
          </w:tcPr>
          <w:p w14:paraId="436D213E"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8.21</w:t>
            </w:r>
          </w:p>
        </w:tc>
        <w:tc>
          <w:tcPr>
            <w:tcW w:w="0" w:type="auto"/>
          </w:tcPr>
          <w:p w14:paraId="4CA113CD"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7.17</w:t>
            </w:r>
          </w:p>
        </w:tc>
        <w:tc>
          <w:tcPr>
            <w:tcW w:w="0" w:type="auto"/>
          </w:tcPr>
          <w:p w14:paraId="5A8175DD"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12.17</w:t>
            </w:r>
          </w:p>
        </w:tc>
        <w:tc>
          <w:tcPr>
            <w:tcW w:w="0" w:type="auto"/>
          </w:tcPr>
          <w:p w14:paraId="339389AF"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9.48</w:t>
            </w:r>
          </w:p>
        </w:tc>
        <w:tc>
          <w:tcPr>
            <w:tcW w:w="0" w:type="auto"/>
          </w:tcPr>
          <w:p w14:paraId="3E15D5B7"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8.28</w:t>
            </w:r>
          </w:p>
        </w:tc>
        <w:tc>
          <w:tcPr>
            <w:tcW w:w="0" w:type="auto"/>
          </w:tcPr>
          <w:p w14:paraId="66B4B0D5" w14:textId="77777777" w:rsidR="00BF17FF" w:rsidRPr="00C03C35" w:rsidRDefault="00BF17FF" w:rsidP="00BF17FF">
            <w:pPr>
              <w:jc w:val="both"/>
              <w:rPr>
                <w:rFonts w:eastAsia="Times New Roman"/>
                <w:color w:val="000000"/>
                <w:sz w:val="20"/>
                <w:szCs w:val="20"/>
                <w:lang w:val="en-GB"/>
              </w:rPr>
            </w:pPr>
            <w:r w:rsidRPr="00C03C35">
              <w:rPr>
                <w:rFonts w:eastAsia="Times New Roman"/>
                <w:color w:val="000000"/>
                <w:sz w:val="20"/>
                <w:szCs w:val="20"/>
                <w:lang w:val="en-GB"/>
              </w:rPr>
              <w:t>14.06</w:t>
            </w:r>
          </w:p>
        </w:tc>
      </w:tr>
    </w:tbl>
    <w:p w14:paraId="20EF9CB8" w14:textId="77777777" w:rsidR="00EE7D8C" w:rsidRDefault="00EE7D8C" w:rsidP="009D6F9A">
      <w:pPr>
        <w:pStyle w:val="Heading3"/>
        <w:rPr>
          <w:lang w:val="en-GB"/>
        </w:rPr>
      </w:pPr>
    </w:p>
    <w:p w14:paraId="144E0DEA" w14:textId="736FBE97" w:rsidR="009D6F9A" w:rsidRPr="00C03C35" w:rsidRDefault="009D6F9A" w:rsidP="009D6F9A">
      <w:pPr>
        <w:pStyle w:val="Heading3"/>
        <w:rPr>
          <w:lang w:val="en-GB"/>
        </w:rPr>
      </w:pPr>
      <w:r w:rsidRPr="00C03C35">
        <w:rPr>
          <w:lang w:val="en-GB"/>
        </w:rPr>
        <w:t>2.</w:t>
      </w:r>
      <w:r w:rsidR="00405DD5">
        <w:rPr>
          <w:lang w:val="en-GB"/>
        </w:rPr>
        <w:t>5</w:t>
      </w:r>
      <w:r w:rsidRPr="00C03C35">
        <w:rPr>
          <w:lang w:val="en-GB"/>
        </w:rPr>
        <w:t xml:space="preserve">. </w:t>
      </w:r>
      <w:r>
        <w:rPr>
          <w:lang w:val="en-GB"/>
        </w:rPr>
        <w:t>Total cost</w:t>
      </w:r>
      <w:r w:rsidRPr="00C03C35">
        <w:rPr>
          <w:lang w:val="en-GB"/>
        </w:rPr>
        <w:t xml:space="preserve"> calculations</w:t>
      </w:r>
    </w:p>
    <w:p w14:paraId="21BB15D4" w14:textId="67DCE924" w:rsidR="005F1971" w:rsidRDefault="00716008" w:rsidP="00716008">
      <w:pPr>
        <w:jc w:val="both"/>
        <w:rPr>
          <w:lang w:val="en-GB"/>
        </w:rPr>
      </w:pPr>
      <w:r w:rsidRPr="00716008">
        <w:rPr>
          <w:lang w:val="en-GB"/>
        </w:rPr>
        <w:t>The total cost</w:t>
      </w:r>
      <w:r w:rsidR="00A70718">
        <w:rPr>
          <w:lang w:val="en-GB"/>
        </w:rPr>
        <w:t>s</w:t>
      </w:r>
      <w:r w:rsidRPr="00716008">
        <w:rPr>
          <w:lang w:val="en-GB"/>
        </w:rPr>
        <w:t xml:space="preserve"> for the fossil routes </w:t>
      </w:r>
      <w:r w:rsidR="009C61D9">
        <w:rPr>
          <w:lang w:val="en-GB"/>
        </w:rPr>
        <w:t>were</w:t>
      </w:r>
      <w:r w:rsidRPr="00716008">
        <w:rPr>
          <w:lang w:val="en-GB"/>
        </w:rPr>
        <w:t xml:space="preserve"> calculated </w:t>
      </w:r>
      <w:r w:rsidR="00BD1091">
        <w:rPr>
          <w:lang w:val="en-GB"/>
        </w:rPr>
        <w:t>as the summation</w:t>
      </w:r>
      <w:r w:rsidR="006C2DCF">
        <w:rPr>
          <w:lang w:val="en-GB"/>
        </w:rPr>
        <w:t xml:space="preserve"> of</w:t>
      </w:r>
      <w:r w:rsidRPr="00716008">
        <w:rPr>
          <w:lang w:val="en-GB"/>
        </w:rPr>
        <w:t xml:space="preserve"> the CAPEX and OPEX values estimated in Sections</w:t>
      </w:r>
      <w:r w:rsidR="005B7811">
        <w:rPr>
          <w:lang w:val="en-GB"/>
        </w:rPr>
        <w:t> </w:t>
      </w:r>
      <w:r w:rsidRPr="00716008">
        <w:rPr>
          <w:lang w:val="en-GB"/>
        </w:rPr>
        <w:t xml:space="preserve">2.2 and 2.3. </w:t>
      </w:r>
      <w:r w:rsidR="0099767D">
        <w:rPr>
          <w:lang w:val="en-GB"/>
        </w:rPr>
        <w:t>Production</w:t>
      </w:r>
      <w:r w:rsidRPr="00716008">
        <w:rPr>
          <w:lang w:val="en-GB"/>
        </w:rPr>
        <w:t xml:space="preserve"> volumes were extracted from the original references and then used to calculate the production cost per kg of ammonia or methanol.</w:t>
      </w:r>
      <w:r>
        <w:rPr>
          <w:lang w:val="en-GB"/>
        </w:rPr>
        <w:fldChar w:fldCharType="begin"/>
      </w:r>
      <w:r w:rsidR="003070D5">
        <w:rPr>
          <w:lang w:val="en-GB"/>
        </w:rPr>
        <w:instrText xml:space="preserve"> ADDIN ZOTERO_ITEM CSL_CITATION {"citationID":"uvR2NS7u","properties":{"formattedCitation":"\\super 1,3\\nosupersub{}","plainCitation":"1,3","noteIndex":0},"citationItems":[{"id":"dHwHotKY/5mm4tg0v","uris":["http://zotero.org/users/9157291/items/AFKW7KRC"],"itemData":{"id":"ZJCBetN2/AfjeQXto","type":"article-journal","abstract":"At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dHwHotKY/12cLPJSI","uris":["http://www.mendeley.com/documents/?uuid=3598e592-4386-46f5-b0ae-cec5a0ada220"],"itemData":{"DOI":"10.1039/c9ee01673b","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advances.","author":[{"dropping-particle":"","family":"González-Garay","given":"Andrés","non-dropping-particle":"","parse-names":false,"suffix":""},{"dropping-particle":"","family":"Frei","given":"Matthias S","non-dropping-particle":"","parse-names":false,"suffix":""},{"dropping-particle":"","family":"Al-Qahtani","given":"Amjad","non-dropping-particle":"","parse-names":false,"suffix":""},{"dropping-particle":"","family":"Mondelli","given":"Cecilia","non-dropping-particle":"","parse-names":false,"suffix":""},{"dropping-particle":"","family":"Guillén-Gosálbez","given":"Gonzalo","non-dropping-particle":"","parse-names":false,"suffix":""},{"dropping-particle":"","family":"Pérez-Ramírez","given":"Javier","non-dropping-particle":"","parse-names":false,"suffix":""}],"container-title":"Energy and Environmental Science","id":"ZJCBetN2/r6n4nCnQ","issue":"12","issued":{"date-parts":[["2019"]]},"page":"3425-3436","publisher":"Royal Society of Chemistry","title":"Plant-to-planet analysis of CO2-based methanol processes","type":"article-journal","volume":"12"}}],"schema":"https://github.com/citation-style-language/schema/raw/master/csl-citation.json"} </w:instrText>
      </w:r>
      <w:r>
        <w:rPr>
          <w:lang w:val="en-GB"/>
        </w:rPr>
        <w:fldChar w:fldCharType="separate"/>
      </w:r>
      <w:r w:rsidRPr="00716008">
        <w:rPr>
          <w:rFonts w:ascii="Calibri" w:hAnsi="Calibri" w:cs="Calibri"/>
          <w:szCs w:val="24"/>
          <w:vertAlign w:val="superscript"/>
        </w:rPr>
        <w:t>1,3</w:t>
      </w:r>
      <w:r>
        <w:rPr>
          <w:lang w:val="en-GB"/>
        </w:rPr>
        <w:fldChar w:fldCharType="end"/>
      </w:r>
      <w:r w:rsidRPr="00716008">
        <w:rPr>
          <w:lang w:val="en-GB"/>
        </w:rPr>
        <w:t xml:space="preserve"> Similar steps were followed for the green routes. However, for the OPEX calculations, the electrolytic hydrogen costs were calculated using the methodology outlined in Section 2.4. These costs were then combined with the OPEX calculations from Section 2.3 to determine the total OPEX. </w:t>
      </w:r>
    </w:p>
    <w:p w14:paraId="7E4FFE5E" w14:textId="30B4C374" w:rsidR="00BF17FF" w:rsidRPr="00C03C35" w:rsidRDefault="00BF17FF" w:rsidP="005F1971">
      <w:pPr>
        <w:pStyle w:val="Heading2"/>
        <w:rPr>
          <w:lang w:val="en-GB"/>
        </w:rPr>
      </w:pPr>
      <w:r w:rsidRPr="00C03C35">
        <w:rPr>
          <w:lang w:val="en-GB"/>
        </w:rPr>
        <w:t>Carbon footprint assessment</w:t>
      </w:r>
    </w:p>
    <w:p w14:paraId="5DDE59F4" w14:textId="036B4BDD" w:rsidR="00BF17FF" w:rsidRPr="00C03C35" w:rsidRDefault="00BF17FF" w:rsidP="00BF17FF">
      <w:pPr>
        <w:jc w:val="both"/>
        <w:rPr>
          <w:bCs/>
          <w:lang w:val="en-GB"/>
        </w:rPr>
      </w:pPr>
      <w:r w:rsidRPr="00C03C35">
        <w:rPr>
          <w:bCs/>
          <w:lang w:val="en-GB"/>
        </w:rPr>
        <w:t>The activities used from the Ecoinvent v3.5</w:t>
      </w:r>
      <w:r w:rsidRPr="00C03C35">
        <w:rPr>
          <w:bCs/>
          <w:lang w:val="en-GB"/>
        </w:rPr>
        <w:fldChar w:fldCharType="begin"/>
      </w:r>
      <w:r w:rsidR="003070D5">
        <w:rPr>
          <w:bCs/>
          <w:lang w:val="en-GB"/>
        </w:rPr>
        <w:instrText xml:space="preserve"> ADDIN ZOTERO_ITEM CSL_CITATION {"citationID":"n2lpLqIa","properties":{"formattedCitation":"\\super 12\\nosupersub{}","plainCitation":"12","noteIndex":0},"citationItems":[{"id":"dHwHotKY/ZnEExC6x","uris":["http://www.mendeley.com/documents/?uuid=3a1d03fe-0550-4e1d-aa8d-902b5a7e4314"],"itemData":{"DOI":"10.1007/s11367-016-1087-8","ISSN":"16147502","abstract":"Purpose: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 Methods: Modeling choices and raw data were separated in version 3, which enables the application of different sets of modeling choices, or system models, to the same raw data with little effort. This includes one system model for Consequential LCA. Flow properties were added to all exchanges in the database, giving more information on the inventory and allowing a fast calculation of mass and other balances. With version 3.1, the database is generally water-balanced, and water use and consumption can be determined. Consumption mixes called market datasets were consistently added to the database, and global background data was added, often as an extrapolation from regional data. Results and discussion: In combination with hundreds of new unit processes from regions outside Europe, these changes lead to an improved modeling of global supply chains, and a more realistic distribution of impacts in regionalized LCIA. The new mixes also facilitate further regionalization due to the availability of background data for all regions. Conclusions: With version 3, the ecoinvent database substantially expands the goals and scopes of LCA studies it can support. The new system models allow new, different studies to be performed. Global supply chains and market datasets significantly increase the relevance of the database outside of Europe, and regionalized LCA is supported by the data. Datasets are more transparent, include more information, and support, e.g., water balances. The developments also support easier collaboration with other database initiatives, as demonstrated by a first successful collaboration with a data project in Québec. Version 3 has set the foundation for expanding ecoinvent …","author":[{"dropping-particle":"","family":"Wernet","given":"Gregor","non-dropping-particle":"","parse-names":false,"suffix":""},{"dropping-particle":"","family":"Bauer","given":"Christian","non-dropping-particle":"","parse-names":false,"suffix":""},{"dropping-particle":"","family":"Steubing","given":"Bernhard","non-dropping-particle":"","parse-names":false,"suffix":""},{"dropping-particle":"","family":"Reinhard","given":"Jürgen","non-dropping-particle":"","parse-names":false,"suffix":""},{"dropping-particle":"","family":"Moreno-Ruiz","given":"Emilia","non-dropping-particle":"","parse-names":false,"suffix":""},{"dropping-particle":"","family":"Weidema","given":"Bo","non-dropping-particle":"","parse-names":false,"suffix":""}],"container-title":"International Journal of Life Cycle Assessment","id":"JLxsTSMP/gTD5TraA","issue":"9","issued":{"date-parts":[["2016"]]},"page":"1218-1230","publisher":"The International Journal of Life Cycle Assessment","title":"The ecoinvent database version 3 (part I): overview and methodology","type":"article-journal","volume":"21"}}],"schema":"https://github.com/citation-style-language/schema/raw/master/csl-citation.json"} </w:instrText>
      </w:r>
      <w:r w:rsidRPr="00C03C35">
        <w:rPr>
          <w:bCs/>
          <w:lang w:val="en-GB"/>
        </w:rPr>
        <w:fldChar w:fldCharType="separate"/>
      </w:r>
      <w:r w:rsidR="00735128" w:rsidRPr="00735128">
        <w:rPr>
          <w:rFonts w:ascii="Calibri" w:hAnsi="Calibri" w:cs="Calibri"/>
          <w:szCs w:val="24"/>
          <w:vertAlign w:val="superscript"/>
        </w:rPr>
        <w:t>12</w:t>
      </w:r>
      <w:r w:rsidRPr="00C03C35">
        <w:rPr>
          <w:bCs/>
          <w:lang w:val="en-GB"/>
        </w:rPr>
        <w:fldChar w:fldCharType="end"/>
      </w:r>
      <w:r w:rsidRPr="00C03C35">
        <w:rPr>
          <w:bCs/>
          <w:lang w:val="en-GB"/>
        </w:rPr>
        <w:t xml:space="preserve"> database to calculate the carbon footprint are shown in </w:t>
      </w:r>
      <w:r w:rsidRPr="00C03C35">
        <w:rPr>
          <w:b/>
          <w:bCs/>
          <w:lang w:val="en-GB"/>
        </w:rPr>
        <w:t>Table S8</w:t>
      </w:r>
      <w:r w:rsidRPr="00C03C35">
        <w:rPr>
          <w:bCs/>
          <w:lang w:val="en-GB"/>
        </w:rPr>
        <w:t>.</w:t>
      </w:r>
    </w:p>
    <w:p w14:paraId="362DBE95" w14:textId="1C25FC8D" w:rsidR="00BF17FF" w:rsidRPr="00C03C35" w:rsidRDefault="00BF17FF" w:rsidP="00BF17FF">
      <w:pPr>
        <w:pStyle w:val="Caption"/>
        <w:keepNext/>
        <w:jc w:val="both"/>
        <w:rPr>
          <w:b/>
          <w:sz w:val="20"/>
          <w:szCs w:val="20"/>
        </w:rPr>
      </w:pPr>
      <w:bookmarkStart w:id="12" w:name="_Ref127894311"/>
      <w:r w:rsidRPr="00C03C35">
        <w:rPr>
          <w:b/>
          <w:i w:val="0"/>
          <w:color w:val="auto"/>
          <w:sz w:val="20"/>
          <w:szCs w:val="20"/>
        </w:rPr>
        <w:t>Table S</w:t>
      </w:r>
      <w:r w:rsidRPr="00C03C35">
        <w:rPr>
          <w:b/>
          <w:i w:val="0"/>
          <w:color w:val="auto"/>
          <w:sz w:val="20"/>
          <w:szCs w:val="20"/>
        </w:rPr>
        <w:fldChar w:fldCharType="begin"/>
      </w:r>
      <w:r w:rsidRPr="00C03C35">
        <w:rPr>
          <w:b/>
          <w:i w:val="0"/>
          <w:color w:val="auto"/>
          <w:sz w:val="20"/>
          <w:szCs w:val="20"/>
        </w:rPr>
        <w:instrText xml:space="preserve"> SEQ Table_S \* ARABIC </w:instrText>
      </w:r>
      <w:r w:rsidRPr="00C03C35">
        <w:rPr>
          <w:b/>
          <w:i w:val="0"/>
          <w:color w:val="auto"/>
          <w:sz w:val="20"/>
          <w:szCs w:val="20"/>
        </w:rPr>
        <w:fldChar w:fldCharType="separate"/>
      </w:r>
      <w:r w:rsidR="003B7BCC">
        <w:rPr>
          <w:b/>
          <w:i w:val="0"/>
          <w:noProof/>
          <w:color w:val="auto"/>
          <w:sz w:val="20"/>
          <w:szCs w:val="20"/>
        </w:rPr>
        <w:t>8</w:t>
      </w:r>
      <w:r w:rsidRPr="00C03C35">
        <w:rPr>
          <w:b/>
          <w:i w:val="0"/>
          <w:color w:val="auto"/>
          <w:sz w:val="20"/>
          <w:szCs w:val="20"/>
        </w:rPr>
        <w:fldChar w:fldCharType="end"/>
      </w:r>
      <w:bookmarkEnd w:id="12"/>
      <w:r w:rsidRPr="00C03C35">
        <w:rPr>
          <w:b/>
          <w:i w:val="0"/>
          <w:color w:val="auto"/>
          <w:sz w:val="20"/>
          <w:szCs w:val="20"/>
        </w:rPr>
        <w:t xml:space="preserve">. </w:t>
      </w:r>
      <w:r w:rsidRPr="00C03C35">
        <w:rPr>
          <w:b/>
          <w:bCs/>
          <w:i w:val="0"/>
          <w:iCs w:val="0"/>
          <w:color w:val="auto"/>
          <w:sz w:val="20"/>
          <w:szCs w:val="20"/>
        </w:rPr>
        <w:t>Inventories used from Ecoinvent v3.5 database</w:t>
      </w:r>
      <w:r w:rsidRPr="00C03C35">
        <w:rPr>
          <w:b/>
          <w:bCs/>
          <w:i w:val="0"/>
          <w:iCs w:val="0"/>
          <w:color w:val="auto"/>
          <w:sz w:val="20"/>
          <w:szCs w:val="20"/>
        </w:rPr>
        <w:fldChar w:fldCharType="begin" w:fldLock="1"/>
      </w:r>
      <w:r w:rsidR="003070D5">
        <w:rPr>
          <w:b/>
          <w:bCs/>
          <w:i w:val="0"/>
          <w:iCs w:val="0"/>
          <w:color w:val="auto"/>
          <w:sz w:val="20"/>
          <w:szCs w:val="20"/>
        </w:rPr>
        <w:instrText xml:space="preserve"> ADDIN ZOTERO_ITEM CSL_CITATION {"citationID":"kf53C9Tl","properties":{"formattedCitation":"\\super 12\\nosupersub{}","plainCitation":"12","noteIndex":0},"citationItems":[{"id":"dHwHotKY/ZnEExC6x","uris":["http://www.mendeley.com/documents/?uuid=3a1d03fe-0550-4e1d-aa8d-902b5a7e4314"],"itemData":{"DOI":"10.1007/s11367-016-1087-8","ISSN":"16147502","abstract":"Purpose: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 Methods: Modeling choices and raw data were separated in version 3, which enables the application of different sets of modeling choices, or system models, to the same raw data with little effort. This includes one system model for Consequential LCA. Flow properties were added to all exchanges in the database, giving more information on the inventory and allowing a fast calculation of mass and other balances. With version 3.1, the database is generally water-balanced, and water use and consumption can be determined. Consumption mixes called market datasets were consistently added to the database, and global background data was added, often as an extrapolation from regional data. Results and discussion: In combination with hundreds of new unit processes from regions outside Europe, these changes lead to an improved modeling of global supply chains, and a more realistic distribution of impacts in regionalized LCIA. The new mixes also facilitate further regionalization due to the availability of background data for all regions. Conclusions: With version 3, the ecoinvent database substantially expands the goals and scopes of LCA studies it can support. The new system models allow new, different studies to be performed. Global supply chains and market datasets significantly increase the relevance of the database outside of Europe, and regionalized LCA is supported by the data. Datasets are more transparent, include more information, and support, e.g., water balances. The developments also support easier collaboration with other database initiatives, as demonstrated by a first successful collaboration with a data project in Québec. Version 3 has set the foundation for expanding ecoinvent …","author":[{"dropping-particle":"","family":"Wernet","given":"Gregor","non-dropping-particle":"","parse-names":false,"suffix":""},{"dropping-particle":"","family":"Bauer","given":"Christian","non-dropping-particle":"","parse-names":false,"suffix":""},{"dropping-particle":"","family":"Steubing","given":"Bernhard","non-dropping-particle":"","parse-names":false,"suffix":""},{"dropping-particle":"","family":"Reinhard","given":"Jürgen","non-dropping-particle":"","parse-names":false,"suffix":""},{"dropping-particle":"","family":"Moreno-Ruiz","given":"Emilia","non-dropping-particle":"","parse-names":false,"suffix":""},{"dropping-particle":"","family":"Weidema","given":"Bo","non-dropping-particle":"","parse-names":false,"suffix":""}],"container-title":"International Journal of Life Cycle Assessment","id":"ITEM-1","issue":"9","issued":{"date-parts":[["2016"]]},"page":"1218-1230","publisher":"The International Journal of Life Cycle Assessment","title":"The ecoinvent database version 3 (part I): overview and methodology","type":"article-journal","volume":"21"}}],"schema":"https://github.com/citation-style-language/schema/raw/master/csl-citation.json"} </w:instrText>
      </w:r>
      <w:r w:rsidRPr="00C03C35">
        <w:rPr>
          <w:b/>
          <w:bCs/>
          <w:i w:val="0"/>
          <w:iCs w:val="0"/>
          <w:color w:val="auto"/>
          <w:sz w:val="20"/>
          <w:szCs w:val="20"/>
        </w:rPr>
        <w:fldChar w:fldCharType="separate"/>
      </w:r>
      <w:r w:rsidR="00735128" w:rsidRPr="00735128">
        <w:rPr>
          <w:rFonts w:ascii="Calibri" w:hAnsi="Calibri" w:cs="Calibri"/>
          <w:sz w:val="20"/>
          <w:szCs w:val="24"/>
          <w:vertAlign w:val="superscript"/>
        </w:rPr>
        <w:t>12</w:t>
      </w:r>
      <w:r w:rsidRPr="00C03C35">
        <w:rPr>
          <w:b/>
          <w:bCs/>
          <w:i w:val="0"/>
          <w:iCs w:val="0"/>
          <w:color w:val="auto"/>
          <w:sz w:val="20"/>
          <w:szCs w:val="20"/>
        </w:rPr>
        <w:fldChar w:fldCharType="end"/>
      </w:r>
      <w:r w:rsidRPr="00C03C35">
        <w:rPr>
          <w:b/>
          <w:bCs/>
          <w:i w:val="0"/>
          <w:iCs w:val="0"/>
          <w:color w:val="auto"/>
          <w:sz w:val="20"/>
          <w:szCs w:val="20"/>
        </w:rPr>
        <w:t xml:space="preserve"> for the background system. </w:t>
      </w:r>
      <w:r w:rsidRPr="00C03C35">
        <w:rPr>
          <w:bCs/>
          <w:i w:val="0"/>
          <w:iCs w:val="0"/>
          <w:color w:val="auto"/>
          <w:sz w:val="20"/>
          <w:szCs w:val="20"/>
        </w:rPr>
        <w:t>These activities are used to calculate the global warming potential and the avoidance costs for the different routes of production of ammonia and methanol.</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4"/>
        <w:gridCol w:w="3335"/>
        <w:gridCol w:w="4401"/>
      </w:tblGrid>
      <w:tr w:rsidR="00BF17FF" w:rsidRPr="00C03C35" w14:paraId="290E06B1" w14:textId="77777777" w:rsidTr="00BF17FF">
        <w:trPr>
          <w:trHeight w:val="178"/>
          <w:jc w:val="center"/>
        </w:trPr>
        <w:tc>
          <w:tcPr>
            <w:tcW w:w="0" w:type="auto"/>
            <w:tcBorders>
              <w:bottom w:val="single" w:sz="4" w:space="0" w:color="auto"/>
            </w:tcBorders>
            <w:vAlign w:val="center"/>
          </w:tcPr>
          <w:p w14:paraId="13F524E9" w14:textId="77777777" w:rsidR="00BF17FF" w:rsidRPr="00C03C35" w:rsidRDefault="00BF17FF" w:rsidP="00BF17FF">
            <w:pPr>
              <w:pStyle w:val="Caption"/>
              <w:spacing w:after="0"/>
              <w:jc w:val="both"/>
              <w:rPr>
                <w:rFonts w:cstheme="minorHAnsi"/>
                <w:b/>
                <w:bCs/>
                <w:i w:val="0"/>
                <w:iCs w:val="0"/>
                <w:color w:val="auto"/>
                <w:sz w:val="20"/>
                <w:szCs w:val="20"/>
              </w:rPr>
            </w:pPr>
            <w:r w:rsidRPr="00C03C35">
              <w:rPr>
                <w:rFonts w:cstheme="minorHAnsi"/>
                <w:b/>
                <w:bCs/>
                <w:i w:val="0"/>
                <w:iCs w:val="0"/>
                <w:color w:val="auto"/>
                <w:sz w:val="20"/>
                <w:szCs w:val="20"/>
              </w:rPr>
              <w:t>Flow</w:t>
            </w:r>
          </w:p>
        </w:tc>
        <w:tc>
          <w:tcPr>
            <w:tcW w:w="0" w:type="auto"/>
            <w:tcBorders>
              <w:bottom w:val="single" w:sz="4" w:space="0" w:color="auto"/>
            </w:tcBorders>
            <w:vAlign w:val="center"/>
          </w:tcPr>
          <w:p w14:paraId="3E95BCC3" w14:textId="77777777" w:rsidR="00BF17FF" w:rsidRPr="00C03C35" w:rsidRDefault="00BF17FF" w:rsidP="00BF17FF">
            <w:pPr>
              <w:pStyle w:val="Caption"/>
              <w:spacing w:after="0"/>
              <w:jc w:val="both"/>
              <w:rPr>
                <w:rFonts w:cstheme="minorHAnsi"/>
                <w:b/>
                <w:bCs/>
                <w:i w:val="0"/>
                <w:iCs w:val="0"/>
                <w:color w:val="auto"/>
                <w:sz w:val="20"/>
                <w:szCs w:val="20"/>
              </w:rPr>
            </w:pPr>
            <w:r w:rsidRPr="00C03C35">
              <w:rPr>
                <w:rFonts w:cstheme="minorHAnsi"/>
                <w:b/>
                <w:bCs/>
                <w:i w:val="0"/>
                <w:iCs w:val="0"/>
                <w:color w:val="auto"/>
                <w:sz w:val="20"/>
                <w:szCs w:val="20"/>
              </w:rPr>
              <w:t>Output</w:t>
            </w:r>
          </w:p>
        </w:tc>
        <w:tc>
          <w:tcPr>
            <w:tcW w:w="0" w:type="auto"/>
            <w:tcBorders>
              <w:bottom w:val="single" w:sz="4" w:space="0" w:color="auto"/>
            </w:tcBorders>
            <w:vAlign w:val="center"/>
          </w:tcPr>
          <w:p w14:paraId="11774E93" w14:textId="77777777" w:rsidR="00BF17FF" w:rsidRPr="00C03C35" w:rsidRDefault="00BF17FF" w:rsidP="00BF17FF">
            <w:pPr>
              <w:pStyle w:val="Caption"/>
              <w:spacing w:after="0"/>
              <w:jc w:val="both"/>
              <w:rPr>
                <w:rFonts w:cstheme="minorHAnsi"/>
                <w:b/>
                <w:bCs/>
                <w:i w:val="0"/>
                <w:iCs w:val="0"/>
                <w:color w:val="auto"/>
                <w:sz w:val="20"/>
                <w:szCs w:val="20"/>
              </w:rPr>
            </w:pPr>
            <w:r w:rsidRPr="00C03C35">
              <w:rPr>
                <w:rFonts w:cstheme="minorHAnsi"/>
                <w:b/>
                <w:bCs/>
                <w:i w:val="0"/>
                <w:iCs w:val="0"/>
                <w:color w:val="auto"/>
                <w:sz w:val="20"/>
                <w:szCs w:val="20"/>
              </w:rPr>
              <w:t>Activity in Ecoinvent v3.5</w:t>
            </w:r>
          </w:p>
        </w:tc>
      </w:tr>
      <w:tr w:rsidR="00BF17FF" w:rsidRPr="00C03C35" w14:paraId="6CC83334" w14:textId="77777777" w:rsidTr="00BF17FF">
        <w:trPr>
          <w:jc w:val="center"/>
        </w:trPr>
        <w:tc>
          <w:tcPr>
            <w:tcW w:w="0" w:type="auto"/>
            <w:tcBorders>
              <w:top w:val="single" w:sz="4" w:space="0" w:color="auto"/>
            </w:tcBorders>
          </w:tcPr>
          <w:p w14:paraId="1A236B00"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Natural gas</w:t>
            </w:r>
          </w:p>
        </w:tc>
        <w:tc>
          <w:tcPr>
            <w:tcW w:w="0" w:type="auto"/>
            <w:tcBorders>
              <w:top w:val="single" w:sz="4" w:space="0" w:color="auto"/>
            </w:tcBorders>
          </w:tcPr>
          <w:p w14:paraId="5BCCA967"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Fossil ammonia and methanol, CO</w:t>
            </w:r>
            <w:r w:rsidRPr="00C03C35">
              <w:rPr>
                <w:rFonts w:cstheme="minorHAnsi"/>
                <w:bCs/>
                <w:i w:val="0"/>
                <w:iCs w:val="0"/>
                <w:color w:val="auto"/>
                <w:sz w:val="20"/>
                <w:szCs w:val="20"/>
                <w:vertAlign w:val="subscript"/>
              </w:rPr>
              <w:t>2</w:t>
            </w:r>
            <w:r w:rsidRPr="00C03C35">
              <w:rPr>
                <w:rFonts w:cstheme="minorHAnsi"/>
                <w:bCs/>
                <w:i w:val="0"/>
                <w:iCs w:val="0"/>
                <w:color w:val="auto"/>
                <w:sz w:val="20"/>
                <w:szCs w:val="20"/>
              </w:rPr>
              <w:t xml:space="preserve"> from DAC, H</w:t>
            </w:r>
            <w:r w:rsidRPr="00C03C35">
              <w:rPr>
                <w:rFonts w:cstheme="minorHAnsi"/>
                <w:bCs/>
                <w:i w:val="0"/>
                <w:iCs w:val="0"/>
                <w:color w:val="auto"/>
                <w:sz w:val="20"/>
                <w:szCs w:val="20"/>
                <w:vertAlign w:val="subscript"/>
              </w:rPr>
              <w:t>2</w:t>
            </w:r>
            <w:r w:rsidRPr="00C03C35">
              <w:rPr>
                <w:rFonts w:cstheme="minorHAnsi"/>
                <w:bCs/>
                <w:i w:val="0"/>
                <w:iCs w:val="0"/>
                <w:color w:val="auto"/>
                <w:sz w:val="20"/>
                <w:szCs w:val="20"/>
              </w:rPr>
              <w:t xml:space="preserve"> </w:t>
            </w:r>
            <w:r w:rsidRPr="00C03C35">
              <w:rPr>
                <w:rFonts w:cstheme="minorHAnsi"/>
                <w:bCs/>
                <w:iCs w:val="0"/>
                <w:color w:val="auto"/>
                <w:sz w:val="20"/>
                <w:szCs w:val="20"/>
              </w:rPr>
              <w:t>via</w:t>
            </w:r>
            <w:r w:rsidRPr="00C03C35">
              <w:rPr>
                <w:rFonts w:cstheme="minorHAnsi"/>
                <w:bCs/>
                <w:i w:val="0"/>
                <w:iCs w:val="0"/>
                <w:color w:val="auto"/>
                <w:sz w:val="20"/>
                <w:szCs w:val="20"/>
              </w:rPr>
              <w:t xml:space="preserve"> SMR + CCS</w:t>
            </w:r>
          </w:p>
        </w:tc>
        <w:tc>
          <w:tcPr>
            <w:tcW w:w="0" w:type="auto"/>
            <w:tcBorders>
              <w:top w:val="single" w:sz="4" w:space="0" w:color="auto"/>
            </w:tcBorders>
          </w:tcPr>
          <w:p w14:paraId="558BBC6B"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natural gas production [RoW]</w:t>
            </w:r>
          </w:p>
        </w:tc>
      </w:tr>
      <w:tr w:rsidR="00BF17FF" w:rsidRPr="00C03C35" w14:paraId="268CF935" w14:textId="77777777" w:rsidTr="00BF17FF">
        <w:trPr>
          <w:jc w:val="center"/>
        </w:trPr>
        <w:tc>
          <w:tcPr>
            <w:tcW w:w="0" w:type="auto"/>
          </w:tcPr>
          <w:p w14:paraId="57614607"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Process water</w:t>
            </w:r>
          </w:p>
        </w:tc>
        <w:tc>
          <w:tcPr>
            <w:tcW w:w="0" w:type="auto"/>
          </w:tcPr>
          <w:p w14:paraId="49C8695D"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Fossil ammonia and methanol, CO</w:t>
            </w:r>
            <w:r w:rsidRPr="00C03C35">
              <w:rPr>
                <w:rFonts w:cstheme="minorHAnsi"/>
                <w:bCs/>
                <w:i w:val="0"/>
                <w:iCs w:val="0"/>
                <w:color w:val="auto"/>
                <w:sz w:val="20"/>
                <w:szCs w:val="20"/>
                <w:vertAlign w:val="subscript"/>
              </w:rPr>
              <w:t>2</w:t>
            </w:r>
            <w:r w:rsidRPr="00C03C35">
              <w:rPr>
                <w:rFonts w:cstheme="minorHAnsi"/>
                <w:bCs/>
                <w:i w:val="0"/>
                <w:iCs w:val="0"/>
                <w:color w:val="auto"/>
                <w:sz w:val="20"/>
                <w:szCs w:val="20"/>
              </w:rPr>
              <w:t xml:space="preserve"> from DAC</w:t>
            </w:r>
          </w:p>
        </w:tc>
        <w:tc>
          <w:tcPr>
            <w:tcW w:w="0" w:type="auto"/>
          </w:tcPr>
          <w:p w14:paraId="287EE110"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tap water production, conventional treatment [RoW]</w:t>
            </w:r>
          </w:p>
        </w:tc>
      </w:tr>
      <w:tr w:rsidR="00BF17FF" w:rsidRPr="00C03C35" w14:paraId="328F1111" w14:textId="77777777" w:rsidTr="00BF17FF">
        <w:trPr>
          <w:jc w:val="center"/>
        </w:trPr>
        <w:tc>
          <w:tcPr>
            <w:tcW w:w="0" w:type="auto"/>
          </w:tcPr>
          <w:p w14:paraId="09412A4B"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Grid electricity</w:t>
            </w:r>
          </w:p>
        </w:tc>
        <w:tc>
          <w:tcPr>
            <w:tcW w:w="0" w:type="auto"/>
          </w:tcPr>
          <w:p w14:paraId="24003007"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All scenarios</w:t>
            </w:r>
          </w:p>
        </w:tc>
        <w:tc>
          <w:tcPr>
            <w:tcW w:w="0" w:type="auto"/>
          </w:tcPr>
          <w:p w14:paraId="363F3989"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market group for electricity, high voltage [GLO]</w:t>
            </w:r>
          </w:p>
        </w:tc>
      </w:tr>
      <w:tr w:rsidR="00BF17FF" w:rsidRPr="00C03C35" w14:paraId="504046C0" w14:textId="77777777" w:rsidTr="00BF17FF">
        <w:trPr>
          <w:jc w:val="center"/>
        </w:trPr>
        <w:tc>
          <w:tcPr>
            <w:tcW w:w="0" w:type="auto"/>
          </w:tcPr>
          <w:p w14:paraId="358E79EA"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Air separation facility</w:t>
            </w:r>
          </w:p>
        </w:tc>
        <w:tc>
          <w:tcPr>
            <w:tcW w:w="0" w:type="auto"/>
          </w:tcPr>
          <w:p w14:paraId="35E7DD73"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Nitrogen</w:t>
            </w:r>
          </w:p>
        </w:tc>
        <w:tc>
          <w:tcPr>
            <w:tcW w:w="0" w:type="auto"/>
          </w:tcPr>
          <w:p w14:paraId="1B275DA5"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air separation facility construction [RoW]</w:t>
            </w:r>
          </w:p>
        </w:tc>
      </w:tr>
      <w:tr w:rsidR="00BF17FF" w:rsidRPr="00C03C35" w14:paraId="2A7D2F7F" w14:textId="77777777" w:rsidTr="00BF17FF">
        <w:trPr>
          <w:jc w:val="center"/>
        </w:trPr>
        <w:tc>
          <w:tcPr>
            <w:tcW w:w="0" w:type="auto"/>
          </w:tcPr>
          <w:p w14:paraId="4CE71C59"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Cooling water</w:t>
            </w:r>
          </w:p>
        </w:tc>
        <w:tc>
          <w:tcPr>
            <w:tcW w:w="0" w:type="auto"/>
          </w:tcPr>
          <w:p w14:paraId="5937720D"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All scenarios</w:t>
            </w:r>
          </w:p>
        </w:tc>
        <w:tc>
          <w:tcPr>
            <w:tcW w:w="0" w:type="auto"/>
          </w:tcPr>
          <w:p w14:paraId="3F1F2FE5"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water, cooling, unspecified natural origin [RoW]</w:t>
            </w:r>
          </w:p>
        </w:tc>
      </w:tr>
      <w:tr w:rsidR="00BF17FF" w:rsidRPr="00C03C35" w14:paraId="33A5F5A5" w14:textId="77777777" w:rsidTr="00BF17FF">
        <w:trPr>
          <w:jc w:val="center"/>
        </w:trPr>
        <w:tc>
          <w:tcPr>
            <w:tcW w:w="0" w:type="auto"/>
          </w:tcPr>
          <w:p w14:paraId="1F93E3AB"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Solar electricity for water electrolysis</w:t>
            </w:r>
          </w:p>
        </w:tc>
        <w:tc>
          <w:tcPr>
            <w:tcW w:w="0" w:type="auto"/>
          </w:tcPr>
          <w:p w14:paraId="0791EA5F"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H</w:t>
            </w:r>
            <w:r w:rsidRPr="00C03C35">
              <w:rPr>
                <w:rFonts w:cstheme="minorHAnsi"/>
                <w:bCs/>
                <w:i w:val="0"/>
                <w:iCs w:val="0"/>
                <w:color w:val="auto"/>
                <w:sz w:val="20"/>
                <w:szCs w:val="20"/>
                <w:vertAlign w:val="subscript"/>
              </w:rPr>
              <w:t>2</w:t>
            </w:r>
            <w:r w:rsidRPr="00C03C35">
              <w:rPr>
                <w:rFonts w:cstheme="minorHAnsi"/>
                <w:bCs/>
                <w:i w:val="0"/>
                <w:iCs w:val="0"/>
                <w:color w:val="auto"/>
                <w:sz w:val="20"/>
                <w:szCs w:val="20"/>
              </w:rPr>
              <w:t xml:space="preserve"> </w:t>
            </w:r>
            <w:r w:rsidRPr="00C03C35">
              <w:rPr>
                <w:rFonts w:cstheme="minorHAnsi"/>
                <w:bCs/>
                <w:iCs w:val="0"/>
                <w:color w:val="auto"/>
                <w:sz w:val="20"/>
                <w:szCs w:val="20"/>
              </w:rPr>
              <w:t>via</w:t>
            </w:r>
            <w:r w:rsidRPr="00C03C35">
              <w:rPr>
                <w:rFonts w:cstheme="minorHAnsi"/>
                <w:bCs/>
                <w:i w:val="0"/>
                <w:iCs w:val="0"/>
                <w:color w:val="auto"/>
                <w:sz w:val="20"/>
                <w:szCs w:val="20"/>
              </w:rPr>
              <w:t xml:space="preserve"> solar</w:t>
            </w:r>
          </w:p>
        </w:tc>
        <w:tc>
          <w:tcPr>
            <w:tcW w:w="0" w:type="auto"/>
          </w:tcPr>
          <w:p w14:paraId="03D8EA6C"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electricity production, photovoltaic, 570kWp open ground installation, multi-Si [RoW]</w:t>
            </w:r>
          </w:p>
        </w:tc>
      </w:tr>
      <w:tr w:rsidR="00BF17FF" w:rsidRPr="00C03C35" w14:paraId="65876E24" w14:textId="77777777" w:rsidTr="00BF17FF">
        <w:trPr>
          <w:jc w:val="center"/>
        </w:trPr>
        <w:tc>
          <w:tcPr>
            <w:tcW w:w="0" w:type="auto"/>
          </w:tcPr>
          <w:p w14:paraId="00CD8E91"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Wind electricity for water electrolysis</w:t>
            </w:r>
          </w:p>
        </w:tc>
        <w:tc>
          <w:tcPr>
            <w:tcW w:w="0" w:type="auto"/>
          </w:tcPr>
          <w:p w14:paraId="68E2F90F"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H</w:t>
            </w:r>
            <w:r w:rsidRPr="00C03C35">
              <w:rPr>
                <w:rFonts w:cstheme="minorHAnsi"/>
                <w:bCs/>
                <w:i w:val="0"/>
                <w:iCs w:val="0"/>
                <w:color w:val="auto"/>
                <w:sz w:val="20"/>
                <w:szCs w:val="20"/>
                <w:vertAlign w:val="subscript"/>
              </w:rPr>
              <w:t>2</w:t>
            </w:r>
            <w:r w:rsidRPr="00C03C35">
              <w:rPr>
                <w:rFonts w:cstheme="minorHAnsi"/>
                <w:bCs/>
                <w:iCs w:val="0"/>
                <w:color w:val="auto"/>
                <w:sz w:val="20"/>
                <w:szCs w:val="20"/>
              </w:rPr>
              <w:t xml:space="preserve"> via</w:t>
            </w:r>
            <w:r w:rsidRPr="00C03C35">
              <w:rPr>
                <w:rFonts w:cstheme="minorHAnsi"/>
                <w:bCs/>
                <w:i w:val="0"/>
                <w:iCs w:val="0"/>
                <w:color w:val="auto"/>
                <w:sz w:val="20"/>
                <w:szCs w:val="20"/>
              </w:rPr>
              <w:t xml:space="preserve"> wind</w:t>
            </w:r>
          </w:p>
        </w:tc>
        <w:tc>
          <w:tcPr>
            <w:tcW w:w="0" w:type="auto"/>
          </w:tcPr>
          <w:p w14:paraId="6679B0FB"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electricity production, wind, &gt;3MW turbine, onshore [RoW]</w:t>
            </w:r>
          </w:p>
        </w:tc>
      </w:tr>
      <w:tr w:rsidR="00BF17FF" w:rsidRPr="00C03C35" w14:paraId="67C2C0B9" w14:textId="77777777" w:rsidTr="00BF17FF">
        <w:trPr>
          <w:jc w:val="center"/>
        </w:trPr>
        <w:tc>
          <w:tcPr>
            <w:tcW w:w="0" w:type="auto"/>
          </w:tcPr>
          <w:p w14:paraId="17993692"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Calcium carbonate for DAC technology</w:t>
            </w:r>
          </w:p>
        </w:tc>
        <w:tc>
          <w:tcPr>
            <w:tcW w:w="0" w:type="auto"/>
          </w:tcPr>
          <w:p w14:paraId="6BCF2A32"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CO</w:t>
            </w:r>
            <w:r w:rsidRPr="00C03C35">
              <w:rPr>
                <w:rFonts w:cstheme="minorHAnsi"/>
                <w:bCs/>
                <w:i w:val="0"/>
                <w:iCs w:val="0"/>
                <w:color w:val="auto"/>
                <w:sz w:val="20"/>
                <w:szCs w:val="20"/>
                <w:vertAlign w:val="subscript"/>
              </w:rPr>
              <w:t>2</w:t>
            </w:r>
            <w:r w:rsidRPr="00C03C35">
              <w:rPr>
                <w:rFonts w:cstheme="minorHAnsi"/>
                <w:bCs/>
                <w:i w:val="0"/>
                <w:iCs w:val="0"/>
                <w:color w:val="auto"/>
                <w:sz w:val="20"/>
                <w:szCs w:val="20"/>
              </w:rPr>
              <w:t xml:space="preserve"> from DAC</w:t>
            </w:r>
          </w:p>
        </w:tc>
        <w:tc>
          <w:tcPr>
            <w:tcW w:w="0" w:type="auto"/>
          </w:tcPr>
          <w:p w14:paraId="0592B1FC"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market for calcium carbonate, precipitated [RER]</w:t>
            </w:r>
          </w:p>
        </w:tc>
      </w:tr>
      <w:tr w:rsidR="00BF17FF" w:rsidRPr="00C03C35" w14:paraId="234FBD5D" w14:textId="77777777" w:rsidTr="00BF17FF">
        <w:trPr>
          <w:jc w:val="center"/>
        </w:trPr>
        <w:tc>
          <w:tcPr>
            <w:tcW w:w="0" w:type="auto"/>
          </w:tcPr>
          <w:p w14:paraId="3568718B"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Heat from steam</w:t>
            </w:r>
          </w:p>
        </w:tc>
        <w:tc>
          <w:tcPr>
            <w:tcW w:w="0" w:type="auto"/>
          </w:tcPr>
          <w:p w14:paraId="02D8B066"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Non-fossil methanol</w:t>
            </w:r>
          </w:p>
        </w:tc>
        <w:tc>
          <w:tcPr>
            <w:tcW w:w="0" w:type="auto"/>
          </w:tcPr>
          <w:p w14:paraId="4DF3F6CC"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market for heat, from steam, in chemical industry [RER]</w:t>
            </w:r>
          </w:p>
        </w:tc>
      </w:tr>
      <w:tr w:rsidR="00BF17FF" w:rsidRPr="00C03C35" w14:paraId="298FCB58" w14:textId="77777777" w:rsidTr="00BF17FF">
        <w:trPr>
          <w:jc w:val="center"/>
        </w:trPr>
        <w:tc>
          <w:tcPr>
            <w:tcW w:w="0" w:type="auto"/>
          </w:tcPr>
          <w:p w14:paraId="45206DAE"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Wastewater treatment</w:t>
            </w:r>
          </w:p>
        </w:tc>
        <w:tc>
          <w:tcPr>
            <w:tcW w:w="0" w:type="auto"/>
          </w:tcPr>
          <w:p w14:paraId="081C7E56"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Non-fossil methanol</w:t>
            </w:r>
          </w:p>
        </w:tc>
        <w:tc>
          <w:tcPr>
            <w:tcW w:w="0" w:type="auto"/>
          </w:tcPr>
          <w:p w14:paraId="48275FB7" w14:textId="77777777" w:rsidR="00BF17FF" w:rsidRPr="00C03C35" w:rsidRDefault="00BF17FF" w:rsidP="00BF17FF">
            <w:pPr>
              <w:pStyle w:val="Caption"/>
              <w:jc w:val="both"/>
              <w:rPr>
                <w:rFonts w:cstheme="minorHAnsi"/>
                <w:bCs/>
                <w:i w:val="0"/>
                <w:iCs w:val="0"/>
                <w:color w:val="auto"/>
                <w:sz w:val="20"/>
                <w:szCs w:val="20"/>
              </w:rPr>
            </w:pPr>
            <w:r w:rsidRPr="00C03C35">
              <w:rPr>
                <w:rFonts w:cstheme="minorHAnsi"/>
                <w:bCs/>
                <w:i w:val="0"/>
                <w:iCs w:val="0"/>
                <w:color w:val="auto"/>
                <w:sz w:val="20"/>
                <w:szCs w:val="20"/>
              </w:rPr>
              <w:t>market for wastewater, average [RoW]</w:t>
            </w:r>
          </w:p>
        </w:tc>
      </w:tr>
    </w:tbl>
    <w:p w14:paraId="0C78BCF9" w14:textId="77777777" w:rsidR="00BF17FF" w:rsidRPr="00C03C35" w:rsidRDefault="00BF17FF" w:rsidP="00BF17FF">
      <w:pPr>
        <w:jc w:val="both"/>
        <w:rPr>
          <w:rFonts w:cstheme="minorHAnsi"/>
          <w:b/>
          <w:bCs/>
          <w:lang w:val="en-GB"/>
        </w:rPr>
      </w:pPr>
    </w:p>
    <w:p w14:paraId="0EF6534F" w14:textId="77777777" w:rsidR="00BF17FF" w:rsidRPr="00C03C35" w:rsidRDefault="00BF17FF" w:rsidP="00BF17FF">
      <w:pPr>
        <w:pStyle w:val="Heading2"/>
        <w:rPr>
          <w:rFonts w:cstheme="minorHAnsi"/>
          <w:bCs/>
          <w:lang w:val="en-GB"/>
        </w:rPr>
      </w:pPr>
      <w:r w:rsidRPr="00C03C35">
        <w:rPr>
          <w:lang w:val="en-GB"/>
        </w:rPr>
        <w:lastRenderedPageBreak/>
        <w:t>Model validation</w:t>
      </w:r>
    </w:p>
    <w:p w14:paraId="1AE6AFAE" w14:textId="4FCA1A8A" w:rsidR="00BF17FF" w:rsidRPr="00C03C35" w:rsidRDefault="00BF17FF" w:rsidP="00BF17FF">
      <w:pPr>
        <w:jc w:val="both"/>
        <w:rPr>
          <w:lang w:val="en-GB"/>
        </w:rPr>
      </w:pPr>
      <w:r w:rsidRPr="00C03C35">
        <w:rPr>
          <w:bCs/>
          <w:lang w:val="en-GB"/>
        </w:rPr>
        <w:t>To validate the estimate</w:t>
      </w:r>
      <w:r w:rsidR="00D10326">
        <w:rPr>
          <w:bCs/>
          <w:lang w:val="en-GB"/>
        </w:rPr>
        <w:t>d</w:t>
      </w:r>
      <w:r w:rsidRPr="00C03C35">
        <w:rPr>
          <w:bCs/>
          <w:lang w:val="en-GB"/>
        </w:rPr>
        <w:t xml:space="preserve"> production costs for fossil ammonia and methanol, we used their respective market prices and computed Pearson correlation coefficients (r)</w:t>
      </w:r>
      <w:r w:rsidR="00BF50CE">
        <w:rPr>
          <w:bCs/>
          <w:lang w:val="en-GB"/>
        </w:rPr>
        <w:t xml:space="preserve"> and the mean absolute percentage errors (MAPE)</w:t>
      </w:r>
      <w:r w:rsidRPr="00C03C35">
        <w:rPr>
          <w:bCs/>
          <w:lang w:val="en-GB"/>
        </w:rPr>
        <w:t xml:space="preserve">. </w:t>
      </w:r>
      <w:r w:rsidRPr="00C03C35">
        <w:rPr>
          <w:lang w:val="en-GB"/>
        </w:rPr>
        <w:t xml:space="preserve">The production cost estimates for ammonia calculated </w:t>
      </w:r>
      <w:r w:rsidRPr="00C03C35">
        <w:rPr>
          <w:i/>
          <w:lang w:val="en-GB"/>
        </w:rPr>
        <w:t>via</w:t>
      </w:r>
      <w:r w:rsidRPr="00C03C35">
        <w:rPr>
          <w:lang w:val="en-GB"/>
        </w:rPr>
        <w:t xml:space="preserve"> techno-economic models were compared with the data extracted from Green Markets®</w:t>
      </w:r>
      <w:r w:rsidRPr="00C03C35">
        <w:rPr>
          <w:rStyle w:val="Hyperlink"/>
          <w:color w:val="auto"/>
          <w:u w:val="none"/>
          <w:lang w:val="en-GB"/>
        </w:rPr>
        <w:t xml:space="preserve"> (</w:t>
      </w:r>
      <w:r w:rsidRPr="00C03C35">
        <w:rPr>
          <w:rFonts w:cstheme="minorHAnsi"/>
          <w:b/>
          <w:lang w:val="en-GB"/>
        </w:rPr>
        <w:t>Figure S7</w:t>
      </w:r>
      <w:r w:rsidRPr="00C03C35">
        <w:rPr>
          <w:rStyle w:val="Hyperlink"/>
          <w:color w:val="auto"/>
          <w:u w:val="none"/>
          <w:lang w:val="en-GB"/>
        </w:rPr>
        <w:t xml:space="preserve">). </w:t>
      </w:r>
      <w:r w:rsidRPr="00C03C35">
        <w:rPr>
          <w:lang w:val="en-GB"/>
        </w:rPr>
        <w:t xml:space="preserve">Green Markets® has recently published the market price of fossil ammonia from July 2019 to July 2022 for Western Europe. </w:t>
      </w:r>
      <w:r w:rsidRPr="00C03C35">
        <w:rPr>
          <w:rFonts w:cstheme="minorHAnsi"/>
          <w:b/>
          <w:lang w:val="en-GB"/>
        </w:rPr>
        <w:t>Figure S7a</w:t>
      </w:r>
      <w:r w:rsidRPr="00C03C35">
        <w:rPr>
          <w:rFonts w:cstheme="minorHAnsi"/>
          <w:lang w:val="en-GB"/>
        </w:rPr>
        <w:t xml:space="preserve"> </w:t>
      </w:r>
      <w:r w:rsidRPr="00C03C35">
        <w:rPr>
          <w:lang w:val="en-GB"/>
        </w:rPr>
        <w:t xml:space="preserve">show the evolution of Europe's market price and production cost (estimated in this work). In </w:t>
      </w:r>
      <w:r w:rsidRPr="00C03C35">
        <w:rPr>
          <w:rFonts w:cstheme="minorHAnsi"/>
          <w:b/>
          <w:lang w:val="en-GB"/>
        </w:rPr>
        <w:t>Figure S7b</w:t>
      </w:r>
      <w:r w:rsidRPr="00C03C35">
        <w:rPr>
          <w:lang w:val="en-GB"/>
        </w:rPr>
        <w:t>, we compare the two data series using the Pearson correlation coefficient (r)</w:t>
      </w:r>
      <w:r w:rsidR="00FC77E3">
        <w:rPr>
          <w:lang w:val="en-GB"/>
        </w:rPr>
        <w:t xml:space="preserve"> and the mean </w:t>
      </w:r>
      <w:r w:rsidR="00E94AC8">
        <w:rPr>
          <w:lang w:val="en-GB"/>
        </w:rPr>
        <w:t>absolute percentage error (MAPE)</w:t>
      </w:r>
      <w:r w:rsidRPr="00C03C35">
        <w:rPr>
          <w:lang w:val="en-GB"/>
        </w:rPr>
        <w:t>. The r value is found to be around 0.9</w:t>
      </w:r>
      <w:r w:rsidR="00802B73">
        <w:rPr>
          <w:lang w:val="en-GB"/>
        </w:rPr>
        <w:t>5</w:t>
      </w:r>
      <w:r w:rsidRPr="00C03C35">
        <w:rPr>
          <w:lang w:val="en-GB"/>
        </w:rPr>
        <w:t xml:space="preserve"> showing strong correlation between the two data series. </w:t>
      </w:r>
      <w:r w:rsidR="007B4669">
        <w:rPr>
          <w:lang w:val="en-GB"/>
        </w:rPr>
        <w:t xml:space="preserve">Similarly, the MAPE is found to be around </w:t>
      </w:r>
      <w:r w:rsidR="00C52200">
        <w:rPr>
          <w:lang w:val="en-GB"/>
        </w:rPr>
        <w:t>29.7</w:t>
      </w:r>
      <w:r w:rsidR="007B4669">
        <w:rPr>
          <w:lang w:val="en-GB"/>
        </w:rPr>
        <w:t>% for the time period January 2019 to December 2020 and 3</w:t>
      </w:r>
      <w:r w:rsidR="00C52200">
        <w:rPr>
          <w:lang w:val="en-GB"/>
        </w:rPr>
        <w:t>7.7</w:t>
      </w:r>
      <w:r w:rsidR="007B4669">
        <w:rPr>
          <w:lang w:val="en-GB"/>
        </w:rPr>
        <w:t xml:space="preserve">% for the </w:t>
      </w:r>
      <w:r w:rsidR="000F560C">
        <w:rPr>
          <w:lang w:val="en-GB"/>
        </w:rPr>
        <w:t>time period January 2019 to November 2022</w:t>
      </w:r>
      <w:r w:rsidR="007B4669">
        <w:rPr>
          <w:lang w:val="en-GB"/>
        </w:rPr>
        <w:t>.</w:t>
      </w:r>
      <w:r w:rsidR="00E26631">
        <w:rPr>
          <w:lang w:val="en-GB"/>
        </w:rPr>
        <w:t xml:space="preserve"> Notably, here the error is calculated between the market price and the estimated production cost. </w:t>
      </w:r>
    </w:p>
    <w:p w14:paraId="1EEE5F9C" w14:textId="77777777" w:rsidR="00BF17FF" w:rsidRPr="00C03C35" w:rsidRDefault="00BF17FF" w:rsidP="00BF17FF">
      <w:pPr>
        <w:keepNext/>
        <w:jc w:val="center"/>
        <w:rPr>
          <w:lang w:val="en-GB"/>
        </w:rPr>
      </w:pPr>
      <w:r w:rsidRPr="00C03C35">
        <w:rPr>
          <w:noProof/>
          <w:lang w:val="en-GB"/>
        </w:rPr>
        <w:drawing>
          <wp:inline distT="0" distB="0" distL="0" distR="0" wp14:anchorId="54B1882B" wp14:editId="24BFA042">
            <wp:extent cx="6537973" cy="306809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mmonia validation.png"/>
                    <pic:cNvPicPr/>
                  </pic:nvPicPr>
                  <pic:blipFill>
                    <a:blip r:embed="rId34">
                      <a:extLst>
                        <a:ext uri="{28A0092B-C50C-407E-A947-70E740481C1C}">
                          <a14:useLocalDpi xmlns:a14="http://schemas.microsoft.com/office/drawing/2010/main"/>
                        </a:ext>
                      </a:extLst>
                    </a:blip>
                    <a:stretch>
                      <a:fillRect/>
                    </a:stretch>
                  </pic:blipFill>
                  <pic:spPr>
                    <a:xfrm>
                      <a:off x="0" y="0"/>
                      <a:ext cx="6537973" cy="3068098"/>
                    </a:xfrm>
                    <a:prstGeom prst="rect">
                      <a:avLst/>
                    </a:prstGeom>
                  </pic:spPr>
                </pic:pic>
              </a:graphicData>
            </a:graphic>
          </wp:inline>
        </w:drawing>
      </w:r>
    </w:p>
    <w:p w14:paraId="39D69C65" w14:textId="545B7A01" w:rsidR="00BF17FF" w:rsidRPr="00C03C35" w:rsidRDefault="00BF17FF" w:rsidP="00BF17FF">
      <w:pPr>
        <w:pStyle w:val="Caption"/>
        <w:jc w:val="both"/>
        <w:rPr>
          <w:b/>
          <w:sz w:val="20"/>
          <w:szCs w:val="20"/>
        </w:rPr>
      </w:pPr>
      <w:r w:rsidRPr="00C03C35">
        <w:rPr>
          <w:b/>
          <w:i w:val="0"/>
          <w:color w:val="auto"/>
          <w:sz w:val="20"/>
          <w:szCs w:val="20"/>
        </w:rPr>
        <w:t xml:space="preserve">Figure S7. </w:t>
      </w:r>
      <w:r w:rsidRPr="00C03C35">
        <w:rPr>
          <w:b/>
          <w:bCs/>
          <w:i w:val="0"/>
          <w:iCs w:val="0"/>
          <w:color w:val="auto"/>
          <w:sz w:val="20"/>
          <w:szCs w:val="20"/>
        </w:rPr>
        <w:t>Ammonia model validation. (a)</w:t>
      </w:r>
      <w:r w:rsidRPr="00C03C35">
        <w:rPr>
          <w:bCs/>
          <w:i w:val="0"/>
          <w:iCs w:val="0"/>
          <w:color w:val="auto"/>
          <w:sz w:val="20"/>
          <w:szCs w:val="20"/>
        </w:rPr>
        <w:t xml:space="preserve"> time evolution of the production cost estimates in comparison to the market price extracted from Green Markets® and </w:t>
      </w:r>
      <w:r w:rsidRPr="00C03C35">
        <w:rPr>
          <w:b/>
          <w:bCs/>
          <w:i w:val="0"/>
          <w:iCs w:val="0"/>
          <w:color w:val="auto"/>
          <w:sz w:val="20"/>
          <w:szCs w:val="20"/>
        </w:rPr>
        <w:t>(b)</w:t>
      </w:r>
      <w:r w:rsidRPr="00C03C35">
        <w:rPr>
          <w:bCs/>
          <w:i w:val="0"/>
          <w:iCs w:val="0"/>
          <w:color w:val="auto"/>
          <w:sz w:val="20"/>
          <w:szCs w:val="20"/>
        </w:rPr>
        <w:t xml:space="preserve"> correlation between the market price and the production cost estimate. A Pearson correlation coefficient (r) value of 0.9</w:t>
      </w:r>
      <w:r w:rsidR="002C465C">
        <w:rPr>
          <w:bCs/>
          <w:i w:val="0"/>
          <w:iCs w:val="0"/>
          <w:color w:val="auto"/>
          <w:sz w:val="20"/>
          <w:szCs w:val="20"/>
        </w:rPr>
        <w:t>5</w:t>
      </w:r>
      <w:r w:rsidRPr="00C03C35">
        <w:rPr>
          <w:bCs/>
          <w:i w:val="0"/>
          <w:iCs w:val="0"/>
          <w:color w:val="auto"/>
          <w:sz w:val="20"/>
          <w:szCs w:val="20"/>
        </w:rPr>
        <w:t xml:space="preserve"> is estimated showing a strong correlation between the two data series.</w:t>
      </w:r>
      <w:r w:rsidR="003E47CE">
        <w:rPr>
          <w:bCs/>
          <w:i w:val="0"/>
          <w:iCs w:val="0"/>
          <w:color w:val="auto"/>
          <w:sz w:val="20"/>
          <w:szCs w:val="20"/>
        </w:rPr>
        <w:t xml:space="preserve"> </w:t>
      </w:r>
      <w:r w:rsidR="002C465C">
        <w:rPr>
          <w:bCs/>
          <w:i w:val="0"/>
          <w:iCs w:val="0"/>
          <w:color w:val="auto"/>
          <w:sz w:val="20"/>
          <w:szCs w:val="20"/>
        </w:rPr>
        <w:t>Similarly, a mean absolute percentage error (MAPE) of 38% is calculated between the market price and the estimate</w:t>
      </w:r>
      <w:r w:rsidR="007238FC">
        <w:rPr>
          <w:bCs/>
          <w:i w:val="0"/>
          <w:iCs w:val="0"/>
          <w:color w:val="auto"/>
          <w:sz w:val="20"/>
          <w:szCs w:val="20"/>
        </w:rPr>
        <w:t>d</w:t>
      </w:r>
      <w:r w:rsidR="002C465C">
        <w:rPr>
          <w:bCs/>
          <w:i w:val="0"/>
          <w:iCs w:val="0"/>
          <w:color w:val="auto"/>
          <w:sz w:val="20"/>
          <w:szCs w:val="20"/>
        </w:rPr>
        <w:t xml:space="preserve"> production cost.</w:t>
      </w:r>
    </w:p>
    <w:p w14:paraId="793A956C" w14:textId="31A8DABD" w:rsidR="00BF17FF" w:rsidRPr="00D73A04" w:rsidRDefault="00BF17FF" w:rsidP="00BF17FF">
      <w:pPr>
        <w:jc w:val="both"/>
        <w:rPr>
          <w:rFonts w:eastAsia="Times New Roman" w:cstheme="minorHAnsi"/>
          <w:color w:val="0E101A"/>
          <w:lang w:val="en-GB"/>
        </w:rPr>
      </w:pPr>
      <w:r w:rsidRPr="00D73A04">
        <w:rPr>
          <w:rFonts w:cstheme="minorHAnsi"/>
          <w:lang w:val="en-GB"/>
        </w:rPr>
        <w:t xml:space="preserve">Market prices for European methanol were retrieved from Methanex Corporation (January 2015 to November 2022). Similar to ammonia, the data from Methanex is used to validate our production cost estimates from January 2015 to November 2022. The evolution of Europe’s market price and estimated production cost is depicted in </w:t>
      </w:r>
      <w:r w:rsidRPr="00D73A04">
        <w:rPr>
          <w:rFonts w:cstheme="minorHAnsi"/>
          <w:b/>
          <w:lang w:val="en-GB"/>
        </w:rPr>
        <w:t>Figure S8a</w:t>
      </w:r>
      <w:r w:rsidRPr="00D73A04">
        <w:rPr>
          <w:rFonts w:cstheme="minorHAnsi"/>
          <w:lang w:val="en-GB"/>
        </w:rPr>
        <w:t xml:space="preserve">. The r value </w:t>
      </w:r>
      <w:r w:rsidR="00D932F3" w:rsidRPr="00D73A04">
        <w:rPr>
          <w:rFonts w:cstheme="minorHAnsi"/>
          <w:lang w:val="en-GB"/>
        </w:rPr>
        <w:t xml:space="preserve">and the MAPE </w:t>
      </w:r>
      <w:r w:rsidRPr="00D73A04">
        <w:rPr>
          <w:rFonts w:cstheme="minorHAnsi"/>
          <w:lang w:val="en-GB"/>
        </w:rPr>
        <w:t>from January 2015 to July 2021 is calculated to be around 0.75</w:t>
      </w:r>
      <w:r w:rsidR="00D932F3" w:rsidRPr="00D73A04">
        <w:rPr>
          <w:rFonts w:cstheme="minorHAnsi"/>
          <w:lang w:val="en-GB"/>
        </w:rPr>
        <w:t xml:space="preserve"> and </w:t>
      </w:r>
      <w:r w:rsidR="009921EE" w:rsidRPr="00D73A04">
        <w:rPr>
          <w:rFonts w:cstheme="minorHAnsi"/>
          <w:lang w:val="en-GB"/>
        </w:rPr>
        <w:t>48.6%, respectively</w:t>
      </w:r>
      <w:r w:rsidRPr="00D73A04">
        <w:rPr>
          <w:rFonts w:cstheme="minorHAnsi"/>
          <w:lang w:val="en-GB"/>
        </w:rPr>
        <w:t xml:space="preserve"> (</w:t>
      </w:r>
      <w:r w:rsidRPr="00D73A04">
        <w:rPr>
          <w:rFonts w:cstheme="minorHAnsi"/>
          <w:b/>
          <w:lang w:val="en-GB"/>
        </w:rPr>
        <w:t>Figure S8b</w:t>
      </w:r>
      <w:r w:rsidRPr="00D73A04">
        <w:rPr>
          <w:rFonts w:cstheme="minorHAnsi"/>
          <w:lang w:val="en-GB"/>
        </w:rPr>
        <w:t xml:space="preserve">) showing a high correlation between the two data series. </w:t>
      </w:r>
      <w:r w:rsidR="00DE2789" w:rsidRPr="00D73A04">
        <w:rPr>
          <w:rFonts w:cstheme="minorHAnsi"/>
          <w:lang w:val="en-GB"/>
        </w:rPr>
        <w:t>F</w:t>
      </w:r>
      <w:r w:rsidRPr="00D73A04">
        <w:rPr>
          <w:rFonts w:cstheme="minorHAnsi"/>
          <w:lang w:val="en-GB"/>
        </w:rPr>
        <w:t xml:space="preserve">or the entire time range (January 2015 to November 2022), the </w:t>
      </w:r>
      <w:r w:rsidR="00DE2789" w:rsidRPr="00D73A04">
        <w:rPr>
          <w:rFonts w:cstheme="minorHAnsi"/>
          <w:lang w:val="en-GB"/>
        </w:rPr>
        <w:t xml:space="preserve">r </w:t>
      </w:r>
      <w:r w:rsidRPr="00D73A04">
        <w:rPr>
          <w:rFonts w:cstheme="minorHAnsi"/>
          <w:lang w:val="en-GB"/>
        </w:rPr>
        <w:t>coefficient decreases to 0.68</w:t>
      </w:r>
      <w:r w:rsidR="00DE2789" w:rsidRPr="00D73A04">
        <w:rPr>
          <w:rFonts w:cstheme="minorHAnsi"/>
          <w:lang w:val="en-GB"/>
        </w:rPr>
        <w:t xml:space="preserve"> and the MAPE increases to </w:t>
      </w:r>
      <w:r w:rsidR="009056E6" w:rsidRPr="00D73A04">
        <w:rPr>
          <w:rFonts w:cstheme="minorHAnsi"/>
          <w:lang w:val="en-GB"/>
        </w:rPr>
        <w:t>49.2%</w:t>
      </w:r>
      <w:r w:rsidRPr="00D73A04">
        <w:rPr>
          <w:rFonts w:cstheme="minorHAnsi"/>
          <w:lang w:val="en-GB"/>
        </w:rPr>
        <w:t>.</w:t>
      </w:r>
      <w:r w:rsidR="00F35971" w:rsidRPr="00D73A04">
        <w:rPr>
          <w:rFonts w:cstheme="minorHAnsi"/>
          <w:lang w:val="en-GB"/>
        </w:rPr>
        <w:t xml:space="preserve"> </w:t>
      </w:r>
      <w:r w:rsidRPr="00D73A04">
        <w:rPr>
          <w:rFonts w:cstheme="minorHAnsi"/>
          <w:lang w:val="en-GB"/>
        </w:rPr>
        <w:t xml:space="preserve">Also, there is a visible difference between the market price and estimated production cost for fossil methanol from July 2021. This difference is thought to exist due to several reasons. On the one hand, </w:t>
      </w:r>
      <w:r w:rsidRPr="00D73A04">
        <w:rPr>
          <w:rFonts w:eastAsia="Times New Roman" w:cstheme="minorHAnsi"/>
          <w:color w:val="0E101A"/>
          <w:lang w:val="en-GB"/>
        </w:rPr>
        <w:t xml:space="preserve">Methanex has production sites in countries not affected by the current volatility of natural gas prices and hence produce methanol at a lower cost. When this methanol is exported to Europe, the market price is expected to be lower than the cost of production in Europe. On the other hand, we use monthly average natural gas spot prices from the TTF trading </w:t>
      </w:r>
      <w:r w:rsidRPr="00D73A04">
        <w:rPr>
          <w:rFonts w:eastAsia="Times New Roman" w:cstheme="minorHAnsi"/>
          <w:color w:val="0E101A"/>
          <w:lang w:val="en-GB"/>
        </w:rPr>
        <w:lastRenderedPageBreak/>
        <w:t xml:space="preserve">hub in the Netherlands. Companies with ongoing long-term contracts may secure a more favourable gas price compared to the current spot price, and the production cost would be lower as well. However, we would expect that the price of natural gas agreed upon in deals closed since the outbreak of the energy crisis would depend on the natural gas TTF index. Therefore, our estimates do not correspond to actual market values, but to the minimum selling prices in the market if those chemicals were produced in EU at the corresponding natural gas prices. </w:t>
      </w:r>
    </w:p>
    <w:p w14:paraId="57833C0E" w14:textId="77777777" w:rsidR="00BF17FF" w:rsidRPr="00C03C35" w:rsidRDefault="00BF17FF" w:rsidP="00BF17FF">
      <w:pPr>
        <w:keepNext/>
        <w:jc w:val="center"/>
        <w:rPr>
          <w:lang w:val="en-GB"/>
        </w:rPr>
      </w:pPr>
      <w:r w:rsidRPr="00C03C35">
        <w:rPr>
          <w:noProof/>
          <w:lang w:val="en-GB"/>
        </w:rPr>
        <w:drawing>
          <wp:inline distT="0" distB="0" distL="0" distR="0" wp14:anchorId="586D37C3" wp14:editId="043A01D0">
            <wp:extent cx="6547117" cy="307239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ethanol validation.png"/>
                    <pic:cNvPicPr/>
                  </pic:nvPicPr>
                  <pic:blipFill>
                    <a:blip r:embed="rId35">
                      <a:extLst>
                        <a:ext uri="{28A0092B-C50C-407E-A947-70E740481C1C}">
                          <a14:useLocalDpi xmlns:a14="http://schemas.microsoft.com/office/drawing/2010/main"/>
                        </a:ext>
                      </a:extLst>
                    </a:blip>
                    <a:stretch>
                      <a:fillRect/>
                    </a:stretch>
                  </pic:blipFill>
                  <pic:spPr>
                    <a:xfrm>
                      <a:off x="0" y="0"/>
                      <a:ext cx="6547117" cy="3072390"/>
                    </a:xfrm>
                    <a:prstGeom prst="rect">
                      <a:avLst/>
                    </a:prstGeom>
                  </pic:spPr>
                </pic:pic>
              </a:graphicData>
            </a:graphic>
          </wp:inline>
        </w:drawing>
      </w:r>
    </w:p>
    <w:p w14:paraId="60A3CD9C" w14:textId="42469DC7" w:rsidR="00BF17FF" w:rsidRPr="00C03C35" w:rsidRDefault="00BF17FF" w:rsidP="00BF17FF">
      <w:pPr>
        <w:pStyle w:val="Caption"/>
        <w:jc w:val="both"/>
        <w:rPr>
          <w:bCs/>
          <w:i w:val="0"/>
          <w:iCs w:val="0"/>
          <w:color w:val="auto"/>
          <w:sz w:val="20"/>
          <w:szCs w:val="20"/>
        </w:rPr>
      </w:pPr>
      <w:r w:rsidRPr="00C03C35">
        <w:rPr>
          <w:b/>
          <w:i w:val="0"/>
          <w:color w:val="auto"/>
          <w:sz w:val="20"/>
          <w:szCs w:val="20"/>
        </w:rPr>
        <w:t xml:space="preserve">Figure S8. </w:t>
      </w:r>
      <w:r w:rsidRPr="00C03C35">
        <w:rPr>
          <w:b/>
          <w:bCs/>
          <w:i w:val="0"/>
          <w:iCs w:val="0"/>
          <w:color w:val="auto"/>
          <w:sz w:val="20"/>
          <w:szCs w:val="20"/>
        </w:rPr>
        <w:t>Methanol model validation. (a)</w:t>
      </w:r>
      <w:r w:rsidRPr="00C03C35">
        <w:rPr>
          <w:bCs/>
          <w:i w:val="0"/>
          <w:iCs w:val="0"/>
          <w:color w:val="auto"/>
          <w:sz w:val="20"/>
          <w:szCs w:val="20"/>
        </w:rPr>
        <w:t xml:space="preserve"> time evolution of the production cost estimates in comparison to the market price extracted from Methanex and</w:t>
      </w:r>
      <w:r w:rsidRPr="00C03C35">
        <w:rPr>
          <w:b/>
          <w:bCs/>
          <w:i w:val="0"/>
          <w:iCs w:val="0"/>
          <w:color w:val="auto"/>
          <w:sz w:val="20"/>
          <w:szCs w:val="20"/>
        </w:rPr>
        <w:t xml:space="preserve"> (b)</w:t>
      </w:r>
      <w:r w:rsidRPr="00C03C35">
        <w:rPr>
          <w:bCs/>
          <w:i w:val="0"/>
          <w:iCs w:val="0"/>
          <w:color w:val="auto"/>
          <w:sz w:val="20"/>
          <w:szCs w:val="20"/>
        </w:rPr>
        <w:t xml:space="preserve"> correlation between the market price and the production cost estimate. A Pearson correlation coefficient (r) value of 0.75 is estimated for the time period January 2015 to July 2021 (shown) and 0.68 for the time period January 2015 to November 2022 (not shown).</w:t>
      </w:r>
      <w:r w:rsidR="00C52200">
        <w:rPr>
          <w:bCs/>
          <w:i w:val="0"/>
          <w:iCs w:val="0"/>
          <w:color w:val="auto"/>
          <w:sz w:val="20"/>
          <w:szCs w:val="20"/>
        </w:rPr>
        <w:t xml:space="preserve"> Similarly, an MAPE of </w:t>
      </w:r>
      <w:r w:rsidR="00297631">
        <w:rPr>
          <w:bCs/>
          <w:i w:val="0"/>
          <w:iCs w:val="0"/>
          <w:color w:val="auto"/>
          <w:sz w:val="20"/>
          <w:szCs w:val="20"/>
        </w:rPr>
        <w:t>48.6% is estimated for the time period January 2015 to July 2021.</w:t>
      </w:r>
    </w:p>
    <w:p w14:paraId="0713C26D" w14:textId="77777777" w:rsidR="00BF17FF" w:rsidRPr="00C03C35" w:rsidRDefault="00BF17FF" w:rsidP="00BF17FF">
      <w:pPr>
        <w:jc w:val="both"/>
        <w:rPr>
          <w:rFonts w:eastAsia="Times New Roman"/>
          <w:color w:val="0E101A"/>
          <w:lang w:val="en-GB"/>
        </w:rPr>
      </w:pPr>
    </w:p>
    <w:p w14:paraId="1C168087" w14:textId="77777777" w:rsidR="00BF17FF" w:rsidRPr="00C03C35" w:rsidRDefault="00BF17FF" w:rsidP="00BF17FF">
      <w:pPr>
        <w:jc w:val="both"/>
        <w:rPr>
          <w:rFonts w:eastAsia="Times New Roman"/>
          <w:color w:val="0E101A"/>
          <w:lang w:val="en-GB"/>
        </w:rPr>
      </w:pPr>
    </w:p>
    <w:p w14:paraId="264D85F9" w14:textId="77777777" w:rsidR="00BF17FF" w:rsidRPr="00C03C35" w:rsidRDefault="00BF17FF" w:rsidP="00BF17FF">
      <w:pPr>
        <w:jc w:val="both"/>
        <w:rPr>
          <w:rFonts w:eastAsia="Times New Roman"/>
          <w:color w:val="0E101A"/>
          <w:lang w:val="en-GB"/>
        </w:rPr>
      </w:pPr>
    </w:p>
    <w:p w14:paraId="07196D83" w14:textId="77777777" w:rsidR="00BF17FF" w:rsidRPr="00C03C35" w:rsidRDefault="00BF17FF" w:rsidP="00BF17FF">
      <w:pPr>
        <w:jc w:val="both"/>
        <w:rPr>
          <w:rFonts w:eastAsia="Times New Roman"/>
          <w:color w:val="0E101A"/>
          <w:lang w:val="en-GB"/>
        </w:rPr>
      </w:pPr>
    </w:p>
    <w:p w14:paraId="758AFC13" w14:textId="77777777" w:rsidR="00BF17FF" w:rsidRPr="00C03C35" w:rsidRDefault="00BF17FF" w:rsidP="00BF17FF">
      <w:pPr>
        <w:jc w:val="both"/>
        <w:rPr>
          <w:rFonts w:eastAsia="Times New Roman"/>
          <w:color w:val="0E101A"/>
          <w:lang w:val="en-GB"/>
        </w:rPr>
      </w:pPr>
    </w:p>
    <w:p w14:paraId="6FF55BA9" w14:textId="77777777" w:rsidR="00BF17FF" w:rsidRPr="00C03C35" w:rsidRDefault="00BF17FF" w:rsidP="00BF17FF">
      <w:pPr>
        <w:jc w:val="both"/>
        <w:rPr>
          <w:rFonts w:eastAsia="Times New Roman"/>
          <w:color w:val="0E101A"/>
          <w:lang w:val="en-GB"/>
        </w:rPr>
      </w:pPr>
    </w:p>
    <w:p w14:paraId="32CA5EDA" w14:textId="77777777" w:rsidR="00BF17FF" w:rsidRPr="00C03C35" w:rsidRDefault="00BF17FF" w:rsidP="00BF17FF">
      <w:pPr>
        <w:jc w:val="both"/>
        <w:rPr>
          <w:rFonts w:eastAsia="Times New Roman"/>
          <w:color w:val="0E101A"/>
          <w:lang w:val="en-GB"/>
        </w:rPr>
      </w:pPr>
    </w:p>
    <w:p w14:paraId="18A59FCC" w14:textId="77777777" w:rsidR="00BF17FF" w:rsidRPr="00C03C35" w:rsidRDefault="00BF17FF" w:rsidP="00BF17FF">
      <w:pPr>
        <w:jc w:val="both"/>
        <w:rPr>
          <w:rFonts w:eastAsia="Times New Roman"/>
          <w:color w:val="0E101A"/>
          <w:lang w:val="en-GB"/>
        </w:rPr>
      </w:pPr>
    </w:p>
    <w:p w14:paraId="799FA9C0" w14:textId="77777777" w:rsidR="00BF17FF" w:rsidRPr="00C03C35" w:rsidRDefault="00BF17FF" w:rsidP="000A67C6">
      <w:pPr>
        <w:pStyle w:val="Heading2"/>
        <w:rPr>
          <w:lang w:val="en-GB"/>
        </w:rPr>
      </w:pPr>
      <w:r w:rsidRPr="00C03C35">
        <w:rPr>
          <w:lang w:val="en-GB"/>
        </w:rPr>
        <w:lastRenderedPageBreak/>
        <w:t>Additional results</w:t>
      </w:r>
    </w:p>
    <w:p w14:paraId="7D402747" w14:textId="77777777" w:rsidR="00BF17FF" w:rsidRPr="00C03C35" w:rsidRDefault="00BF17FF" w:rsidP="00BF17FF">
      <w:pPr>
        <w:pStyle w:val="Caption"/>
        <w:jc w:val="both"/>
        <w:rPr>
          <w:i w:val="0"/>
          <w:color w:val="auto"/>
          <w:sz w:val="20"/>
          <w:szCs w:val="20"/>
        </w:rPr>
      </w:pPr>
      <w:r w:rsidRPr="00C03C35">
        <w:rPr>
          <w:bCs/>
          <w:i w:val="0"/>
          <w:iCs w:val="0"/>
          <w:color w:val="auto"/>
          <w:sz w:val="22"/>
          <w:szCs w:val="22"/>
        </w:rPr>
        <w:t xml:space="preserve">For the sake of clarity in graphical depictions, some additional results were not included in the main manuscript. The production cost for both fossil and green routes of ammonia and methanol production throughout the entire period of discussion is presented in </w:t>
      </w:r>
      <w:r w:rsidRPr="00C03C35">
        <w:rPr>
          <w:b/>
          <w:bCs/>
          <w:i w:val="0"/>
          <w:iCs w:val="0"/>
          <w:color w:val="auto"/>
          <w:sz w:val="22"/>
          <w:szCs w:val="22"/>
        </w:rPr>
        <w:t>Figure S9</w:t>
      </w:r>
      <w:r w:rsidRPr="00C03C35">
        <w:rPr>
          <w:bCs/>
          <w:i w:val="0"/>
          <w:iCs w:val="0"/>
          <w:color w:val="auto"/>
          <w:sz w:val="22"/>
          <w:szCs w:val="22"/>
        </w:rPr>
        <w:t>.</w:t>
      </w:r>
    </w:p>
    <w:p w14:paraId="212FCACD" w14:textId="77777777" w:rsidR="00BF17FF" w:rsidRPr="00C03C35" w:rsidRDefault="00BF17FF" w:rsidP="00BF17FF">
      <w:pPr>
        <w:keepNext/>
        <w:jc w:val="center"/>
        <w:rPr>
          <w:lang w:val="en-GB"/>
        </w:rPr>
      </w:pPr>
      <w:r w:rsidRPr="00C03C35">
        <w:rPr>
          <w:noProof/>
          <w:lang w:val="en-GB"/>
        </w:rPr>
        <w:drawing>
          <wp:inline distT="0" distB="0" distL="0" distR="0" wp14:anchorId="4FCA25A4" wp14:editId="1912EF34">
            <wp:extent cx="5717298" cy="62499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e 2.png"/>
                    <pic:cNvPicPr/>
                  </pic:nvPicPr>
                  <pic:blipFill>
                    <a:blip r:embed="rId36">
                      <a:extLst>
                        <a:ext uri="{28A0092B-C50C-407E-A947-70E740481C1C}">
                          <a14:useLocalDpi xmlns:a14="http://schemas.microsoft.com/office/drawing/2010/main"/>
                        </a:ext>
                      </a:extLst>
                    </a:blip>
                    <a:stretch>
                      <a:fillRect/>
                    </a:stretch>
                  </pic:blipFill>
                  <pic:spPr>
                    <a:xfrm>
                      <a:off x="0" y="0"/>
                      <a:ext cx="5717298" cy="6249937"/>
                    </a:xfrm>
                    <a:prstGeom prst="rect">
                      <a:avLst/>
                    </a:prstGeom>
                  </pic:spPr>
                </pic:pic>
              </a:graphicData>
            </a:graphic>
          </wp:inline>
        </w:drawing>
      </w:r>
    </w:p>
    <w:p w14:paraId="4183E5A0" w14:textId="77777777" w:rsidR="00BF17FF" w:rsidRPr="00C03C35" w:rsidRDefault="00BF17FF" w:rsidP="00BF17FF">
      <w:pPr>
        <w:jc w:val="both"/>
        <w:rPr>
          <w:sz w:val="20"/>
          <w:szCs w:val="20"/>
          <w:lang w:val="en-GB"/>
        </w:rPr>
      </w:pPr>
      <w:r w:rsidRPr="00C03C35">
        <w:rPr>
          <w:b/>
          <w:sz w:val="20"/>
          <w:szCs w:val="20"/>
          <w:lang w:val="en-GB"/>
        </w:rPr>
        <w:t>Figure S9.</w:t>
      </w:r>
      <w:r w:rsidRPr="00C03C35">
        <w:rPr>
          <w:sz w:val="20"/>
          <w:szCs w:val="20"/>
          <w:lang w:val="en-GB"/>
        </w:rPr>
        <w:t xml:space="preserve"> </w:t>
      </w:r>
      <w:r w:rsidRPr="00C03C35">
        <w:rPr>
          <w:rFonts w:cstheme="minorHAnsi"/>
          <w:b/>
          <w:sz w:val="20"/>
          <w:szCs w:val="20"/>
          <w:lang w:val="en-GB"/>
        </w:rPr>
        <w:t>Production cost for green ammonia and methanol in Europe compared with the fossil counterpart in USD kg</w:t>
      </w:r>
      <w:r w:rsidRPr="00C03C35">
        <w:rPr>
          <w:rFonts w:cstheme="minorHAnsi"/>
          <w:b/>
          <w:sz w:val="20"/>
          <w:szCs w:val="20"/>
          <w:vertAlign w:val="superscript"/>
          <w:lang w:val="en-GB"/>
        </w:rPr>
        <w:t>–1</w:t>
      </w:r>
      <w:r w:rsidRPr="00C03C35">
        <w:rPr>
          <w:rFonts w:cstheme="minorHAnsi"/>
          <w:b/>
          <w:sz w:val="20"/>
          <w:szCs w:val="20"/>
          <w:lang w:val="en-GB"/>
        </w:rPr>
        <w:t xml:space="preserve">. </w:t>
      </w:r>
      <w:r w:rsidRPr="00C03C35">
        <w:rPr>
          <w:rFonts w:cstheme="minorHAnsi"/>
          <w:sz w:val="20"/>
          <w:szCs w:val="20"/>
          <w:lang w:val="en-GB"/>
        </w:rPr>
        <w:t xml:space="preserve">Green </w:t>
      </w:r>
      <w:r w:rsidRPr="00C03C35">
        <w:rPr>
          <w:sz w:val="20"/>
          <w:szCs w:val="20"/>
          <w:lang w:val="en-GB"/>
        </w:rPr>
        <w:t xml:space="preserve">ammonia produced </w:t>
      </w:r>
      <w:r w:rsidRPr="00C03C35">
        <w:rPr>
          <w:i/>
          <w:sz w:val="20"/>
          <w:szCs w:val="20"/>
          <w:lang w:val="en-GB"/>
        </w:rPr>
        <w:t>via</w:t>
      </w:r>
      <w:r w:rsidRPr="00C03C35">
        <w:rPr>
          <w:sz w:val="20"/>
          <w:szCs w:val="20"/>
          <w:lang w:val="en-GB"/>
        </w:rPr>
        <w:t xml:space="preserve"> the Haber-Bosch process with </w:t>
      </w:r>
      <w:r w:rsidRPr="00C03C35">
        <w:rPr>
          <w:b/>
          <w:sz w:val="20"/>
          <w:szCs w:val="20"/>
          <w:lang w:val="en-GB"/>
        </w:rPr>
        <w:t>(a)</w:t>
      </w:r>
      <w:r w:rsidRPr="00C03C35">
        <w:rPr>
          <w:sz w:val="20"/>
          <w:szCs w:val="20"/>
          <w:lang w:val="en-GB"/>
        </w:rPr>
        <w:t xml:space="preserve"> blue hydrogen from steam methane reforming (SMR) coupled with carbon capture and storage (CCS) and green hydrogen from water electrolysis using </w:t>
      </w:r>
      <w:r w:rsidRPr="00C03C35">
        <w:rPr>
          <w:b/>
          <w:bCs/>
          <w:sz w:val="20"/>
          <w:szCs w:val="20"/>
          <w:lang w:val="en-GB"/>
        </w:rPr>
        <w:t>(b)</w:t>
      </w:r>
      <w:r w:rsidRPr="00C03C35">
        <w:rPr>
          <w:sz w:val="20"/>
          <w:szCs w:val="20"/>
          <w:lang w:val="en-GB"/>
        </w:rPr>
        <w:t xml:space="preserve"> solar photovoltaic (PV) electricity or </w:t>
      </w:r>
      <w:r w:rsidRPr="00C03C35">
        <w:rPr>
          <w:b/>
          <w:bCs/>
          <w:sz w:val="20"/>
          <w:szCs w:val="20"/>
          <w:lang w:val="en-GB"/>
        </w:rPr>
        <w:t>(c)</w:t>
      </w:r>
      <w:r w:rsidRPr="00C03C35">
        <w:rPr>
          <w:sz w:val="20"/>
          <w:szCs w:val="20"/>
          <w:lang w:val="en-GB"/>
        </w:rPr>
        <w:t xml:space="preserve"> on-shore wind electricity. Methanol synthesised from captured CO</w:t>
      </w:r>
      <w:r w:rsidRPr="00C03C35">
        <w:rPr>
          <w:sz w:val="20"/>
          <w:szCs w:val="20"/>
          <w:vertAlign w:val="subscript"/>
          <w:lang w:val="en-GB"/>
        </w:rPr>
        <w:t>2</w:t>
      </w:r>
      <w:r w:rsidRPr="00C03C35">
        <w:rPr>
          <w:sz w:val="20"/>
          <w:szCs w:val="20"/>
          <w:lang w:val="en-GB"/>
        </w:rPr>
        <w:t xml:space="preserve"> and </w:t>
      </w:r>
      <w:bookmarkStart w:id="13" w:name="_Hlk124438456"/>
      <w:r w:rsidRPr="00C03C35">
        <w:rPr>
          <w:b/>
          <w:sz w:val="20"/>
          <w:szCs w:val="20"/>
          <w:lang w:val="en-GB"/>
        </w:rPr>
        <w:t>(d)</w:t>
      </w:r>
      <w:r w:rsidRPr="00C03C35">
        <w:rPr>
          <w:sz w:val="20"/>
          <w:szCs w:val="20"/>
          <w:lang w:val="en-GB"/>
        </w:rPr>
        <w:t xml:space="preserve"> blue hydrogen –SMR coupled with CCS–</w:t>
      </w:r>
      <w:bookmarkEnd w:id="13"/>
      <w:r w:rsidRPr="00C03C35">
        <w:rPr>
          <w:sz w:val="20"/>
          <w:szCs w:val="20"/>
          <w:lang w:val="en-GB"/>
        </w:rPr>
        <w:t xml:space="preserve">, </w:t>
      </w:r>
      <w:r w:rsidRPr="00C03C35">
        <w:rPr>
          <w:b/>
          <w:sz w:val="20"/>
          <w:szCs w:val="20"/>
          <w:lang w:val="en-GB"/>
        </w:rPr>
        <w:t>(e)</w:t>
      </w:r>
      <w:r w:rsidRPr="00C03C35">
        <w:rPr>
          <w:sz w:val="20"/>
          <w:szCs w:val="20"/>
          <w:lang w:val="en-GB"/>
        </w:rPr>
        <w:t xml:space="preserve"> PV-based electrolytic hydrogen or </w:t>
      </w:r>
      <w:r w:rsidRPr="00C03C35">
        <w:rPr>
          <w:b/>
          <w:sz w:val="20"/>
          <w:szCs w:val="20"/>
          <w:lang w:val="en-GB"/>
        </w:rPr>
        <w:t xml:space="preserve">(f) </w:t>
      </w:r>
      <w:r w:rsidRPr="00C03C35">
        <w:rPr>
          <w:sz w:val="20"/>
          <w:szCs w:val="20"/>
          <w:lang w:val="en-GB"/>
        </w:rPr>
        <w:t xml:space="preserve">wind-based electrolytic hydrogen. The error bands indicate the lower and upper bounds for the levelised cost of hydrogen (see </w:t>
      </w:r>
      <w:r w:rsidRPr="00C03C35">
        <w:rPr>
          <w:b/>
          <w:sz w:val="20"/>
          <w:szCs w:val="20"/>
          <w:lang w:val="en-GB"/>
        </w:rPr>
        <w:t>Table S7</w:t>
      </w:r>
      <w:r w:rsidRPr="00C03C35">
        <w:rPr>
          <w:sz w:val="20"/>
          <w:szCs w:val="20"/>
          <w:lang w:val="en-GB"/>
        </w:rPr>
        <w:t>).</w:t>
      </w:r>
    </w:p>
    <w:p w14:paraId="7C0D0C14" w14:textId="77777777" w:rsidR="00BF17FF" w:rsidRPr="00C03C35" w:rsidRDefault="00BF17FF" w:rsidP="00BF17FF">
      <w:pPr>
        <w:pStyle w:val="Caption"/>
        <w:jc w:val="both"/>
        <w:rPr>
          <w:i w:val="0"/>
          <w:color w:val="auto"/>
          <w:sz w:val="22"/>
          <w:szCs w:val="22"/>
        </w:rPr>
      </w:pPr>
      <w:r w:rsidRPr="00C03C35">
        <w:rPr>
          <w:b/>
          <w:bCs/>
          <w:i w:val="0"/>
          <w:iCs w:val="0"/>
          <w:color w:val="auto"/>
          <w:sz w:val="22"/>
          <w:szCs w:val="22"/>
        </w:rPr>
        <w:lastRenderedPageBreak/>
        <w:t>Figure S10</w:t>
      </w:r>
      <w:r w:rsidRPr="00C03C35">
        <w:t xml:space="preserve"> </w:t>
      </w:r>
      <w:r w:rsidRPr="00C03C35">
        <w:rPr>
          <w:i w:val="0"/>
          <w:color w:val="auto"/>
          <w:sz w:val="22"/>
          <w:szCs w:val="22"/>
        </w:rPr>
        <w:t>illustrates the cost breakdown for the production of ammonia and methanol through fossil and green routes. Of all the components, hydrogen makes the greatest contribution to the average production cost of green chemicals.</w:t>
      </w:r>
    </w:p>
    <w:p w14:paraId="1B955D1E" w14:textId="77777777" w:rsidR="00BF17FF" w:rsidRPr="00C03C35" w:rsidRDefault="00BF17FF" w:rsidP="00BF17FF">
      <w:pPr>
        <w:keepNext/>
        <w:jc w:val="center"/>
        <w:rPr>
          <w:lang w:val="en-GB"/>
        </w:rPr>
      </w:pPr>
      <w:r w:rsidRPr="00C03C35">
        <w:rPr>
          <w:noProof/>
          <w:lang w:val="en-GB"/>
        </w:rPr>
        <w:drawing>
          <wp:inline distT="0" distB="0" distL="0" distR="0" wp14:anchorId="066F6394" wp14:editId="7A4BD564">
            <wp:extent cx="6514165" cy="6630923"/>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 S2.jpg"/>
                    <pic:cNvPicPr/>
                  </pic:nvPicPr>
                  <pic:blipFill>
                    <a:blip r:embed="rId37" cstate="print">
                      <a:extLst>
                        <a:ext uri="{28A0092B-C50C-407E-A947-70E740481C1C}">
                          <a14:useLocalDpi xmlns:a14="http://schemas.microsoft.com/office/drawing/2010/main"/>
                        </a:ext>
                      </a:extLst>
                    </a:blip>
                    <a:stretch>
                      <a:fillRect/>
                    </a:stretch>
                  </pic:blipFill>
                  <pic:spPr>
                    <a:xfrm>
                      <a:off x="0" y="0"/>
                      <a:ext cx="6514165" cy="6630923"/>
                    </a:xfrm>
                    <a:prstGeom prst="rect">
                      <a:avLst/>
                    </a:prstGeom>
                  </pic:spPr>
                </pic:pic>
              </a:graphicData>
            </a:graphic>
          </wp:inline>
        </w:drawing>
      </w:r>
    </w:p>
    <w:p w14:paraId="4C22197F" w14:textId="77777777" w:rsidR="00BF17FF" w:rsidRPr="00C03C35" w:rsidRDefault="00BF17FF" w:rsidP="00BF17FF">
      <w:pPr>
        <w:pStyle w:val="Caption"/>
        <w:jc w:val="both"/>
        <w:rPr>
          <w:i w:val="0"/>
          <w:color w:val="auto"/>
          <w:sz w:val="20"/>
          <w:szCs w:val="20"/>
        </w:rPr>
      </w:pPr>
      <w:r w:rsidRPr="00C03C35">
        <w:rPr>
          <w:b/>
          <w:i w:val="0"/>
          <w:color w:val="auto"/>
          <w:sz w:val="20"/>
          <w:szCs w:val="20"/>
        </w:rPr>
        <w:t xml:space="preserve">Figure S10. </w:t>
      </w:r>
      <w:r w:rsidRPr="00C03C35">
        <w:rPr>
          <w:b/>
          <w:bCs/>
          <w:i w:val="0"/>
          <w:color w:val="auto"/>
          <w:sz w:val="20"/>
          <w:szCs w:val="20"/>
        </w:rPr>
        <w:t xml:space="preserve">Breakdown of production costs for fossil and green ammonia (a) and methanol (b). </w:t>
      </w:r>
      <w:r w:rsidRPr="00C03C35">
        <w:rPr>
          <w:i w:val="0"/>
          <w:color w:val="auto"/>
          <w:sz w:val="20"/>
          <w:szCs w:val="20"/>
        </w:rPr>
        <w:t xml:space="preserve">Error bars display the production cost considering the lower and upper bound for the levelised cost of hydrogen. </w:t>
      </w:r>
    </w:p>
    <w:p w14:paraId="5338EF8F" w14:textId="77777777" w:rsidR="00BF17FF" w:rsidRPr="00C03C35" w:rsidRDefault="00BF17FF" w:rsidP="00BF17FF">
      <w:pPr>
        <w:pStyle w:val="Caption"/>
        <w:jc w:val="both"/>
        <w:rPr>
          <w:i w:val="0"/>
          <w:color w:val="auto"/>
          <w:sz w:val="20"/>
          <w:szCs w:val="20"/>
        </w:rPr>
      </w:pPr>
      <w:r w:rsidRPr="00C03C35">
        <w:rPr>
          <w:b/>
          <w:bCs/>
          <w:i w:val="0"/>
          <w:iCs w:val="0"/>
          <w:color w:val="auto"/>
          <w:sz w:val="22"/>
          <w:szCs w:val="22"/>
        </w:rPr>
        <w:lastRenderedPageBreak/>
        <w:t>Figure S11</w:t>
      </w:r>
      <w:r w:rsidRPr="00C03C35">
        <w:rPr>
          <w:sz w:val="22"/>
          <w:szCs w:val="22"/>
        </w:rPr>
        <w:t xml:space="preserve"> </w:t>
      </w:r>
      <w:r w:rsidRPr="00C03C35">
        <w:rPr>
          <w:i w:val="0"/>
          <w:color w:val="auto"/>
          <w:sz w:val="22"/>
          <w:szCs w:val="22"/>
        </w:rPr>
        <w:t>shows the monthly average CO</w:t>
      </w:r>
      <w:r w:rsidRPr="00C03C35">
        <w:rPr>
          <w:i w:val="0"/>
          <w:color w:val="auto"/>
          <w:sz w:val="22"/>
          <w:szCs w:val="22"/>
          <w:vertAlign w:val="subscript"/>
        </w:rPr>
        <w:t>2</w:t>
      </w:r>
      <w:r w:rsidRPr="00C03C35">
        <w:rPr>
          <w:i w:val="0"/>
          <w:color w:val="auto"/>
          <w:sz w:val="22"/>
          <w:szCs w:val="22"/>
        </w:rPr>
        <w:t xml:space="preserve"> from DAC prices. It can be seen that c</w:t>
      </w:r>
      <w:r w:rsidRPr="00C03C35">
        <w:rPr>
          <w:bCs/>
          <w:i w:val="0"/>
          <w:iCs w:val="0"/>
          <w:color w:val="auto"/>
          <w:sz w:val="22"/>
          <w:szCs w:val="22"/>
        </w:rPr>
        <w:t>arbon dioxide capture prices are highly volatile and dependent on the price of natural gas and electricity. Around 0.1 kg of natural gas and 77 kWh of electric power is required per kg of CO</w:t>
      </w:r>
      <w:r w:rsidRPr="00C03C35">
        <w:rPr>
          <w:bCs/>
          <w:i w:val="0"/>
          <w:iCs w:val="0"/>
          <w:color w:val="auto"/>
          <w:sz w:val="22"/>
          <w:szCs w:val="22"/>
          <w:vertAlign w:val="subscript"/>
        </w:rPr>
        <w:t>2</w:t>
      </w:r>
      <w:r w:rsidRPr="00C03C35">
        <w:rPr>
          <w:bCs/>
          <w:i w:val="0"/>
          <w:iCs w:val="0"/>
          <w:color w:val="auto"/>
          <w:sz w:val="22"/>
          <w:szCs w:val="22"/>
        </w:rPr>
        <w:t xml:space="preserve"> captured.</w:t>
      </w:r>
    </w:p>
    <w:p w14:paraId="4A4B134C" w14:textId="77777777" w:rsidR="00BF17FF" w:rsidRPr="00C03C35" w:rsidRDefault="00BF17FF" w:rsidP="00BF17FF">
      <w:pPr>
        <w:keepNext/>
        <w:jc w:val="center"/>
        <w:rPr>
          <w:lang w:val="en-GB"/>
        </w:rPr>
      </w:pPr>
      <w:r w:rsidRPr="00C03C35">
        <w:rPr>
          <w:noProof/>
          <w:lang w:val="en-GB"/>
        </w:rPr>
        <w:drawing>
          <wp:inline distT="0" distB="0" distL="0" distR="0" wp14:anchorId="4A46591C" wp14:editId="07D563B6">
            <wp:extent cx="3163824" cy="30723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S4.png"/>
                    <pic:cNvPicPr/>
                  </pic:nvPicPr>
                  <pic:blipFill>
                    <a:blip r:embed="rId38"/>
                    <a:stretch>
                      <a:fillRect/>
                    </a:stretch>
                  </pic:blipFill>
                  <pic:spPr>
                    <a:xfrm>
                      <a:off x="0" y="0"/>
                      <a:ext cx="3163824" cy="3072384"/>
                    </a:xfrm>
                    <a:prstGeom prst="rect">
                      <a:avLst/>
                    </a:prstGeom>
                  </pic:spPr>
                </pic:pic>
              </a:graphicData>
            </a:graphic>
          </wp:inline>
        </w:drawing>
      </w:r>
    </w:p>
    <w:p w14:paraId="3D3015FD" w14:textId="6E9014FE" w:rsidR="00BF17FF" w:rsidRPr="00C03C35" w:rsidRDefault="00BF17FF" w:rsidP="00BF17FF">
      <w:pPr>
        <w:pStyle w:val="Caption"/>
        <w:jc w:val="both"/>
        <w:rPr>
          <w:bCs/>
          <w:i w:val="0"/>
          <w:iCs w:val="0"/>
          <w:color w:val="auto"/>
          <w:sz w:val="20"/>
          <w:szCs w:val="20"/>
        </w:rPr>
      </w:pPr>
      <w:r w:rsidRPr="00C03C35">
        <w:rPr>
          <w:b/>
          <w:i w:val="0"/>
          <w:color w:val="auto"/>
          <w:sz w:val="20"/>
          <w:szCs w:val="20"/>
        </w:rPr>
        <w:t xml:space="preserve">Figure S11. </w:t>
      </w:r>
      <w:r w:rsidRPr="00C03C35">
        <w:rPr>
          <w:b/>
          <w:bCs/>
          <w:i w:val="0"/>
          <w:iCs w:val="0"/>
          <w:color w:val="auto"/>
          <w:sz w:val="20"/>
          <w:szCs w:val="20"/>
        </w:rPr>
        <w:t xml:space="preserve">Evolution of carbon dioxide prices using DAC technology. </w:t>
      </w:r>
      <w:r w:rsidRPr="00C03C35">
        <w:rPr>
          <w:bCs/>
          <w:i w:val="0"/>
          <w:iCs w:val="0"/>
          <w:color w:val="auto"/>
          <w:sz w:val="20"/>
          <w:szCs w:val="20"/>
        </w:rPr>
        <w:t xml:space="preserve">Error bands display the capture cost considering the different Capital Recovery Factors (CRF) from the work done by Keith </w:t>
      </w:r>
      <w:r w:rsidRPr="00C03C35">
        <w:rPr>
          <w:bCs/>
          <w:iCs w:val="0"/>
          <w:color w:val="auto"/>
          <w:sz w:val="20"/>
          <w:szCs w:val="20"/>
        </w:rPr>
        <w:t>et al</w:t>
      </w:r>
      <w:r w:rsidRPr="00C03C35">
        <w:rPr>
          <w:bCs/>
          <w:i w:val="0"/>
          <w:iCs w:val="0"/>
          <w:color w:val="auto"/>
          <w:sz w:val="20"/>
          <w:szCs w:val="20"/>
        </w:rPr>
        <w:t>.</w:t>
      </w:r>
      <w:r w:rsidRPr="00C03C35">
        <w:rPr>
          <w:rFonts w:cstheme="minorHAnsi"/>
          <w:i w:val="0"/>
          <w:color w:val="auto"/>
        </w:rPr>
        <w:fldChar w:fldCharType="begin"/>
      </w:r>
      <w:r w:rsidR="003070D5">
        <w:rPr>
          <w:rFonts w:cstheme="minorHAnsi"/>
          <w:i w:val="0"/>
          <w:color w:val="auto"/>
        </w:rPr>
        <w:instrText xml:space="preserve"> ADDIN ZOTERO_ITEM CSL_CITATION {"citationID":"J2ciR4uB","properties":{"formattedCitation":"\\super 5\\nosupersub{}","plainCitation":"5","noteIndex":0},"citationItems":[{"id":"dHwHotKY/pOnJPbl1","uris":["http://zotero.org/users/9157291/items/SHKUDHUW"],"itemData":{"id":9964,"type":"article-journal","abstract":"We describe a process for capturing CO2 from the atmosphere in an industrial plant. The design captures </w:instrText>
      </w:r>
      <w:r w:rsidR="003070D5">
        <w:rPr>
          <w:rFonts w:ascii="Cambria Math" w:hAnsi="Cambria Math" w:cs="Cambria Math"/>
          <w:i w:val="0"/>
          <w:color w:val="auto"/>
        </w:rPr>
        <w:instrText>∼</w:instrText>
      </w:r>
      <w:r w:rsidR="003070D5">
        <w:rPr>
          <w:rFonts w:cstheme="minorHAnsi"/>
          <w:i w:val="0"/>
          <w:color w:val="auto"/>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Pr="00C03C35">
        <w:rPr>
          <w:rFonts w:cstheme="minorHAnsi"/>
          <w:i w:val="0"/>
          <w:color w:val="auto"/>
        </w:rPr>
        <w:fldChar w:fldCharType="separate"/>
      </w:r>
      <w:r w:rsidRPr="00C03C35">
        <w:rPr>
          <w:rFonts w:ascii="Calibri" w:hAnsi="Calibri" w:cs="Calibri"/>
          <w:i w:val="0"/>
          <w:color w:val="auto"/>
          <w:szCs w:val="24"/>
          <w:vertAlign w:val="superscript"/>
        </w:rPr>
        <w:t>5</w:t>
      </w:r>
      <w:r w:rsidRPr="00C03C35">
        <w:rPr>
          <w:rFonts w:cstheme="minorHAnsi"/>
          <w:i w:val="0"/>
          <w:color w:val="auto"/>
        </w:rPr>
        <w:fldChar w:fldCharType="end"/>
      </w:r>
    </w:p>
    <w:p w14:paraId="78C85A68" w14:textId="77777777" w:rsidR="00BF17FF" w:rsidRPr="00C03C35" w:rsidRDefault="00BF17FF" w:rsidP="00BF17FF">
      <w:pPr>
        <w:rPr>
          <w:lang w:val="en-GB"/>
        </w:rPr>
      </w:pPr>
    </w:p>
    <w:p w14:paraId="39413D45" w14:textId="77777777" w:rsidR="00BF17FF" w:rsidRPr="00C03C35" w:rsidRDefault="00BF17FF" w:rsidP="00BF17FF">
      <w:pPr>
        <w:rPr>
          <w:lang w:val="en-GB"/>
        </w:rPr>
      </w:pPr>
    </w:p>
    <w:p w14:paraId="16D852B7" w14:textId="77777777" w:rsidR="00BF17FF" w:rsidRPr="00C03C35" w:rsidRDefault="00BF17FF" w:rsidP="00BF17FF">
      <w:pPr>
        <w:rPr>
          <w:b/>
          <w:lang w:val="en-GB"/>
        </w:rPr>
      </w:pPr>
    </w:p>
    <w:p w14:paraId="03E9F75F" w14:textId="77777777" w:rsidR="00BF17FF" w:rsidRPr="00C03C35" w:rsidRDefault="00BF17FF" w:rsidP="00BF17FF">
      <w:pPr>
        <w:rPr>
          <w:b/>
          <w:lang w:val="en-GB"/>
        </w:rPr>
      </w:pPr>
    </w:p>
    <w:p w14:paraId="41C3B687" w14:textId="77777777" w:rsidR="00BF17FF" w:rsidRPr="00C03C35" w:rsidRDefault="00BF17FF" w:rsidP="00BF17FF">
      <w:pPr>
        <w:rPr>
          <w:b/>
          <w:lang w:val="en-GB"/>
        </w:rPr>
      </w:pPr>
    </w:p>
    <w:p w14:paraId="0C3E29AB" w14:textId="77777777" w:rsidR="00BF17FF" w:rsidRPr="00C03C35" w:rsidRDefault="00BF17FF" w:rsidP="00BF17FF">
      <w:pPr>
        <w:rPr>
          <w:b/>
          <w:lang w:val="en-GB"/>
        </w:rPr>
      </w:pPr>
    </w:p>
    <w:p w14:paraId="47D149AE" w14:textId="77777777" w:rsidR="00BF17FF" w:rsidRPr="00C03C35" w:rsidRDefault="00BF17FF" w:rsidP="00BF17FF">
      <w:pPr>
        <w:rPr>
          <w:b/>
          <w:lang w:val="en-GB"/>
        </w:rPr>
      </w:pPr>
    </w:p>
    <w:p w14:paraId="430479C5" w14:textId="77777777" w:rsidR="00BF17FF" w:rsidRPr="00C03C35" w:rsidRDefault="00BF17FF" w:rsidP="00BF17FF">
      <w:pPr>
        <w:rPr>
          <w:b/>
          <w:lang w:val="en-GB"/>
        </w:rPr>
      </w:pPr>
    </w:p>
    <w:p w14:paraId="1DC04114" w14:textId="77777777" w:rsidR="00BF17FF" w:rsidRPr="00C03C35" w:rsidRDefault="00BF17FF" w:rsidP="00BF17FF">
      <w:pPr>
        <w:rPr>
          <w:b/>
          <w:lang w:val="en-GB"/>
        </w:rPr>
      </w:pPr>
    </w:p>
    <w:p w14:paraId="738D4CD1" w14:textId="77777777" w:rsidR="00BF17FF" w:rsidRPr="00C03C35" w:rsidRDefault="00BF17FF" w:rsidP="00BF17FF">
      <w:pPr>
        <w:rPr>
          <w:b/>
          <w:lang w:val="en-GB"/>
        </w:rPr>
      </w:pPr>
    </w:p>
    <w:p w14:paraId="0EC8E2BE" w14:textId="77777777" w:rsidR="00BF17FF" w:rsidRPr="00C03C35" w:rsidRDefault="00BF17FF" w:rsidP="00BF17FF">
      <w:pPr>
        <w:rPr>
          <w:b/>
          <w:lang w:val="en-GB"/>
        </w:rPr>
      </w:pPr>
    </w:p>
    <w:p w14:paraId="4BAF4D64" w14:textId="77777777" w:rsidR="00BF17FF" w:rsidRPr="00C03C35" w:rsidRDefault="00BF17FF" w:rsidP="00BF17FF">
      <w:pPr>
        <w:rPr>
          <w:b/>
          <w:lang w:val="en-GB"/>
        </w:rPr>
      </w:pPr>
    </w:p>
    <w:p w14:paraId="1F38E247" w14:textId="77777777" w:rsidR="00BF17FF" w:rsidRPr="00C03C35" w:rsidRDefault="00BF17FF" w:rsidP="00BF17FF">
      <w:pPr>
        <w:rPr>
          <w:b/>
          <w:lang w:val="en-GB"/>
        </w:rPr>
      </w:pPr>
    </w:p>
    <w:p w14:paraId="644D7550" w14:textId="77777777" w:rsidR="00BF17FF" w:rsidRPr="00C03C35" w:rsidRDefault="00BF17FF" w:rsidP="00BF17FF">
      <w:pPr>
        <w:rPr>
          <w:lang w:val="en-GB"/>
        </w:rPr>
      </w:pPr>
      <w:r w:rsidRPr="00C03C35">
        <w:rPr>
          <w:b/>
          <w:lang w:val="en-GB"/>
        </w:rPr>
        <w:lastRenderedPageBreak/>
        <w:t xml:space="preserve">Figure S12 </w:t>
      </w:r>
      <w:r w:rsidRPr="00C03C35">
        <w:rPr>
          <w:lang w:val="en-GB"/>
        </w:rPr>
        <w:t xml:space="preserve">shows the avoidance cost for the different routes of ammonia and methanol production including the lower and upper bounds of the hydrogen costs from </w:t>
      </w:r>
      <w:r w:rsidRPr="00C03C35">
        <w:rPr>
          <w:b/>
          <w:lang w:val="en-GB"/>
        </w:rPr>
        <w:t>Table S7</w:t>
      </w:r>
      <w:r w:rsidRPr="00C03C35">
        <w:rPr>
          <w:lang w:val="en-GB"/>
        </w:rPr>
        <w:t>.</w:t>
      </w:r>
    </w:p>
    <w:p w14:paraId="0A9A6EC2" w14:textId="77777777" w:rsidR="00BF17FF" w:rsidRPr="00C03C35" w:rsidRDefault="00BF17FF" w:rsidP="00BF17FF">
      <w:pPr>
        <w:pStyle w:val="Caption"/>
        <w:keepNext/>
        <w:jc w:val="both"/>
      </w:pPr>
      <w:r w:rsidRPr="00C03C35">
        <w:rPr>
          <w:noProof/>
        </w:rPr>
        <w:drawing>
          <wp:inline distT="0" distB="0" distL="0" distR="0" wp14:anchorId="205EFD1C" wp14:editId="7720D34A">
            <wp:extent cx="6400800" cy="65233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e 4.png"/>
                    <pic:cNvPicPr/>
                  </pic:nvPicPr>
                  <pic:blipFill>
                    <a:blip r:embed="rId39">
                      <a:extLst>
                        <a:ext uri="{28A0092B-C50C-407E-A947-70E740481C1C}">
                          <a14:useLocalDpi xmlns:a14="http://schemas.microsoft.com/office/drawing/2010/main"/>
                        </a:ext>
                      </a:extLst>
                    </a:blip>
                    <a:stretch>
                      <a:fillRect/>
                    </a:stretch>
                  </pic:blipFill>
                  <pic:spPr>
                    <a:xfrm>
                      <a:off x="0" y="0"/>
                      <a:ext cx="6400800" cy="6523355"/>
                    </a:xfrm>
                    <a:prstGeom prst="rect">
                      <a:avLst/>
                    </a:prstGeom>
                  </pic:spPr>
                </pic:pic>
              </a:graphicData>
            </a:graphic>
          </wp:inline>
        </w:drawing>
      </w:r>
    </w:p>
    <w:p w14:paraId="6197C325" w14:textId="77777777" w:rsidR="00BF17FF" w:rsidRPr="00C03C35" w:rsidRDefault="00BF17FF" w:rsidP="00BF17FF">
      <w:pPr>
        <w:pStyle w:val="Caption"/>
        <w:jc w:val="both"/>
      </w:pPr>
      <w:r w:rsidRPr="00C03C35">
        <w:rPr>
          <w:b/>
          <w:i w:val="0"/>
          <w:color w:val="auto"/>
          <w:sz w:val="20"/>
          <w:szCs w:val="20"/>
        </w:rPr>
        <w:t xml:space="preserve">Figure S12. </w:t>
      </w:r>
      <w:r w:rsidRPr="00C03C35">
        <w:rPr>
          <w:b/>
          <w:i w:val="0"/>
          <w:color w:val="auto"/>
          <w:sz w:val="20"/>
        </w:rPr>
        <w:t>Avoidance costs for green (a) ammonia and (b) methanol production routes in USD kg</w:t>
      </w:r>
      <w:r w:rsidRPr="00C03C35">
        <w:rPr>
          <w:b/>
          <w:i w:val="0"/>
          <w:color w:val="auto"/>
          <w:sz w:val="20"/>
          <w:vertAlign w:val="superscript"/>
        </w:rPr>
        <w:t xml:space="preserve">–1 </w:t>
      </w:r>
      <w:r w:rsidRPr="00C03C35">
        <w:rPr>
          <w:b/>
          <w:i w:val="0"/>
          <w:color w:val="auto"/>
          <w:sz w:val="20"/>
        </w:rPr>
        <w:t>CO</w:t>
      </w:r>
      <w:r w:rsidRPr="00C03C35">
        <w:rPr>
          <w:b/>
          <w:i w:val="0"/>
          <w:color w:val="auto"/>
          <w:sz w:val="20"/>
          <w:vertAlign w:val="subscript"/>
        </w:rPr>
        <w:t>2</w:t>
      </w:r>
      <w:r w:rsidRPr="00C03C35">
        <w:rPr>
          <w:b/>
          <w:i w:val="0"/>
          <w:color w:val="auto"/>
          <w:sz w:val="20"/>
        </w:rPr>
        <w:t>-eq.</w:t>
      </w:r>
      <w:r w:rsidRPr="00C03C35">
        <w:rPr>
          <w:i w:val="0"/>
          <w:color w:val="auto"/>
          <w:sz w:val="20"/>
        </w:rPr>
        <w:t xml:space="preserve"> Error bars display the production cost considering the lower and upper bound for the levelised cost of hydrogen (</w:t>
      </w:r>
      <w:r w:rsidRPr="00C03C35">
        <w:rPr>
          <w:b/>
          <w:i w:val="0"/>
          <w:color w:val="auto"/>
          <w:sz w:val="20"/>
        </w:rPr>
        <w:t>Table S7</w:t>
      </w:r>
      <w:r w:rsidRPr="00C03C35">
        <w:rPr>
          <w:i w:val="0"/>
          <w:color w:val="auto"/>
          <w:sz w:val="20"/>
        </w:rPr>
        <w:t>).</w:t>
      </w:r>
      <w:r w:rsidRPr="00C03C35">
        <w:t xml:space="preserve"> </w:t>
      </w:r>
    </w:p>
    <w:p w14:paraId="162644E6" w14:textId="77777777" w:rsidR="00BF17FF" w:rsidRPr="00C03C35" w:rsidRDefault="00BF17FF" w:rsidP="00BF17FF">
      <w:pPr>
        <w:pStyle w:val="Heading2"/>
        <w:numPr>
          <w:ilvl w:val="0"/>
          <w:numId w:val="0"/>
        </w:numPr>
        <w:jc w:val="both"/>
        <w:rPr>
          <w:lang w:val="en-GB"/>
        </w:rPr>
      </w:pPr>
    </w:p>
    <w:p w14:paraId="552DF8F4" w14:textId="77777777" w:rsidR="00BF17FF" w:rsidRPr="00C03C35" w:rsidRDefault="00BF17FF" w:rsidP="00BF17FF">
      <w:pPr>
        <w:pStyle w:val="Heading2"/>
        <w:numPr>
          <w:ilvl w:val="0"/>
          <w:numId w:val="0"/>
        </w:numPr>
        <w:jc w:val="both"/>
        <w:rPr>
          <w:lang w:val="en-GB"/>
        </w:rPr>
      </w:pPr>
      <w:r w:rsidRPr="00C03C35">
        <w:rPr>
          <w:lang w:val="en-GB"/>
        </w:rPr>
        <w:t>References</w:t>
      </w:r>
    </w:p>
    <w:p w14:paraId="6662D0D3" w14:textId="3677C934" w:rsidR="003070D5" w:rsidRPr="003070D5" w:rsidRDefault="00BF17FF" w:rsidP="0018706C">
      <w:pPr>
        <w:pStyle w:val="Bibliography"/>
        <w:jc w:val="both"/>
        <w:rPr>
          <w:rFonts w:ascii="Calibri" w:hAnsi="Calibri" w:cs="Calibri"/>
        </w:rPr>
      </w:pPr>
      <w:r w:rsidRPr="00C03C35">
        <w:rPr>
          <w:rFonts w:cstheme="minorHAnsi"/>
          <w:b/>
          <w:bCs/>
          <w:lang w:val="en-GB"/>
        </w:rPr>
        <w:fldChar w:fldCharType="begin"/>
      </w:r>
      <w:r w:rsidRPr="00C03C35">
        <w:rPr>
          <w:rFonts w:cstheme="minorHAnsi"/>
          <w:b/>
          <w:bCs/>
          <w:lang w:val="en-GB"/>
        </w:rPr>
        <w:instrText xml:space="preserve"> ADDIN ZOTERO_BIBL {"uncited":[],"omitted":[],"custom":[]} CSL_BIBLIOGRAPHY </w:instrText>
      </w:r>
      <w:r w:rsidRPr="00C03C35">
        <w:rPr>
          <w:rFonts w:cstheme="minorHAnsi"/>
          <w:b/>
          <w:bCs/>
          <w:lang w:val="en-GB"/>
        </w:rPr>
        <w:fldChar w:fldCharType="separate"/>
      </w:r>
      <w:r w:rsidR="003070D5" w:rsidRPr="003070D5">
        <w:rPr>
          <w:rFonts w:ascii="Calibri" w:hAnsi="Calibri" w:cs="Calibri"/>
        </w:rPr>
        <w:t>1</w:t>
      </w:r>
      <w:r w:rsidR="003070D5" w:rsidRPr="003070D5">
        <w:rPr>
          <w:rFonts w:ascii="Calibri" w:hAnsi="Calibri" w:cs="Calibri"/>
        </w:rPr>
        <w:tab/>
        <w:t xml:space="preserve">S. C. D’Angelo, S. Cobo, V. Tulus, A. Nabera, A. J. Martín, J. Pérez-Ramírez and G. Guillén-Gosálbez, </w:t>
      </w:r>
      <w:r w:rsidR="003070D5" w:rsidRPr="003070D5">
        <w:rPr>
          <w:rFonts w:ascii="Calibri" w:hAnsi="Calibri" w:cs="Calibri"/>
          <w:i/>
          <w:iCs/>
        </w:rPr>
        <w:t>ACS Sustain</w:t>
      </w:r>
      <w:r w:rsidR="0018706C">
        <w:rPr>
          <w:rFonts w:ascii="Calibri" w:hAnsi="Calibri" w:cs="Calibri"/>
          <w:i/>
          <w:iCs/>
        </w:rPr>
        <w:t>.</w:t>
      </w:r>
      <w:r w:rsidR="003070D5" w:rsidRPr="003070D5">
        <w:rPr>
          <w:rFonts w:ascii="Calibri" w:hAnsi="Calibri" w:cs="Calibri"/>
          <w:i/>
          <w:iCs/>
        </w:rPr>
        <w:t xml:space="preserve"> Chem. Eng.</w:t>
      </w:r>
      <w:r w:rsidR="003070D5" w:rsidRPr="003070D5">
        <w:rPr>
          <w:rFonts w:ascii="Calibri" w:hAnsi="Calibri" w:cs="Calibri"/>
        </w:rPr>
        <w:t xml:space="preserve">, 2021, </w:t>
      </w:r>
      <w:r w:rsidR="003070D5" w:rsidRPr="003070D5">
        <w:rPr>
          <w:rFonts w:ascii="Calibri" w:hAnsi="Calibri" w:cs="Calibri"/>
          <w:b/>
          <w:bCs/>
        </w:rPr>
        <w:t>9</w:t>
      </w:r>
      <w:r w:rsidR="003070D5" w:rsidRPr="003070D5">
        <w:rPr>
          <w:rFonts w:ascii="Calibri" w:hAnsi="Calibri" w:cs="Calibri"/>
        </w:rPr>
        <w:t>, 9740–9749.</w:t>
      </w:r>
    </w:p>
    <w:p w14:paraId="77F228DB" w14:textId="3BCC3AEF" w:rsidR="003070D5" w:rsidRPr="003070D5" w:rsidRDefault="003070D5" w:rsidP="0018706C">
      <w:pPr>
        <w:pStyle w:val="Bibliography"/>
        <w:jc w:val="both"/>
        <w:rPr>
          <w:rFonts w:ascii="Calibri" w:hAnsi="Calibri" w:cs="Calibri"/>
        </w:rPr>
      </w:pPr>
      <w:r w:rsidRPr="003070D5">
        <w:rPr>
          <w:rFonts w:ascii="Calibri" w:hAnsi="Calibri" w:cs="Calibri"/>
        </w:rPr>
        <w:t>2</w:t>
      </w:r>
      <w:r w:rsidRPr="003070D5">
        <w:rPr>
          <w:rFonts w:ascii="Calibri" w:hAnsi="Calibri" w:cs="Calibri"/>
        </w:rPr>
        <w:tab/>
        <w:t xml:space="preserve">M. Appl, in </w:t>
      </w:r>
      <w:r w:rsidRPr="003070D5">
        <w:rPr>
          <w:rFonts w:ascii="Calibri" w:hAnsi="Calibri" w:cs="Calibri"/>
          <w:i/>
          <w:iCs/>
        </w:rPr>
        <w:t>Ullmann’s Encyclopedia of Industrial Chemistry</w:t>
      </w:r>
      <w:r w:rsidRPr="003070D5">
        <w:rPr>
          <w:rFonts w:ascii="Calibri" w:hAnsi="Calibri" w:cs="Calibri"/>
        </w:rPr>
        <w:t>, ed. Wiley-VCH Verlag GmbH &amp; Co. KGaA, Wiley-VCH Verlag GmbH &amp; Co. KGaA, Weinheim, Germany, 2011.</w:t>
      </w:r>
    </w:p>
    <w:p w14:paraId="20166394" w14:textId="3C46EC5D" w:rsidR="003070D5" w:rsidRPr="003070D5" w:rsidRDefault="003070D5" w:rsidP="0018706C">
      <w:pPr>
        <w:pStyle w:val="Bibliography"/>
        <w:jc w:val="both"/>
        <w:rPr>
          <w:rFonts w:ascii="Calibri" w:hAnsi="Calibri" w:cs="Calibri"/>
        </w:rPr>
      </w:pPr>
      <w:r w:rsidRPr="003070D5">
        <w:rPr>
          <w:rFonts w:ascii="Calibri" w:hAnsi="Calibri" w:cs="Calibri"/>
        </w:rPr>
        <w:t>3</w:t>
      </w:r>
      <w:r w:rsidRPr="003070D5">
        <w:rPr>
          <w:rFonts w:ascii="Calibri" w:hAnsi="Calibri" w:cs="Calibri"/>
        </w:rPr>
        <w:tab/>
        <w:t xml:space="preserve">A. González-Garay, M. S. Frei, A. Al-Qahtani, C. Mondelli, G. Guillén-Gosálbez and J. Pérez-Ramírez, </w:t>
      </w:r>
      <w:r w:rsidRPr="003070D5">
        <w:rPr>
          <w:rFonts w:ascii="Calibri" w:hAnsi="Calibri" w:cs="Calibri"/>
          <w:i/>
          <w:iCs/>
        </w:rPr>
        <w:t>Energy Environ</w:t>
      </w:r>
      <w:r w:rsidR="00A02544">
        <w:rPr>
          <w:rFonts w:ascii="Calibri" w:hAnsi="Calibri" w:cs="Calibri"/>
          <w:i/>
          <w:iCs/>
        </w:rPr>
        <w:t>.</w:t>
      </w:r>
      <w:r w:rsidRPr="003070D5">
        <w:rPr>
          <w:rFonts w:ascii="Calibri" w:hAnsi="Calibri" w:cs="Calibri"/>
          <w:i/>
          <w:iCs/>
        </w:rPr>
        <w:t xml:space="preserve"> Sci</w:t>
      </w:r>
      <w:r w:rsidR="00A02544">
        <w:rPr>
          <w:rFonts w:ascii="Calibri" w:hAnsi="Calibri" w:cs="Calibri"/>
          <w:i/>
          <w:iCs/>
        </w:rPr>
        <w:t>.</w:t>
      </w:r>
      <w:r w:rsidRPr="003070D5">
        <w:rPr>
          <w:rFonts w:ascii="Calibri" w:hAnsi="Calibri" w:cs="Calibri"/>
        </w:rPr>
        <w:t xml:space="preserve">, 2019, </w:t>
      </w:r>
      <w:r w:rsidRPr="003070D5">
        <w:rPr>
          <w:rFonts w:ascii="Calibri" w:hAnsi="Calibri" w:cs="Calibri"/>
          <w:b/>
          <w:bCs/>
        </w:rPr>
        <w:t>12</w:t>
      </w:r>
      <w:r w:rsidRPr="003070D5">
        <w:rPr>
          <w:rFonts w:ascii="Calibri" w:hAnsi="Calibri" w:cs="Calibri"/>
        </w:rPr>
        <w:t>, 3425–3436.</w:t>
      </w:r>
    </w:p>
    <w:p w14:paraId="15F6EEB9" w14:textId="77777777" w:rsidR="003070D5" w:rsidRPr="003070D5" w:rsidRDefault="003070D5" w:rsidP="0018706C">
      <w:pPr>
        <w:pStyle w:val="Bibliography"/>
        <w:jc w:val="both"/>
        <w:rPr>
          <w:rFonts w:ascii="Calibri" w:hAnsi="Calibri" w:cs="Calibri"/>
        </w:rPr>
      </w:pPr>
      <w:r w:rsidRPr="003070D5">
        <w:rPr>
          <w:rFonts w:ascii="Calibri" w:hAnsi="Calibri" w:cs="Calibri"/>
        </w:rPr>
        <w:t>4</w:t>
      </w:r>
      <w:r w:rsidRPr="003070D5">
        <w:rPr>
          <w:rFonts w:ascii="Calibri" w:hAnsi="Calibri" w:cs="Calibri"/>
        </w:rPr>
        <w:tab/>
        <w:t xml:space="preserve">K. M. V. Bussche and G. F. Froment, </w:t>
      </w:r>
      <w:r w:rsidRPr="003070D5">
        <w:rPr>
          <w:rFonts w:ascii="Calibri" w:hAnsi="Calibri" w:cs="Calibri"/>
          <w:i/>
          <w:iCs/>
        </w:rPr>
        <w:t>Methanol kinetics</w:t>
      </w:r>
      <w:r w:rsidRPr="003070D5">
        <w:rPr>
          <w:rFonts w:ascii="Calibri" w:hAnsi="Calibri" w:cs="Calibri"/>
        </w:rPr>
        <w:t>, 1996, vol. 161.</w:t>
      </w:r>
    </w:p>
    <w:p w14:paraId="3D30ED66" w14:textId="77777777" w:rsidR="003070D5" w:rsidRPr="003070D5" w:rsidRDefault="003070D5" w:rsidP="0018706C">
      <w:pPr>
        <w:pStyle w:val="Bibliography"/>
        <w:jc w:val="both"/>
        <w:rPr>
          <w:rFonts w:ascii="Calibri" w:hAnsi="Calibri" w:cs="Calibri"/>
        </w:rPr>
      </w:pPr>
      <w:r w:rsidRPr="003070D5">
        <w:rPr>
          <w:rFonts w:ascii="Calibri" w:hAnsi="Calibri" w:cs="Calibri"/>
        </w:rPr>
        <w:t>5</w:t>
      </w:r>
      <w:r w:rsidRPr="003070D5">
        <w:rPr>
          <w:rFonts w:ascii="Calibri" w:hAnsi="Calibri" w:cs="Calibri"/>
        </w:rPr>
        <w:tab/>
        <w:t xml:space="preserve">D. W. Keith, G. Holmes, D. St. Angelo and K. Heidel, </w:t>
      </w:r>
      <w:r w:rsidRPr="003070D5">
        <w:rPr>
          <w:rFonts w:ascii="Calibri" w:hAnsi="Calibri" w:cs="Calibri"/>
          <w:i/>
          <w:iCs/>
        </w:rPr>
        <w:t>Joule</w:t>
      </w:r>
      <w:r w:rsidRPr="003070D5">
        <w:rPr>
          <w:rFonts w:ascii="Calibri" w:hAnsi="Calibri" w:cs="Calibri"/>
        </w:rPr>
        <w:t xml:space="preserve">, 2018, </w:t>
      </w:r>
      <w:r w:rsidRPr="003070D5">
        <w:rPr>
          <w:rFonts w:ascii="Calibri" w:hAnsi="Calibri" w:cs="Calibri"/>
          <w:b/>
          <w:bCs/>
        </w:rPr>
        <w:t>2</w:t>
      </w:r>
      <w:r w:rsidRPr="003070D5">
        <w:rPr>
          <w:rFonts w:ascii="Calibri" w:hAnsi="Calibri" w:cs="Calibri"/>
        </w:rPr>
        <w:t>, 1573–1594.</w:t>
      </w:r>
    </w:p>
    <w:p w14:paraId="191032C1" w14:textId="77777777" w:rsidR="003070D5" w:rsidRPr="003070D5" w:rsidRDefault="003070D5" w:rsidP="0018706C">
      <w:pPr>
        <w:pStyle w:val="Bibliography"/>
        <w:jc w:val="both"/>
        <w:rPr>
          <w:rFonts w:ascii="Calibri" w:hAnsi="Calibri" w:cs="Calibri"/>
        </w:rPr>
      </w:pPr>
      <w:r w:rsidRPr="003070D5">
        <w:rPr>
          <w:rFonts w:ascii="Calibri" w:hAnsi="Calibri" w:cs="Calibri"/>
        </w:rPr>
        <w:t>6</w:t>
      </w:r>
      <w:r w:rsidRPr="003070D5">
        <w:rPr>
          <w:rFonts w:ascii="Calibri" w:hAnsi="Calibri" w:cs="Calibri"/>
        </w:rPr>
        <w:tab/>
        <w:t xml:space="preserve">G. P. Towler and R. K. Sinnott, </w:t>
      </w:r>
      <w:r w:rsidRPr="003070D5">
        <w:rPr>
          <w:rFonts w:ascii="Calibri" w:hAnsi="Calibri" w:cs="Calibri"/>
          <w:i/>
          <w:iCs/>
        </w:rPr>
        <w:t>Sinnott &amp; Towler</w:t>
      </w:r>
      <w:r w:rsidRPr="003070D5">
        <w:rPr>
          <w:rFonts w:ascii="Calibri" w:hAnsi="Calibri" w:cs="Calibri"/>
        </w:rPr>
        <w:t>, Butterworth-Heinemann, 2013.</w:t>
      </w:r>
    </w:p>
    <w:p w14:paraId="1D77E1A5" w14:textId="77777777" w:rsidR="003070D5" w:rsidRPr="003070D5" w:rsidRDefault="003070D5" w:rsidP="0018706C">
      <w:pPr>
        <w:pStyle w:val="Bibliography"/>
        <w:jc w:val="both"/>
        <w:rPr>
          <w:rFonts w:ascii="Calibri" w:hAnsi="Calibri" w:cs="Calibri"/>
        </w:rPr>
      </w:pPr>
      <w:r w:rsidRPr="003070D5">
        <w:rPr>
          <w:rFonts w:ascii="Calibri" w:hAnsi="Calibri" w:cs="Calibri"/>
        </w:rPr>
        <w:t>7</w:t>
      </w:r>
      <w:r w:rsidRPr="003070D5">
        <w:rPr>
          <w:rFonts w:ascii="Calibri" w:hAnsi="Calibri" w:cs="Calibri"/>
        </w:rPr>
        <w:tab/>
        <w:t xml:space="preserve">The World Bank, </w:t>
      </w:r>
      <w:r w:rsidRPr="003070D5">
        <w:rPr>
          <w:rFonts w:ascii="Calibri" w:hAnsi="Calibri" w:cs="Calibri"/>
          <w:i/>
          <w:iCs/>
        </w:rPr>
        <w:t>Commodity Markets Outlook: The Impact of the War in Ukraine on Commodity Markets</w:t>
      </w:r>
      <w:r w:rsidRPr="003070D5">
        <w:rPr>
          <w:rFonts w:ascii="Calibri" w:hAnsi="Calibri" w:cs="Calibri"/>
        </w:rPr>
        <w:t>, The World Bank Group, Washington DC, 2022.</w:t>
      </w:r>
    </w:p>
    <w:p w14:paraId="1B182E04" w14:textId="77777777" w:rsidR="003070D5" w:rsidRPr="003070D5" w:rsidRDefault="003070D5" w:rsidP="0018706C">
      <w:pPr>
        <w:pStyle w:val="Bibliography"/>
        <w:jc w:val="both"/>
        <w:rPr>
          <w:rFonts w:ascii="Calibri" w:hAnsi="Calibri" w:cs="Calibri"/>
        </w:rPr>
      </w:pPr>
      <w:r w:rsidRPr="003070D5">
        <w:rPr>
          <w:rFonts w:ascii="Calibri" w:hAnsi="Calibri" w:cs="Calibri"/>
        </w:rPr>
        <w:t>8</w:t>
      </w:r>
      <w:r w:rsidRPr="003070D5">
        <w:rPr>
          <w:rFonts w:ascii="Calibri" w:hAnsi="Calibri" w:cs="Calibri"/>
        </w:rPr>
        <w:tab/>
        <w:t xml:space="preserve">P. Heather, </w:t>
      </w:r>
      <w:r w:rsidRPr="003070D5">
        <w:rPr>
          <w:rFonts w:ascii="Calibri" w:hAnsi="Calibri" w:cs="Calibri"/>
          <w:i/>
          <w:iCs/>
        </w:rPr>
        <w:t>European Traded Gas Hubs: the supremacy of TTF</w:t>
      </w:r>
      <w:r w:rsidRPr="003070D5">
        <w:rPr>
          <w:rFonts w:ascii="Calibri" w:hAnsi="Calibri" w:cs="Calibri"/>
        </w:rPr>
        <w:t>, The Oxford Institute for Energy Studies, 2022.</w:t>
      </w:r>
    </w:p>
    <w:p w14:paraId="09AA1657" w14:textId="77777777" w:rsidR="003070D5" w:rsidRPr="003070D5" w:rsidRDefault="003070D5" w:rsidP="0018706C">
      <w:pPr>
        <w:pStyle w:val="Bibliography"/>
        <w:jc w:val="both"/>
        <w:rPr>
          <w:rFonts w:ascii="Calibri" w:hAnsi="Calibri" w:cs="Calibri"/>
        </w:rPr>
      </w:pPr>
      <w:r w:rsidRPr="003070D5">
        <w:rPr>
          <w:rFonts w:ascii="Calibri" w:hAnsi="Calibri" w:cs="Calibri"/>
        </w:rPr>
        <w:t>9</w:t>
      </w:r>
      <w:r w:rsidRPr="003070D5">
        <w:rPr>
          <w:rFonts w:ascii="Calibri" w:hAnsi="Calibri" w:cs="Calibri"/>
        </w:rPr>
        <w:tab/>
        <w:t>EMBER, European power price tracker, https://ember-climate.org/data/data-tools/europe-power-prices/, (accessed February 23, 2023).</w:t>
      </w:r>
    </w:p>
    <w:p w14:paraId="5D27B4A3" w14:textId="08412AD5" w:rsidR="003070D5" w:rsidRPr="003070D5" w:rsidRDefault="003070D5" w:rsidP="0018706C">
      <w:pPr>
        <w:pStyle w:val="Bibliography"/>
        <w:jc w:val="both"/>
        <w:rPr>
          <w:rFonts w:ascii="Calibri" w:hAnsi="Calibri" w:cs="Calibri"/>
        </w:rPr>
      </w:pPr>
      <w:r w:rsidRPr="003070D5">
        <w:rPr>
          <w:rFonts w:ascii="Calibri" w:hAnsi="Calibri" w:cs="Calibri"/>
        </w:rPr>
        <w:t>10</w:t>
      </w:r>
      <w:r w:rsidRPr="003070D5">
        <w:rPr>
          <w:rFonts w:ascii="Calibri" w:hAnsi="Calibri" w:cs="Calibri"/>
        </w:rPr>
        <w:tab/>
        <w:t xml:space="preserve">B. Parkinson, P. Balcombe, J. F. Speirs, A. D. Hawkes and K. Hellgardt, </w:t>
      </w:r>
      <w:r w:rsidRPr="003070D5">
        <w:rPr>
          <w:rFonts w:ascii="Calibri" w:hAnsi="Calibri" w:cs="Calibri"/>
          <w:i/>
          <w:iCs/>
        </w:rPr>
        <w:t>Energy</w:t>
      </w:r>
      <w:r w:rsidR="00D07914">
        <w:rPr>
          <w:rFonts w:ascii="Calibri" w:hAnsi="Calibri" w:cs="Calibri"/>
          <w:i/>
          <w:iCs/>
        </w:rPr>
        <w:t xml:space="preserve"> </w:t>
      </w:r>
      <w:r w:rsidRPr="003070D5">
        <w:rPr>
          <w:rFonts w:ascii="Calibri" w:hAnsi="Calibri" w:cs="Calibri"/>
          <w:i/>
          <w:iCs/>
        </w:rPr>
        <w:t>Environ</w:t>
      </w:r>
      <w:r w:rsidR="00D07914">
        <w:rPr>
          <w:rFonts w:ascii="Calibri" w:hAnsi="Calibri" w:cs="Calibri"/>
          <w:i/>
          <w:iCs/>
        </w:rPr>
        <w:t>. Sci.</w:t>
      </w:r>
      <w:r w:rsidRPr="003070D5">
        <w:rPr>
          <w:rFonts w:ascii="Calibri" w:hAnsi="Calibri" w:cs="Calibri"/>
        </w:rPr>
        <w:t xml:space="preserve">, 2019, </w:t>
      </w:r>
      <w:r w:rsidRPr="003070D5">
        <w:rPr>
          <w:rFonts w:ascii="Calibri" w:hAnsi="Calibri" w:cs="Calibri"/>
          <w:b/>
          <w:bCs/>
        </w:rPr>
        <w:t>12</w:t>
      </w:r>
      <w:r w:rsidRPr="003070D5">
        <w:rPr>
          <w:rFonts w:ascii="Calibri" w:hAnsi="Calibri" w:cs="Calibri"/>
        </w:rPr>
        <w:t>, 19–40.</w:t>
      </w:r>
    </w:p>
    <w:p w14:paraId="5749B16C" w14:textId="77777777" w:rsidR="003070D5" w:rsidRPr="003070D5" w:rsidRDefault="003070D5" w:rsidP="0018706C">
      <w:pPr>
        <w:pStyle w:val="Bibliography"/>
        <w:jc w:val="both"/>
        <w:rPr>
          <w:rFonts w:ascii="Calibri" w:hAnsi="Calibri" w:cs="Calibri"/>
        </w:rPr>
      </w:pPr>
      <w:r w:rsidRPr="003070D5">
        <w:rPr>
          <w:rFonts w:ascii="Calibri" w:hAnsi="Calibri" w:cs="Calibri"/>
        </w:rPr>
        <w:t>11</w:t>
      </w:r>
      <w:r w:rsidRPr="003070D5">
        <w:rPr>
          <w:rFonts w:ascii="Calibri" w:hAnsi="Calibri" w:cs="Calibri"/>
        </w:rPr>
        <w:tab/>
        <w:t xml:space="preserve">IRENA, </w:t>
      </w:r>
      <w:r w:rsidRPr="003070D5">
        <w:rPr>
          <w:rFonts w:ascii="Calibri" w:hAnsi="Calibri" w:cs="Calibri"/>
          <w:i/>
          <w:iCs/>
        </w:rPr>
        <w:t>Renewable power generation costs in 2021</w:t>
      </w:r>
      <w:r w:rsidRPr="003070D5">
        <w:rPr>
          <w:rFonts w:ascii="Calibri" w:hAnsi="Calibri" w:cs="Calibri"/>
        </w:rPr>
        <w:t>, International Renewable Energy Agency, 2021.</w:t>
      </w:r>
    </w:p>
    <w:p w14:paraId="41285EC4" w14:textId="52753085" w:rsidR="003070D5" w:rsidRPr="003070D5" w:rsidRDefault="003070D5" w:rsidP="0018706C">
      <w:pPr>
        <w:pStyle w:val="Bibliography"/>
        <w:jc w:val="both"/>
        <w:rPr>
          <w:rFonts w:ascii="Calibri" w:hAnsi="Calibri" w:cs="Calibri"/>
        </w:rPr>
      </w:pPr>
      <w:r w:rsidRPr="003070D5">
        <w:rPr>
          <w:rFonts w:ascii="Calibri" w:hAnsi="Calibri" w:cs="Calibri"/>
        </w:rPr>
        <w:t>12</w:t>
      </w:r>
      <w:r w:rsidRPr="003070D5">
        <w:rPr>
          <w:rFonts w:ascii="Calibri" w:hAnsi="Calibri" w:cs="Calibri"/>
        </w:rPr>
        <w:tab/>
        <w:t xml:space="preserve">G. Wernet, C. Bauer, B. Steubing, J. Reinhard, E. Moreno-Ruiz and B. Weidema, </w:t>
      </w:r>
      <w:r w:rsidRPr="003070D5">
        <w:rPr>
          <w:rFonts w:ascii="Calibri" w:hAnsi="Calibri" w:cs="Calibri"/>
          <w:i/>
          <w:iCs/>
        </w:rPr>
        <w:t>Int</w:t>
      </w:r>
      <w:r w:rsidR="001150E3">
        <w:rPr>
          <w:rFonts w:ascii="Calibri" w:hAnsi="Calibri" w:cs="Calibri"/>
          <w:i/>
          <w:iCs/>
        </w:rPr>
        <w:t>.</w:t>
      </w:r>
      <w:r w:rsidRPr="003070D5">
        <w:rPr>
          <w:rFonts w:ascii="Calibri" w:hAnsi="Calibri" w:cs="Calibri"/>
          <w:i/>
          <w:iCs/>
        </w:rPr>
        <w:t xml:space="preserve"> J</w:t>
      </w:r>
      <w:r w:rsidR="001150E3">
        <w:rPr>
          <w:rFonts w:ascii="Calibri" w:hAnsi="Calibri" w:cs="Calibri"/>
          <w:i/>
          <w:iCs/>
        </w:rPr>
        <w:t>.</w:t>
      </w:r>
      <w:r w:rsidRPr="003070D5">
        <w:rPr>
          <w:rFonts w:ascii="Calibri" w:hAnsi="Calibri" w:cs="Calibri"/>
          <w:i/>
          <w:iCs/>
        </w:rPr>
        <w:t xml:space="preserve"> Life Cycle Assess</w:t>
      </w:r>
      <w:r w:rsidR="001150E3">
        <w:rPr>
          <w:rFonts w:ascii="Calibri" w:hAnsi="Calibri" w:cs="Calibri"/>
          <w:i/>
          <w:iCs/>
        </w:rPr>
        <w:t>.</w:t>
      </w:r>
      <w:r w:rsidRPr="003070D5">
        <w:rPr>
          <w:rFonts w:ascii="Calibri" w:hAnsi="Calibri" w:cs="Calibri"/>
        </w:rPr>
        <w:t xml:space="preserve">, 2016, </w:t>
      </w:r>
      <w:r w:rsidRPr="003070D5">
        <w:rPr>
          <w:rFonts w:ascii="Calibri" w:hAnsi="Calibri" w:cs="Calibri"/>
          <w:b/>
          <w:bCs/>
        </w:rPr>
        <w:t>21</w:t>
      </w:r>
      <w:r w:rsidRPr="003070D5">
        <w:rPr>
          <w:rFonts w:ascii="Calibri" w:hAnsi="Calibri" w:cs="Calibri"/>
        </w:rPr>
        <w:t>, 1218–1230.</w:t>
      </w:r>
    </w:p>
    <w:p w14:paraId="1AD44F70" w14:textId="5521241C" w:rsidR="00BF17FF" w:rsidRPr="00C03C35" w:rsidRDefault="00BF17FF" w:rsidP="0018706C">
      <w:pPr>
        <w:jc w:val="both"/>
        <w:rPr>
          <w:rFonts w:cstheme="minorHAnsi"/>
          <w:b/>
          <w:bCs/>
          <w:lang w:val="en-GB"/>
        </w:rPr>
      </w:pPr>
      <w:r w:rsidRPr="00C03C35">
        <w:rPr>
          <w:rFonts w:cstheme="minorHAnsi"/>
          <w:b/>
          <w:bCs/>
          <w:lang w:val="en-GB"/>
        </w:rPr>
        <w:fldChar w:fldCharType="end"/>
      </w:r>
    </w:p>
    <w:p w14:paraId="5DF84929" w14:textId="77777777" w:rsidR="00BF17FF" w:rsidRPr="00C03C35" w:rsidRDefault="00BF17FF" w:rsidP="00BF17FF">
      <w:pPr>
        <w:jc w:val="both"/>
        <w:rPr>
          <w:lang w:val="en-GB"/>
        </w:rPr>
      </w:pPr>
    </w:p>
    <w:p w14:paraId="708124E0" w14:textId="77777777" w:rsidR="003A74AB" w:rsidRPr="00C03C35" w:rsidRDefault="003A74AB" w:rsidP="00BF17FF">
      <w:pPr>
        <w:rPr>
          <w:lang w:val="en-GB"/>
        </w:rPr>
      </w:pPr>
    </w:p>
    <w:sectPr w:rsidR="003A74AB" w:rsidRPr="00C03C35" w:rsidSect="00ED22B4">
      <w:footerReference w:type="default" r:id="rId4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582649" w14:textId="77777777" w:rsidR="00F813DE" w:rsidRDefault="00F813DE">
      <w:pPr>
        <w:spacing w:after="0" w:line="240" w:lineRule="auto"/>
      </w:pPr>
      <w:r>
        <w:separator/>
      </w:r>
    </w:p>
  </w:endnote>
  <w:endnote w:type="continuationSeparator" w:id="0">
    <w:p w14:paraId="14498FBC" w14:textId="77777777" w:rsidR="00F813DE" w:rsidRDefault="00F81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6345564"/>
      <w:docPartObj>
        <w:docPartGallery w:val="Page Numbers (Bottom of Page)"/>
        <w:docPartUnique/>
      </w:docPartObj>
    </w:sdtPr>
    <w:sdtEndPr>
      <w:rPr>
        <w:noProof/>
      </w:rPr>
    </w:sdtEndPr>
    <w:sdtContent>
      <w:p w14:paraId="7CFB2709" w14:textId="77777777" w:rsidR="00BF17FF" w:rsidRDefault="00BF17FF">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4A157795" w14:textId="77777777" w:rsidR="00BF17FF" w:rsidRDefault="00BF17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3C0A35" w14:textId="77777777" w:rsidR="00F813DE" w:rsidRDefault="00F813DE">
      <w:pPr>
        <w:spacing w:after="0" w:line="240" w:lineRule="auto"/>
      </w:pPr>
      <w:r>
        <w:separator/>
      </w:r>
    </w:p>
  </w:footnote>
  <w:footnote w:type="continuationSeparator" w:id="0">
    <w:p w14:paraId="61AD5339" w14:textId="77777777" w:rsidR="00F813DE" w:rsidRDefault="00F813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405724"/>
    <w:multiLevelType w:val="multilevel"/>
    <w:tmpl w:val="A97451D8"/>
    <w:lvl w:ilvl="0">
      <w:start w:val="1"/>
      <w:numFmt w:val="decimal"/>
      <w:lvlText w:val="%1."/>
      <w:lvlJc w:val="left"/>
      <w:pPr>
        <w:ind w:left="377" w:hanging="377"/>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22D45EB"/>
    <w:multiLevelType w:val="hybridMultilevel"/>
    <w:tmpl w:val="1BDE96F4"/>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22717534"/>
    <w:multiLevelType w:val="hybridMultilevel"/>
    <w:tmpl w:val="4FD29D68"/>
    <w:lvl w:ilvl="0" w:tplc="04090017">
      <w:start w:val="1"/>
      <w:numFmt w:val="lowerLetter"/>
      <w:lvlText w:val="%1)"/>
      <w:lvlJc w:val="left"/>
      <w:pPr>
        <w:ind w:left="767" w:hanging="360"/>
      </w:p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3" w15:restartNumberingAfterBreak="0">
    <w:nsid w:val="31A36723"/>
    <w:multiLevelType w:val="hybridMultilevel"/>
    <w:tmpl w:val="E0E69B1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3F6C40D6"/>
    <w:multiLevelType w:val="hybridMultilevel"/>
    <w:tmpl w:val="D342244C"/>
    <w:lvl w:ilvl="0" w:tplc="4E3CA198">
      <w:start w:val="817"/>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4F786891"/>
    <w:multiLevelType w:val="multilevel"/>
    <w:tmpl w:val="6AA0160E"/>
    <w:lvl w:ilvl="0">
      <w:start w:val="1"/>
      <w:numFmt w:val="decimal"/>
      <w:pStyle w:val="Heading2"/>
      <w:lvlText w:val="%1."/>
      <w:lvlJc w:val="left"/>
      <w:pPr>
        <w:ind w:left="360" w:hanging="360"/>
      </w:pPr>
      <w:rPr>
        <w:rFonts w:hint="default"/>
      </w:rPr>
    </w:lvl>
    <w:lvl w:ilvl="1">
      <w:start w:val="1"/>
      <w:numFmt w:val="decimal"/>
      <w:isLgl/>
      <w:lvlText w:val="%1.%2."/>
      <w:lvlJc w:val="left"/>
      <w:pPr>
        <w:ind w:left="270" w:hanging="360"/>
      </w:pPr>
      <w:rPr>
        <w:rFonts w:hint="default"/>
      </w:rPr>
    </w:lvl>
    <w:lvl w:ilvl="2">
      <w:start w:val="1"/>
      <w:numFmt w:val="decimal"/>
      <w:isLgl/>
      <w:lvlText w:val="%1.%2.%3."/>
      <w:lvlJc w:val="left"/>
      <w:pPr>
        <w:ind w:left="630" w:hanging="720"/>
      </w:pPr>
      <w:rPr>
        <w:rFonts w:hint="default"/>
      </w:rPr>
    </w:lvl>
    <w:lvl w:ilvl="3">
      <w:start w:val="1"/>
      <w:numFmt w:val="decimal"/>
      <w:isLgl/>
      <w:lvlText w:val="%1.%2.%3.%4."/>
      <w:lvlJc w:val="left"/>
      <w:pPr>
        <w:ind w:left="630" w:hanging="720"/>
      </w:pPr>
      <w:rPr>
        <w:rFonts w:hint="default"/>
      </w:rPr>
    </w:lvl>
    <w:lvl w:ilvl="4">
      <w:start w:val="1"/>
      <w:numFmt w:val="decimal"/>
      <w:isLgl/>
      <w:lvlText w:val="%1.%2.%3.%4.%5."/>
      <w:lvlJc w:val="left"/>
      <w:pPr>
        <w:ind w:left="990" w:hanging="1080"/>
      </w:pPr>
      <w:rPr>
        <w:rFonts w:hint="default"/>
      </w:rPr>
    </w:lvl>
    <w:lvl w:ilvl="5">
      <w:start w:val="1"/>
      <w:numFmt w:val="decimal"/>
      <w:isLgl/>
      <w:lvlText w:val="%1.%2.%3.%4.%5.%6."/>
      <w:lvlJc w:val="left"/>
      <w:pPr>
        <w:ind w:left="990" w:hanging="1080"/>
      </w:pPr>
      <w:rPr>
        <w:rFonts w:hint="default"/>
      </w:rPr>
    </w:lvl>
    <w:lvl w:ilvl="6">
      <w:start w:val="1"/>
      <w:numFmt w:val="decimal"/>
      <w:isLgl/>
      <w:lvlText w:val="%1.%2.%3.%4.%5.%6.%7."/>
      <w:lvlJc w:val="left"/>
      <w:pPr>
        <w:ind w:left="1350" w:hanging="1440"/>
      </w:pPr>
      <w:rPr>
        <w:rFonts w:hint="default"/>
      </w:rPr>
    </w:lvl>
    <w:lvl w:ilvl="7">
      <w:start w:val="1"/>
      <w:numFmt w:val="decimal"/>
      <w:isLgl/>
      <w:lvlText w:val="%1.%2.%3.%4.%5.%6.%7.%8."/>
      <w:lvlJc w:val="left"/>
      <w:pPr>
        <w:ind w:left="1350" w:hanging="1440"/>
      </w:pPr>
      <w:rPr>
        <w:rFonts w:hint="default"/>
      </w:rPr>
    </w:lvl>
    <w:lvl w:ilvl="8">
      <w:start w:val="1"/>
      <w:numFmt w:val="decimal"/>
      <w:isLgl/>
      <w:lvlText w:val="%1.%2.%3.%4.%5.%6.%7.%8.%9."/>
      <w:lvlJc w:val="left"/>
      <w:pPr>
        <w:ind w:left="1710" w:hanging="1800"/>
      </w:pPr>
      <w:rPr>
        <w:rFonts w:hint="default"/>
      </w:rPr>
    </w:lvl>
  </w:abstractNum>
  <w:abstractNum w:abstractNumId="6" w15:restartNumberingAfterBreak="0">
    <w:nsid w:val="51946AB0"/>
    <w:multiLevelType w:val="hybridMultilevel"/>
    <w:tmpl w:val="21365A4E"/>
    <w:lvl w:ilvl="0" w:tplc="8CB0C8CE">
      <w:start w:val="1"/>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57A3541E"/>
    <w:multiLevelType w:val="hybridMultilevel"/>
    <w:tmpl w:val="7A50E7D8"/>
    <w:lvl w:ilvl="0" w:tplc="04090001">
      <w:start w:val="1"/>
      <w:numFmt w:val="bullet"/>
      <w:lvlText w:val=""/>
      <w:lvlJc w:val="left"/>
      <w:pPr>
        <w:ind w:left="767" w:hanging="360"/>
      </w:pPr>
      <w:rPr>
        <w:rFonts w:ascii="Symbol" w:hAnsi="Symbol" w:hint="default"/>
      </w:r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8" w15:restartNumberingAfterBreak="0">
    <w:nsid w:val="585A489C"/>
    <w:multiLevelType w:val="hybridMultilevel"/>
    <w:tmpl w:val="8C704192"/>
    <w:lvl w:ilvl="0" w:tplc="57CA7C0E">
      <w:start w:val="817"/>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5FAA37B8"/>
    <w:multiLevelType w:val="hybridMultilevel"/>
    <w:tmpl w:val="BEAAEFF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4"/>
  </w:num>
  <w:num w:numId="4">
    <w:abstractNumId w:val="8"/>
  </w:num>
  <w:num w:numId="5">
    <w:abstractNumId w:val="6"/>
  </w:num>
  <w:num w:numId="6">
    <w:abstractNumId w:val="3"/>
  </w:num>
  <w:num w:numId="7">
    <w:abstractNumId w:val="1"/>
  </w:num>
  <w:num w:numId="8">
    <w:abstractNumId w:val="9"/>
  </w:num>
  <w:num w:numId="9">
    <w:abstractNumId w:val="0"/>
  </w:num>
  <w:num w:numId="10">
    <w:abstractNumId w:val="5"/>
  </w:num>
  <w:num w:numId="11">
    <w:abstractNumId w:val="5"/>
    <w:lvlOverride w:ilvl="0">
      <w:startOverride w:val="1"/>
    </w:lvlOverride>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5A3"/>
    <w:rsid w:val="000004A1"/>
    <w:rsid w:val="00006088"/>
    <w:rsid w:val="00006168"/>
    <w:rsid w:val="00007D7A"/>
    <w:rsid w:val="00011577"/>
    <w:rsid w:val="000119F6"/>
    <w:rsid w:val="000122B6"/>
    <w:rsid w:val="00013394"/>
    <w:rsid w:val="00013E04"/>
    <w:rsid w:val="00014085"/>
    <w:rsid w:val="0001546F"/>
    <w:rsid w:val="00015E67"/>
    <w:rsid w:val="00016E8F"/>
    <w:rsid w:val="00021D75"/>
    <w:rsid w:val="00023A40"/>
    <w:rsid w:val="00023ED2"/>
    <w:rsid w:val="00025F74"/>
    <w:rsid w:val="000308CB"/>
    <w:rsid w:val="00031AF0"/>
    <w:rsid w:val="00033A49"/>
    <w:rsid w:val="0003716E"/>
    <w:rsid w:val="00040297"/>
    <w:rsid w:val="00040BBE"/>
    <w:rsid w:val="0004185F"/>
    <w:rsid w:val="00047F14"/>
    <w:rsid w:val="0005481F"/>
    <w:rsid w:val="0005638E"/>
    <w:rsid w:val="00057049"/>
    <w:rsid w:val="00057432"/>
    <w:rsid w:val="000649A8"/>
    <w:rsid w:val="00064CB2"/>
    <w:rsid w:val="00065AEB"/>
    <w:rsid w:val="00066C80"/>
    <w:rsid w:val="00070BFD"/>
    <w:rsid w:val="0007155F"/>
    <w:rsid w:val="00072052"/>
    <w:rsid w:val="00072513"/>
    <w:rsid w:val="00072C00"/>
    <w:rsid w:val="00072DCD"/>
    <w:rsid w:val="0007437A"/>
    <w:rsid w:val="00074B2B"/>
    <w:rsid w:val="00075205"/>
    <w:rsid w:val="00077FD5"/>
    <w:rsid w:val="00077FE2"/>
    <w:rsid w:val="000803CA"/>
    <w:rsid w:val="00080A2F"/>
    <w:rsid w:val="0008234B"/>
    <w:rsid w:val="0008238B"/>
    <w:rsid w:val="00082437"/>
    <w:rsid w:val="00082932"/>
    <w:rsid w:val="00083C88"/>
    <w:rsid w:val="00083F48"/>
    <w:rsid w:val="00085AE6"/>
    <w:rsid w:val="00085EA4"/>
    <w:rsid w:val="00086FBE"/>
    <w:rsid w:val="00090007"/>
    <w:rsid w:val="00093BE1"/>
    <w:rsid w:val="000A06E4"/>
    <w:rsid w:val="000A25D9"/>
    <w:rsid w:val="000A4653"/>
    <w:rsid w:val="000A5433"/>
    <w:rsid w:val="000A67C6"/>
    <w:rsid w:val="000A7283"/>
    <w:rsid w:val="000B039B"/>
    <w:rsid w:val="000B0D23"/>
    <w:rsid w:val="000B4055"/>
    <w:rsid w:val="000B40B0"/>
    <w:rsid w:val="000B4504"/>
    <w:rsid w:val="000B729E"/>
    <w:rsid w:val="000B7442"/>
    <w:rsid w:val="000C1ACF"/>
    <w:rsid w:val="000C25E3"/>
    <w:rsid w:val="000C57CE"/>
    <w:rsid w:val="000D0DDF"/>
    <w:rsid w:val="000D27E8"/>
    <w:rsid w:val="000D52B7"/>
    <w:rsid w:val="000D6A4F"/>
    <w:rsid w:val="000E04A1"/>
    <w:rsid w:val="000E2584"/>
    <w:rsid w:val="000E345A"/>
    <w:rsid w:val="000E4A9A"/>
    <w:rsid w:val="000E4D74"/>
    <w:rsid w:val="000E671C"/>
    <w:rsid w:val="000E687B"/>
    <w:rsid w:val="000E7DFD"/>
    <w:rsid w:val="000F0F5E"/>
    <w:rsid w:val="000F12AB"/>
    <w:rsid w:val="000F2090"/>
    <w:rsid w:val="000F2F04"/>
    <w:rsid w:val="000F560C"/>
    <w:rsid w:val="000F6B34"/>
    <w:rsid w:val="000F6E7D"/>
    <w:rsid w:val="0010194B"/>
    <w:rsid w:val="0010245A"/>
    <w:rsid w:val="00102A51"/>
    <w:rsid w:val="001078CB"/>
    <w:rsid w:val="00110715"/>
    <w:rsid w:val="00110CE8"/>
    <w:rsid w:val="00113D85"/>
    <w:rsid w:val="001150E3"/>
    <w:rsid w:val="001171F8"/>
    <w:rsid w:val="0011750E"/>
    <w:rsid w:val="00121B04"/>
    <w:rsid w:val="001225AB"/>
    <w:rsid w:val="001228C7"/>
    <w:rsid w:val="00122A23"/>
    <w:rsid w:val="001233C9"/>
    <w:rsid w:val="0012523D"/>
    <w:rsid w:val="001268DD"/>
    <w:rsid w:val="00126CFE"/>
    <w:rsid w:val="00127433"/>
    <w:rsid w:val="00127DA6"/>
    <w:rsid w:val="001304B9"/>
    <w:rsid w:val="0013242E"/>
    <w:rsid w:val="00133E81"/>
    <w:rsid w:val="001366C8"/>
    <w:rsid w:val="00137127"/>
    <w:rsid w:val="00142C0E"/>
    <w:rsid w:val="001453C1"/>
    <w:rsid w:val="001454B5"/>
    <w:rsid w:val="00147A19"/>
    <w:rsid w:val="00157F03"/>
    <w:rsid w:val="00162872"/>
    <w:rsid w:val="00162F5D"/>
    <w:rsid w:val="00162FB4"/>
    <w:rsid w:val="00166130"/>
    <w:rsid w:val="00166A8C"/>
    <w:rsid w:val="00167F04"/>
    <w:rsid w:val="00170052"/>
    <w:rsid w:val="0017012B"/>
    <w:rsid w:val="00177D0F"/>
    <w:rsid w:val="00180A70"/>
    <w:rsid w:val="00180EAF"/>
    <w:rsid w:val="00183118"/>
    <w:rsid w:val="00183B1F"/>
    <w:rsid w:val="00183FF1"/>
    <w:rsid w:val="0018706C"/>
    <w:rsid w:val="0018730E"/>
    <w:rsid w:val="0019006E"/>
    <w:rsid w:val="00190083"/>
    <w:rsid w:val="00190177"/>
    <w:rsid w:val="00190D9D"/>
    <w:rsid w:val="001910FF"/>
    <w:rsid w:val="00191774"/>
    <w:rsid w:val="00192942"/>
    <w:rsid w:val="00192F4B"/>
    <w:rsid w:val="00196F7C"/>
    <w:rsid w:val="001976E5"/>
    <w:rsid w:val="001A1515"/>
    <w:rsid w:val="001A2EA7"/>
    <w:rsid w:val="001A2F3D"/>
    <w:rsid w:val="001A3223"/>
    <w:rsid w:val="001A5D26"/>
    <w:rsid w:val="001A6249"/>
    <w:rsid w:val="001B23D5"/>
    <w:rsid w:val="001B23DE"/>
    <w:rsid w:val="001B4314"/>
    <w:rsid w:val="001B79AE"/>
    <w:rsid w:val="001C02DE"/>
    <w:rsid w:val="001C0C90"/>
    <w:rsid w:val="001C2B11"/>
    <w:rsid w:val="001C4166"/>
    <w:rsid w:val="001C6505"/>
    <w:rsid w:val="001C785D"/>
    <w:rsid w:val="001D4BEC"/>
    <w:rsid w:val="001D5604"/>
    <w:rsid w:val="001D5C7E"/>
    <w:rsid w:val="001D5D19"/>
    <w:rsid w:val="001D5F08"/>
    <w:rsid w:val="001D76E7"/>
    <w:rsid w:val="001D7C7E"/>
    <w:rsid w:val="001E0853"/>
    <w:rsid w:val="001E2EF3"/>
    <w:rsid w:val="001E31BF"/>
    <w:rsid w:val="001E66A2"/>
    <w:rsid w:val="001F0109"/>
    <w:rsid w:val="001F07A8"/>
    <w:rsid w:val="001F08AC"/>
    <w:rsid w:val="001F1F17"/>
    <w:rsid w:val="001F38E1"/>
    <w:rsid w:val="001F409D"/>
    <w:rsid w:val="001F5903"/>
    <w:rsid w:val="00200124"/>
    <w:rsid w:val="0020383A"/>
    <w:rsid w:val="00206E17"/>
    <w:rsid w:val="00207995"/>
    <w:rsid w:val="00207B69"/>
    <w:rsid w:val="00211C3F"/>
    <w:rsid w:val="00211F12"/>
    <w:rsid w:val="0021251A"/>
    <w:rsid w:val="00215DB5"/>
    <w:rsid w:val="002171D7"/>
    <w:rsid w:val="002206CD"/>
    <w:rsid w:val="00221A8F"/>
    <w:rsid w:val="0022462A"/>
    <w:rsid w:val="00226472"/>
    <w:rsid w:val="00232110"/>
    <w:rsid w:val="00236393"/>
    <w:rsid w:val="0023642B"/>
    <w:rsid w:val="00237648"/>
    <w:rsid w:val="002400D3"/>
    <w:rsid w:val="00250D4D"/>
    <w:rsid w:val="002523E2"/>
    <w:rsid w:val="002558CB"/>
    <w:rsid w:val="002563C0"/>
    <w:rsid w:val="00256D6D"/>
    <w:rsid w:val="00257F67"/>
    <w:rsid w:val="00260A75"/>
    <w:rsid w:val="002625C8"/>
    <w:rsid w:val="002626D6"/>
    <w:rsid w:val="00262D66"/>
    <w:rsid w:val="00263ED8"/>
    <w:rsid w:val="00264A6F"/>
    <w:rsid w:val="00267117"/>
    <w:rsid w:val="002677BE"/>
    <w:rsid w:val="0026787B"/>
    <w:rsid w:val="00272000"/>
    <w:rsid w:val="002721AF"/>
    <w:rsid w:val="0027265B"/>
    <w:rsid w:val="00273021"/>
    <w:rsid w:val="00274049"/>
    <w:rsid w:val="00274456"/>
    <w:rsid w:val="00274EB5"/>
    <w:rsid w:val="00276779"/>
    <w:rsid w:val="00280CA5"/>
    <w:rsid w:val="00282CDF"/>
    <w:rsid w:val="00282EBF"/>
    <w:rsid w:val="00286C4C"/>
    <w:rsid w:val="00290956"/>
    <w:rsid w:val="0029267A"/>
    <w:rsid w:val="00292E09"/>
    <w:rsid w:val="00293961"/>
    <w:rsid w:val="00293ACF"/>
    <w:rsid w:val="00295112"/>
    <w:rsid w:val="00295940"/>
    <w:rsid w:val="00297631"/>
    <w:rsid w:val="002A038A"/>
    <w:rsid w:val="002A2201"/>
    <w:rsid w:val="002A2D0C"/>
    <w:rsid w:val="002A6414"/>
    <w:rsid w:val="002A6B23"/>
    <w:rsid w:val="002B0D66"/>
    <w:rsid w:val="002B4493"/>
    <w:rsid w:val="002B6BC5"/>
    <w:rsid w:val="002C10F4"/>
    <w:rsid w:val="002C116E"/>
    <w:rsid w:val="002C297A"/>
    <w:rsid w:val="002C2E45"/>
    <w:rsid w:val="002C465C"/>
    <w:rsid w:val="002C5377"/>
    <w:rsid w:val="002D0061"/>
    <w:rsid w:val="002D2056"/>
    <w:rsid w:val="002D6069"/>
    <w:rsid w:val="002D6BE8"/>
    <w:rsid w:val="002D7B9A"/>
    <w:rsid w:val="002E1590"/>
    <w:rsid w:val="002E1D42"/>
    <w:rsid w:val="002E3F92"/>
    <w:rsid w:val="002E546D"/>
    <w:rsid w:val="002E7948"/>
    <w:rsid w:val="002E7D1C"/>
    <w:rsid w:val="002F18BE"/>
    <w:rsid w:val="002F3504"/>
    <w:rsid w:val="002F400C"/>
    <w:rsid w:val="002F4450"/>
    <w:rsid w:val="002F6D04"/>
    <w:rsid w:val="0030039F"/>
    <w:rsid w:val="00300618"/>
    <w:rsid w:val="0030167A"/>
    <w:rsid w:val="00302A85"/>
    <w:rsid w:val="003040B9"/>
    <w:rsid w:val="00304C16"/>
    <w:rsid w:val="003070D5"/>
    <w:rsid w:val="0030785B"/>
    <w:rsid w:val="00307D81"/>
    <w:rsid w:val="00310138"/>
    <w:rsid w:val="00311413"/>
    <w:rsid w:val="00311F2E"/>
    <w:rsid w:val="00312E45"/>
    <w:rsid w:val="00313B47"/>
    <w:rsid w:val="00313F62"/>
    <w:rsid w:val="00314E08"/>
    <w:rsid w:val="00314F3C"/>
    <w:rsid w:val="0031629A"/>
    <w:rsid w:val="00316F32"/>
    <w:rsid w:val="00321A23"/>
    <w:rsid w:val="00321F88"/>
    <w:rsid w:val="0032271D"/>
    <w:rsid w:val="00323DAA"/>
    <w:rsid w:val="003243AC"/>
    <w:rsid w:val="0032492D"/>
    <w:rsid w:val="00325336"/>
    <w:rsid w:val="00325565"/>
    <w:rsid w:val="0032696B"/>
    <w:rsid w:val="0032697E"/>
    <w:rsid w:val="00326D5B"/>
    <w:rsid w:val="00330060"/>
    <w:rsid w:val="0033100D"/>
    <w:rsid w:val="0033414F"/>
    <w:rsid w:val="003359FB"/>
    <w:rsid w:val="00336121"/>
    <w:rsid w:val="00341C4A"/>
    <w:rsid w:val="00343DF6"/>
    <w:rsid w:val="00343F78"/>
    <w:rsid w:val="003440C5"/>
    <w:rsid w:val="00344C48"/>
    <w:rsid w:val="00346926"/>
    <w:rsid w:val="00351486"/>
    <w:rsid w:val="003532AA"/>
    <w:rsid w:val="0035461D"/>
    <w:rsid w:val="00355669"/>
    <w:rsid w:val="00356687"/>
    <w:rsid w:val="00356E92"/>
    <w:rsid w:val="0035746B"/>
    <w:rsid w:val="00360F3B"/>
    <w:rsid w:val="00361200"/>
    <w:rsid w:val="00361E5F"/>
    <w:rsid w:val="0036396C"/>
    <w:rsid w:val="00363D01"/>
    <w:rsid w:val="00364E46"/>
    <w:rsid w:val="00366F44"/>
    <w:rsid w:val="0037039B"/>
    <w:rsid w:val="0037198E"/>
    <w:rsid w:val="00373548"/>
    <w:rsid w:val="0037481D"/>
    <w:rsid w:val="00374E89"/>
    <w:rsid w:val="003835D6"/>
    <w:rsid w:val="00383C5B"/>
    <w:rsid w:val="00384E33"/>
    <w:rsid w:val="003908E8"/>
    <w:rsid w:val="0039170C"/>
    <w:rsid w:val="003939F8"/>
    <w:rsid w:val="003963AE"/>
    <w:rsid w:val="00397821"/>
    <w:rsid w:val="00397F0B"/>
    <w:rsid w:val="003A0302"/>
    <w:rsid w:val="003A1124"/>
    <w:rsid w:val="003A1B8C"/>
    <w:rsid w:val="003A232D"/>
    <w:rsid w:val="003A6AC3"/>
    <w:rsid w:val="003A74AB"/>
    <w:rsid w:val="003B085E"/>
    <w:rsid w:val="003B1A8E"/>
    <w:rsid w:val="003B355A"/>
    <w:rsid w:val="003B6501"/>
    <w:rsid w:val="003B7BCC"/>
    <w:rsid w:val="003C1F4C"/>
    <w:rsid w:val="003C317A"/>
    <w:rsid w:val="003C47BC"/>
    <w:rsid w:val="003C4A5D"/>
    <w:rsid w:val="003C5762"/>
    <w:rsid w:val="003D00BB"/>
    <w:rsid w:val="003D1FC2"/>
    <w:rsid w:val="003D2641"/>
    <w:rsid w:val="003D4B98"/>
    <w:rsid w:val="003D4DC9"/>
    <w:rsid w:val="003D6D4C"/>
    <w:rsid w:val="003D793F"/>
    <w:rsid w:val="003E1C8F"/>
    <w:rsid w:val="003E253E"/>
    <w:rsid w:val="003E2E62"/>
    <w:rsid w:val="003E36EE"/>
    <w:rsid w:val="003E47CE"/>
    <w:rsid w:val="003E6280"/>
    <w:rsid w:val="003E640E"/>
    <w:rsid w:val="003E68F0"/>
    <w:rsid w:val="003F05D9"/>
    <w:rsid w:val="003F1AEB"/>
    <w:rsid w:val="003F1B25"/>
    <w:rsid w:val="003F1B50"/>
    <w:rsid w:val="003F1F38"/>
    <w:rsid w:val="003F49FB"/>
    <w:rsid w:val="003F6748"/>
    <w:rsid w:val="003F6A56"/>
    <w:rsid w:val="003F6F05"/>
    <w:rsid w:val="003F6F9A"/>
    <w:rsid w:val="00400D1F"/>
    <w:rsid w:val="00401B33"/>
    <w:rsid w:val="004026DA"/>
    <w:rsid w:val="00402755"/>
    <w:rsid w:val="00402B0F"/>
    <w:rsid w:val="00403522"/>
    <w:rsid w:val="00404BCF"/>
    <w:rsid w:val="00405DD5"/>
    <w:rsid w:val="00407C5B"/>
    <w:rsid w:val="00412A23"/>
    <w:rsid w:val="0041559F"/>
    <w:rsid w:val="00415D50"/>
    <w:rsid w:val="004200E3"/>
    <w:rsid w:val="0042025B"/>
    <w:rsid w:val="0042340E"/>
    <w:rsid w:val="00424D08"/>
    <w:rsid w:val="00427915"/>
    <w:rsid w:val="00433472"/>
    <w:rsid w:val="00441289"/>
    <w:rsid w:val="00442C3C"/>
    <w:rsid w:val="00443698"/>
    <w:rsid w:val="00443CD9"/>
    <w:rsid w:val="004451EA"/>
    <w:rsid w:val="00445F4A"/>
    <w:rsid w:val="0044645D"/>
    <w:rsid w:val="00447C6F"/>
    <w:rsid w:val="00450995"/>
    <w:rsid w:val="00450B2A"/>
    <w:rsid w:val="004513C9"/>
    <w:rsid w:val="0045157D"/>
    <w:rsid w:val="004516FC"/>
    <w:rsid w:val="004533B5"/>
    <w:rsid w:val="00454D6D"/>
    <w:rsid w:val="00454F77"/>
    <w:rsid w:val="00455C36"/>
    <w:rsid w:val="00462C07"/>
    <w:rsid w:val="00463268"/>
    <w:rsid w:val="00463449"/>
    <w:rsid w:val="00464118"/>
    <w:rsid w:val="00464309"/>
    <w:rsid w:val="00464796"/>
    <w:rsid w:val="004667FC"/>
    <w:rsid w:val="00467251"/>
    <w:rsid w:val="00467E9D"/>
    <w:rsid w:val="004712BE"/>
    <w:rsid w:val="00471B0E"/>
    <w:rsid w:val="00473C20"/>
    <w:rsid w:val="004808AE"/>
    <w:rsid w:val="00480E0C"/>
    <w:rsid w:val="00480F43"/>
    <w:rsid w:val="00483A4F"/>
    <w:rsid w:val="00483C84"/>
    <w:rsid w:val="00486D42"/>
    <w:rsid w:val="0048735F"/>
    <w:rsid w:val="004874AA"/>
    <w:rsid w:val="004946FD"/>
    <w:rsid w:val="00497DC4"/>
    <w:rsid w:val="004A049C"/>
    <w:rsid w:val="004A08C2"/>
    <w:rsid w:val="004A22FC"/>
    <w:rsid w:val="004A232D"/>
    <w:rsid w:val="004A4F04"/>
    <w:rsid w:val="004A5B6F"/>
    <w:rsid w:val="004A696E"/>
    <w:rsid w:val="004A726B"/>
    <w:rsid w:val="004A7897"/>
    <w:rsid w:val="004B1451"/>
    <w:rsid w:val="004B1797"/>
    <w:rsid w:val="004B46E7"/>
    <w:rsid w:val="004B4A06"/>
    <w:rsid w:val="004B7580"/>
    <w:rsid w:val="004B7B71"/>
    <w:rsid w:val="004C0D21"/>
    <w:rsid w:val="004C0E92"/>
    <w:rsid w:val="004C2347"/>
    <w:rsid w:val="004C3C1A"/>
    <w:rsid w:val="004C3C22"/>
    <w:rsid w:val="004C6104"/>
    <w:rsid w:val="004C70CD"/>
    <w:rsid w:val="004D23A0"/>
    <w:rsid w:val="004D2B3D"/>
    <w:rsid w:val="004D31C9"/>
    <w:rsid w:val="004D3FB4"/>
    <w:rsid w:val="004D5499"/>
    <w:rsid w:val="004E2610"/>
    <w:rsid w:val="004E28AB"/>
    <w:rsid w:val="004E2BAE"/>
    <w:rsid w:val="004E43D2"/>
    <w:rsid w:val="004F2394"/>
    <w:rsid w:val="004F2550"/>
    <w:rsid w:val="004F346E"/>
    <w:rsid w:val="004F4EE8"/>
    <w:rsid w:val="004F5B8C"/>
    <w:rsid w:val="004F6BA9"/>
    <w:rsid w:val="005014CA"/>
    <w:rsid w:val="0050184F"/>
    <w:rsid w:val="00501966"/>
    <w:rsid w:val="00501B56"/>
    <w:rsid w:val="00501D92"/>
    <w:rsid w:val="00502C93"/>
    <w:rsid w:val="00503C9A"/>
    <w:rsid w:val="00504452"/>
    <w:rsid w:val="00504ECE"/>
    <w:rsid w:val="00505300"/>
    <w:rsid w:val="00507AD7"/>
    <w:rsid w:val="0051318E"/>
    <w:rsid w:val="00513BCE"/>
    <w:rsid w:val="00514AAB"/>
    <w:rsid w:val="00515EBC"/>
    <w:rsid w:val="00516284"/>
    <w:rsid w:val="005177B7"/>
    <w:rsid w:val="00520140"/>
    <w:rsid w:val="00520601"/>
    <w:rsid w:val="00521CE3"/>
    <w:rsid w:val="00523843"/>
    <w:rsid w:val="005242D6"/>
    <w:rsid w:val="00525FEF"/>
    <w:rsid w:val="00527298"/>
    <w:rsid w:val="00530B10"/>
    <w:rsid w:val="00530FB3"/>
    <w:rsid w:val="005332E2"/>
    <w:rsid w:val="005364D7"/>
    <w:rsid w:val="00541FB5"/>
    <w:rsid w:val="0054280F"/>
    <w:rsid w:val="005437BA"/>
    <w:rsid w:val="0055433B"/>
    <w:rsid w:val="005546EC"/>
    <w:rsid w:val="00557376"/>
    <w:rsid w:val="00561397"/>
    <w:rsid w:val="005613A9"/>
    <w:rsid w:val="00561675"/>
    <w:rsid w:val="00561CDD"/>
    <w:rsid w:val="0057187F"/>
    <w:rsid w:val="00574F20"/>
    <w:rsid w:val="005838ED"/>
    <w:rsid w:val="00584E4B"/>
    <w:rsid w:val="00587CAF"/>
    <w:rsid w:val="00587E1E"/>
    <w:rsid w:val="00591DFD"/>
    <w:rsid w:val="00591F20"/>
    <w:rsid w:val="00594373"/>
    <w:rsid w:val="00594CEF"/>
    <w:rsid w:val="005954E2"/>
    <w:rsid w:val="0059679C"/>
    <w:rsid w:val="005A0E28"/>
    <w:rsid w:val="005A0FCB"/>
    <w:rsid w:val="005A1085"/>
    <w:rsid w:val="005A29C7"/>
    <w:rsid w:val="005A319A"/>
    <w:rsid w:val="005A3EC9"/>
    <w:rsid w:val="005A5383"/>
    <w:rsid w:val="005A5E7C"/>
    <w:rsid w:val="005A7D2B"/>
    <w:rsid w:val="005B03AC"/>
    <w:rsid w:val="005B05D6"/>
    <w:rsid w:val="005B0A18"/>
    <w:rsid w:val="005B24B7"/>
    <w:rsid w:val="005B2B14"/>
    <w:rsid w:val="005B3858"/>
    <w:rsid w:val="005B4CFD"/>
    <w:rsid w:val="005B5938"/>
    <w:rsid w:val="005B7074"/>
    <w:rsid w:val="005B70B6"/>
    <w:rsid w:val="005B7811"/>
    <w:rsid w:val="005C3A7E"/>
    <w:rsid w:val="005C5D5F"/>
    <w:rsid w:val="005C61AE"/>
    <w:rsid w:val="005C66B7"/>
    <w:rsid w:val="005C7298"/>
    <w:rsid w:val="005C7446"/>
    <w:rsid w:val="005C7F70"/>
    <w:rsid w:val="005D09B1"/>
    <w:rsid w:val="005D0AD4"/>
    <w:rsid w:val="005D19CD"/>
    <w:rsid w:val="005E079A"/>
    <w:rsid w:val="005F1971"/>
    <w:rsid w:val="005F1DA2"/>
    <w:rsid w:val="005F4130"/>
    <w:rsid w:val="005F496E"/>
    <w:rsid w:val="005F5D6A"/>
    <w:rsid w:val="005F7432"/>
    <w:rsid w:val="00604EB4"/>
    <w:rsid w:val="00605E01"/>
    <w:rsid w:val="00606048"/>
    <w:rsid w:val="00610EF8"/>
    <w:rsid w:val="00616BFB"/>
    <w:rsid w:val="00620845"/>
    <w:rsid w:val="00622991"/>
    <w:rsid w:val="0062357E"/>
    <w:rsid w:val="006307BE"/>
    <w:rsid w:val="00631FCB"/>
    <w:rsid w:val="00635CED"/>
    <w:rsid w:val="00635F07"/>
    <w:rsid w:val="00636AEB"/>
    <w:rsid w:val="00636D05"/>
    <w:rsid w:val="00637103"/>
    <w:rsid w:val="0063762E"/>
    <w:rsid w:val="00637683"/>
    <w:rsid w:val="00637DEF"/>
    <w:rsid w:val="00641196"/>
    <w:rsid w:val="006413EF"/>
    <w:rsid w:val="0064163B"/>
    <w:rsid w:val="0064221D"/>
    <w:rsid w:val="006433F6"/>
    <w:rsid w:val="00643983"/>
    <w:rsid w:val="00650720"/>
    <w:rsid w:val="0065227F"/>
    <w:rsid w:val="00653027"/>
    <w:rsid w:val="006547D8"/>
    <w:rsid w:val="00654EA5"/>
    <w:rsid w:val="00657330"/>
    <w:rsid w:val="006600B7"/>
    <w:rsid w:val="006603CC"/>
    <w:rsid w:val="00660EF1"/>
    <w:rsid w:val="00661004"/>
    <w:rsid w:val="006612C3"/>
    <w:rsid w:val="00664657"/>
    <w:rsid w:val="006647EB"/>
    <w:rsid w:val="0066526F"/>
    <w:rsid w:val="00665822"/>
    <w:rsid w:val="00666A04"/>
    <w:rsid w:val="006737D8"/>
    <w:rsid w:val="0067469B"/>
    <w:rsid w:val="0067583E"/>
    <w:rsid w:val="0067622E"/>
    <w:rsid w:val="00681A17"/>
    <w:rsid w:val="00681ED7"/>
    <w:rsid w:val="00682E5A"/>
    <w:rsid w:val="00682FD3"/>
    <w:rsid w:val="006836E0"/>
    <w:rsid w:val="00683EE0"/>
    <w:rsid w:val="00684D5A"/>
    <w:rsid w:val="00684DD1"/>
    <w:rsid w:val="00685826"/>
    <w:rsid w:val="00686B56"/>
    <w:rsid w:val="00687ADD"/>
    <w:rsid w:val="006904FA"/>
    <w:rsid w:val="00690D00"/>
    <w:rsid w:val="00692A4E"/>
    <w:rsid w:val="00693E9B"/>
    <w:rsid w:val="006975A8"/>
    <w:rsid w:val="006A2C6F"/>
    <w:rsid w:val="006A4364"/>
    <w:rsid w:val="006A59AD"/>
    <w:rsid w:val="006A64A6"/>
    <w:rsid w:val="006A64D4"/>
    <w:rsid w:val="006A6508"/>
    <w:rsid w:val="006A748D"/>
    <w:rsid w:val="006B00A2"/>
    <w:rsid w:val="006B02CD"/>
    <w:rsid w:val="006B23A9"/>
    <w:rsid w:val="006C031E"/>
    <w:rsid w:val="006C0F20"/>
    <w:rsid w:val="006C2DCF"/>
    <w:rsid w:val="006C600C"/>
    <w:rsid w:val="006C7645"/>
    <w:rsid w:val="006D0742"/>
    <w:rsid w:val="006D0C9F"/>
    <w:rsid w:val="006D4FCD"/>
    <w:rsid w:val="006D5FBD"/>
    <w:rsid w:val="006D6694"/>
    <w:rsid w:val="006D6AE0"/>
    <w:rsid w:val="006D75D7"/>
    <w:rsid w:val="006E066C"/>
    <w:rsid w:val="006E0DC3"/>
    <w:rsid w:val="006E29A1"/>
    <w:rsid w:val="006E2A56"/>
    <w:rsid w:val="006E3188"/>
    <w:rsid w:val="006E3495"/>
    <w:rsid w:val="006E3C23"/>
    <w:rsid w:val="006E4DC9"/>
    <w:rsid w:val="006E7994"/>
    <w:rsid w:val="006F1267"/>
    <w:rsid w:val="006F1E01"/>
    <w:rsid w:val="006F1E1B"/>
    <w:rsid w:val="006F20DD"/>
    <w:rsid w:val="006F2A22"/>
    <w:rsid w:val="006F2E20"/>
    <w:rsid w:val="006F2F62"/>
    <w:rsid w:val="006F3E6A"/>
    <w:rsid w:val="006F69C3"/>
    <w:rsid w:val="006F7797"/>
    <w:rsid w:val="006F7E2A"/>
    <w:rsid w:val="00706780"/>
    <w:rsid w:val="00707DE1"/>
    <w:rsid w:val="00707FA9"/>
    <w:rsid w:val="007120C6"/>
    <w:rsid w:val="0071457F"/>
    <w:rsid w:val="00715CA1"/>
    <w:rsid w:val="00716008"/>
    <w:rsid w:val="00716BC7"/>
    <w:rsid w:val="00720C8A"/>
    <w:rsid w:val="00721605"/>
    <w:rsid w:val="007238FC"/>
    <w:rsid w:val="007248BE"/>
    <w:rsid w:val="00725988"/>
    <w:rsid w:val="00726F5B"/>
    <w:rsid w:val="007304AA"/>
    <w:rsid w:val="00730D67"/>
    <w:rsid w:val="0073109A"/>
    <w:rsid w:val="007315E6"/>
    <w:rsid w:val="00732BB1"/>
    <w:rsid w:val="00732E8D"/>
    <w:rsid w:val="00735128"/>
    <w:rsid w:val="007437CE"/>
    <w:rsid w:val="00744C95"/>
    <w:rsid w:val="00745F56"/>
    <w:rsid w:val="007525A5"/>
    <w:rsid w:val="00752CB4"/>
    <w:rsid w:val="00752E63"/>
    <w:rsid w:val="00754119"/>
    <w:rsid w:val="00757254"/>
    <w:rsid w:val="00757B9B"/>
    <w:rsid w:val="007619F1"/>
    <w:rsid w:val="00762094"/>
    <w:rsid w:val="00762EF6"/>
    <w:rsid w:val="007659A5"/>
    <w:rsid w:val="007663DD"/>
    <w:rsid w:val="00770D5B"/>
    <w:rsid w:val="00771439"/>
    <w:rsid w:val="00772E09"/>
    <w:rsid w:val="00773472"/>
    <w:rsid w:val="00780949"/>
    <w:rsid w:val="00781115"/>
    <w:rsid w:val="007844EC"/>
    <w:rsid w:val="00786479"/>
    <w:rsid w:val="00786FD8"/>
    <w:rsid w:val="0079042D"/>
    <w:rsid w:val="00791D38"/>
    <w:rsid w:val="00791F96"/>
    <w:rsid w:val="0079353A"/>
    <w:rsid w:val="0079554A"/>
    <w:rsid w:val="00796203"/>
    <w:rsid w:val="00796BAA"/>
    <w:rsid w:val="00796F68"/>
    <w:rsid w:val="00797966"/>
    <w:rsid w:val="007A0C39"/>
    <w:rsid w:val="007A14DA"/>
    <w:rsid w:val="007A1759"/>
    <w:rsid w:val="007A6081"/>
    <w:rsid w:val="007A7698"/>
    <w:rsid w:val="007A7E22"/>
    <w:rsid w:val="007B1FCB"/>
    <w:rsid w:val="007B24D9"/>
    <w:rsid w:val="007B4669"/>
    <w:rsid w:val="007B4965"/>
    <w:rsid w:val="007C3B56"/>
    <w:rsid w:val="007C4B57"/>
    <w:rsid w:val="007C4D1E"/>
    <w:rsid w:val="007C57A4"/>
    <w:rsid w:val="007C6D28"/>
    <w:rsid w:val="007C74E7"/>
    <w:rsid w:val="007D0EB1"/>
    <w:rsid w:val="007D1FDF"/>
    <w:rsid w:val="007D265E"/>
    <w:rsid w:val="007D51D4"/>
    <w:rsid w:val="007D65A3"/>
    <w:rsid w:val="007E1E6A"/>
    <w:rsid w:val="007E236B"/>
    <w:rsid w:val="007E6E67"/>
    <w:rsid w:val="007E7BFE"/>
    <w:rsid w:val="007F099E"/>
    <w:rsid w:val="007F17F1"/>
    <w:rsid w:val="007F24DD"/>
    <w:rsid w:val="007F554C"/>
    <w:rsid w:val="007F6011"/>
    <w:rsid w:val="007F6E2F"/>
    <w:rsid w:val="008001BE"/>
    <w:rsid w:val="00800D22"/>
    <w:rsid w:val="00800D59"/>
    <w:rsid w:val="00802898"/>
    <w:rsid w:val="00802B73"/>
    <w:rsid w:val="0080710B"/>
    <w:rsid w:val="0081127D"/>
    <w:rsid w:val="00811EEC"/>
    <w:rsid w:val="008122E7"/>
    <w:rsid w:val="00812B61"/>
    <w:rsid w:val="00814087"/>
    <w:rsid w:val="0081517E"/>
    <w:rsid w:val="008168C4"/>
    <w:rsid w:val="0082044F"/>
    <w:rsid w:val="00821FB8"/>
    <w:rsid w:val="00827445"/>
    <w:rsid w:val="00833A32"/>
    <w:rsid w:val="0083520C"/>
    <w:rsid w:val="00835E6C"/>
    <w:rsid w:val="00836027"/>
    <w:rsid w:val="00837F92"/>
    <w:rsid w:val="008405D8"/>
    <w:rsid w:val="008406EF"/>
    <w:rsid w:val="008409AD"/>
    <w:rsid w:val="00840D74"/>
    <w:rsid w:val="00842228"/>
    <w:rsid w:val="008435FB"/>
    <w:rsid w:val="008439DC"/>
    <w:rsid w:val="008517A7"/>
    <w:rsid w:val="00855190"/>
    <w:rsid w:val="008556FD"/>
    <w:rsid w:val="00855AE7"/>
    <w:rsid w:val="00860B7E"/>
    <w:rsid w:val="0086216F"/>
    <w:rsid w:val="00863CDD"/>
    <w:rsid w:val="00866655"/>
    <w:rsid w:val="00871A14"/>
    <w:rsid w:val="00872C0E"/>
    <w:rsid w:val="00872C60"/>
    <w:rsid w:val="00873A56"/>
    <w:rsid w:val="00875F27"/>
    <w:rsid w:val="00876A61"/>
    <w:rsid w:val="00876B79"/>
    <w:rsid w:val="0087733C"/>
    <w:rsid w:val="0087776D"/>
    <w:rsid w:val="008777A7"/>
    <w:rsid w:val="0088018E"/>
    <w:rsid w:val="00880B0B"/>
    <w:rsid w:val="00880EF0"/>
    <w:rsid w:val="00882102"/>
    <w:rsid w:val="008822A0"/>
    <w:rsid w:val="008845F2"/>
    <w:rsid w:val="00884971"/>
    <w:rsid w:val="00886F7D"/>
    <w:rsid w:val="0088716E"/>
    <w:rsid w:val="00887690"/>
    <w:rsid w:val="00887BA0"/>
    <w:rsid w:val="00890E8F"/>
    <w:rsid w:val="00890F22"/>
    <w:rsid w:val="00891E44"/>
    <w:rsid w:val="00892578"/>
    <w:rsid w:val="00893454"/>
    <w:rsid w:val="00893C06"/>
    <w:rsid w:val="00893C3E"/>
    <w:rsid w:val="008954C9"/>
    <w:rsid w:val="008966EA"/>
    <w:rsid w:val="00896F8D"/>
    <w:rsid w:val="008A10C5"/>
    <w:rsid w:val="008A3C51"/>
    <w:rsid w:val="008A434A"/>
    <w:rsid w:val="008B3517"/>
    <w:rsid w:val="008B653F"/>
    <w:rsid w:val="008C0522"/>
    <w:rsid w:val="008C1350"/>
    <w:rsid w:val="008C195D"/>
    <w:rsid w:val="008C23FA"/>
    <w:rsid w:val="008C463E"/>
    <w:rsid w:val="008C48DA"/>
    <w:rsid w:val="008C7FEB"/>
    <w:rsid w:val="008D0D3B"/>
    <w:rsid w:val="008D1E4C"/>
    <w:rsid w:val="008D21DF"/>
    <w:rsid w:val="008D2494"/>
    <w:rsid w:val="008D555E"/>
    <w:rsid w:val="008D5A0D"/>
    <w:rsid w:val="008D6005"/>
    <w:rsid w:val="008D7B9D"/>
    <w:rsid w:val="008D7D7F"/>
    <w:rsid w:val="008E18F2"/>
    <w:rsid w:val="008E1EED"/>
    <w:rsid w:val="008E4FB5"/>
    <w:rsid w:val="008E5EF0"/>
    <w:rsid w:val="008E66DD"/>
    <w:rsid w:val="008E67F9"/>
    <w:rsid w:val="008F0EBC"/>
    <w:rsid w:val="008F3552"/>
    <w:rsid w:val="008F4878"/>
    <w:rsid w:val="008F6E25"/>
    <w:rsid w:val="0090058D"/>
    <w:rsid w:val="009008C8"/>
    <w:rsid w:val="009009A9"/>
    <w:rsid w:val="00900D22"/>
    <w:rsid w:val="00901CBD"/>
    <w:rsid w:val="00901D39"/>
    <w:rsid w:val="00901D8D"/>
    <w:rsid w:val="009045D7"/>
    <w:rsid w:val="009056E6"/>
    <w:rsid w:val="00905B22"/>
    <w:rsid w:val="00906209"/>
    <w:rsid w:val="009062C0"/>
    <w:rsid w:val="00906E12"/>
    <w:rsid w:val="00910A15"/>
    <w:rsid w:val="00910B72"/>
    <w:rsid w:val="0091164F"/>
    <w:rsid w:val="00911780"/>
    <w:rsid w:val="00914669"/>
    <w:rsid w:val="00914DE5"/>
    <w:rsid w:val="00915400"/>
    <w:rsid w:val="0091677B"/>
    <w:rsid w:val="009208C3"/>
    <w:rsid w:val="00921250"/>
    <w:rsid w:val="0092334C"/>
    <w:rsid w:val="00926EDD"/>
    <w:rsid w:val="00927612"/>
    <w:rsid w:val="00927FCD"/>
    <w:rsid w:val="00933179"/>
    <w:rsid w:val="00934996"/>
    <w:rsid w:val="00935ECB"/>
    <w:rsid w:val="0093751B"/>
    <w:rsid w:val="00937AB6"/>
    <w:rsid w:val="009443F7"/>
    <w:rsid w:val="00946EC4"/>
    <w:rsid w:val="009569AB"/>
    <w:rsid w:val="00957D54"/>
    <w:rsid w:val="00962245"/>
    <w:rsid w:val="00966458"/>
    <w:rsid w:val="00966923"/>
    <w:rsid w:val="00970E4E"/>
    <w:rsid w:val="00971247"/>
    <w:rsid w:val="0097161C"/>
    <w:rsid w:val="009722C0"/>
    <w:rsid w:val="009750E4"/>
    <w:rsid w:val="0097707A"/>
    <w:rsid w:val="009838E6"/>
    <w:rsid w:val="00983B61"/>
    <w:rsid w:val="0099175D"/>
    <w:rsid w:val="009917AE"/>
    <w:rsid w:val="00991A96"/>
    <w:rsid w:val="009921EE"/>
    <w:rsid w:val="00993477"/>
    <w:rsid w:val="009945AE"/>
    <w:rsid w:val="00994C1E"/>
    <w:rsid w:val="0099767D"/>
    <w:rsid w:val="009A1D6B"/>
    <w:rsid w:val="009A295A"/>
    <w:rsid w:val="009A5970"/>
    <w:rsid w:val="009A6E36"/>
    <w:rsid w:val="009B09DE"/>
    <w:rsid w:val="009B2857"/>
    <w:rsid w:val="009B4D50"/>
    <w:rsid w:val="009B5439"/>
    <w:rsid w:val="009B5989"/>
    <w:rsid w:val="009B5D58"/>
    <w:rsid w:val="009B647A"/>
    <w:rsid w:val="009B65D7"/>
    <w:rsid w:val="009B7D0C"/>
    <w:rsid w:val="009C3480"/>
    <w:rsid w:val="009C432F"/>
    <w:rsid w:val="009C45DA"/>
    <w:rsid w:val="009C5074"/>
    <w:rsid w:val="009C5746"/>
    <w:rsid w:val="009C61D9"/>
    <w:rsid w:val="009C7FB9"/>
    <w:rsid w:val="009D3232"/>
    <w:rsid w:val="009D4401"/>
    <w:rsid w:val="009D6F9A"/>
    <w:rsid w:val="009E15D9"/>
    <w:rsid w:val="009E2EFB"/>
    <w:rsid w:val="009E343A"/>
    <w:rsid w:val="009E3617"/>
    <w:rsid w:val="009E5345"/>
    <w:rsid w:val="009E5669"/>
    <w:rsid w:val="009E5A87"/>
    <w:rsid w:val="009F00A5"/>
    <w:rsid w:val="009F0CDD"/>
    <w:rsid w:val="009F3FCF"/>
    <w:rsid w:val="009F49C4"/>
    <w:rsid w:val="00A00684"/>
    <w:rsid w:val="00A00BBC"/>
    <w:rsid w:val="00A02544"/>
    <w:rsid w:val="00A02B88"/>
    <w:rsid w:val="00A03A7F"/>
    <w:rsid w:val="00A04289"/>
    <w:rsid w:val="00A050DC"/>
    <w:rsid w:val="00A061AB"/>
    <w:rsid w:val="00A07F66"/>
    <w:rsid w:val="00A1018D"/>
    <w:rsid w:val="00A1101A"/>
    <w:rsid w:val="00A113DE"/>
    <w:rsid w:val="00A11473"/>
    <w:rsid w:val="00A12827"/>
    <w:rsid w:val="00A12E7F"/>
    <w:rsid w:val="00A14923"/>
    <w:rsid w:val="00A21165"/>
    <w:rsid w:val="00A25F76"/>
    <w:rsid w:val="00A275A0"/>
    <w:rsid w:val="00A27C8A"/>
    <w:rsid w:val="00A27E9E"/>
    <w:rsid w:val="00A32872"/>
    <w:rsid w:val="00A3300E"/>
    <w:rsid w:val="00A349A6"/>
    <w:rsid w:val="00A350F7"/>
    <w:rsid w:val="00A356F3"/>
    <w:rsid w:val="00A360E7"/>
    <w:rsid w:val="00A36651"/>
    <w:rsid w:val="00A367E9"/>
    <w:rsid w:val="00A37A45"/>
    <w:rsid w:val="00A404E3"/>
    <w:rsid w:val="00A408BB"/>
    <w:rsid w:val="00A415E0"/>
    <w:rsid w:val="00A47CCE"/>
    <w:rsid w:val="00A509E0"/>
    <w:rsid w:val="00A50CF7"/>
    <w:rsid w:val="00A50DBC"/>
    <w:rsid w:val="00A545FB"/>
    <w:rsid w:val="00A54FD3"/>
    <w:rsid w:val="00A5578E"/>
    <w:rsid w:val="00A60687"/>
    <w:rsid w:val="00A60C20"/>
    <w:rsid w:val="00A60F65"/>
    <w:rsid w:val="00A624F3"/>
    <w:rsid w:val="00A631AE"/>
    <w:rsid w:val="00A64E59"/>
    <w:rsid w:val="00A65DF5"/>
    <w:rsid w:val="00A70308"/>
    <w:rsid w:val="00A70718"/>
    <w:rsid w:val="00A71886"/>
    <w:rsid w:val="00A727F1"/>
    <w:rsid w:val="00A72E7D"/>
    <w:rsid w:val="00A74C08"/>
    <w:rsid w:val="00A7507F"/>
    <w:rsid w:val="00A75161"/>
    <w:rsid w:val="00A75302"/>
    <w:rsid w:val="00A770E8"/>
    <w:rsid w:val="00A82463"/>
    <w:rsid w:val="00A82A6A"/>
    <w:rsid w:val="00A8337B"/>
    <w:rsid w:val="00A84B87"/>
    <w:rsid w:val="00A84E9E"/>
    <w:rsid w:val="00A851F8"/>
    <w:rsid w:val="00A854E5"/>
    <w:rsid w:val="00A8609A"/>
    <w:rsid w:val="00A865CC"/>
    <w:rsid w:val="00A87637"/>
    <w:rsid w:val="00A90090"/>
    <w:rsid w:val="00A90E22"/>
    <w:rsid w:val="00A91547"/>
    <w:rsid w:val="00A93059"/>
    <w:rsid w:val="00A935A4"/>
    <w:rsid w:val="00A96D2D"/>
    <w:rsid w:val="00A97E04"/>
    <w:rsid w:val="00AA0040"/>
    <w:rsid w:val="00AA091D"/>
    <w:rsid w:val="00AA1915"/>
    <w:rsid w:val="00AA196B"/>
    <w:rsid w:val="00AB0C31"/>
    <w:rsid w:val="00AB3714"/>
    <w:rsid w:val="00AB3991"/>
    <w:rsid w:val="00AB3ADB"/>
    <w:rsid w:val="00AB64A4"/>
    <w:rsid w:val="00AB6538"/>
    <w:rsid w:val="00AB6D18"/>
    <w:rsid w:val="00AC06E0"/>
    <w:rsid w:val="00AC170B"/>
    <w:rsid w:val="00AC3910"/>
    <w:rsid w:val="00AC3D91"/>
    <w:rsid w:val="00AC4FF8"/>
    <w:rsid w:val="00AC5591"/>
    <w:rsid w:val="00AC6753"/>
    <w:rsid w:val="00AC6B40"/>
    <w:rsid w:val="00AC7015"/>
    <w:rsid w:val="00AC7EBF"/>
    <w:rsid w:val="00AD0ACC"/>
    <w:rsid w:val="00AD19CA"/>
    <w:rsid w:val="00AD2789"/>
    <w:rsid w:val="00AD3746"/>
    <w:rsid w:val="00AD38B0"/>
    <w:rsid w:val="00AD3DF9"/>
    <w:rsid w:val="00AD479B"/>
    <w:rsid w:val="00AD6B26"/>
    <w:rsid w:val="00AE07FB"/>
    <w:rsid w:val="00AE61F8"/>
    <w:rsid w:val="00AE7F05"/>
    <w:rsid w:val="00AF13D3"/>
    <w:rsid w:val="00AF29A5"/>
    <w:rsid w:val="00AF663A"/>
    <w:rsid w:val="00AF7EE9"/>
    <w:rsid w:val="00B008D0"/>
    <w:rsid w:val="00B00A33"/>
    <w:rsid w:val="00B00B54"/>
    <w:rsid w:val="00B01FCA"/>
    <w:rsid w:val="00B06130"/>
    <w:rsid w:val="00B12AD1"/>
    <w:rsid w:val="00B13051"/>
    <w:rsid w:val="00B13782"/>
    <w:rsid w:val="00B1396C"/>
    <w:rsid w:val="00B14328"/>
    <w:rsid w:val="00B15FEC"/>
    <w:rsid w:val="00B17E8F"/>
    <w:rsid w:val="00B203E8"/>
    <w:rsid w:val="00B26794"/>
    <w:rsid w:val="00B26FEA"/>
    <w:rsid w:val="00B27652"/>
    <w:rsid w:val="00B3506C"/>
    <w:rsid w:val="00B37642"/>
    <w:rsid w:val="00B37EDB"/>
    <w:rsid w:val="00B40825"/>
    <w:rsid w:val="00B42831"/>
    <w:rsid w:val="00B460CB"/>
    <w:rsid w:val="00B4652A"/>
    <w:rsid w:val="00B5061C"/>
    <w:rsid w:val="00B516B4"/>
    <w:rsid w:val="00B51778"/>
    <w:rsid w:val="00B52614"/>
    <w:rsid w:val="00B56A35"/>
    <w:rsid w:val="00B56D22"/>
    <w:rsid w:val="00B575EF"/>
    <w:rsid w:val="00B57893"/>
    <w:rsid w:val="00B62829"/>
    <w:rsid w:val="00B663CB"/>
    <w:rsid w:val="00B67ED7"/>
    <w:rsid w:val="00B706D4"/>
    <w:rsid w:val="00B72745"/>
    <w:rsid w:val="00B73B46"/>
    <w:rsid w:val="00B75F8F"/>
    <w:rsid w:val="00B7754E"/>
    <w:rsid w:val="00B80644"/>
    <w:rsid w:val="00B80DDF"/>
    <w:rsid w:val="00B81916"/>
    <w:rsid w:val="00B8553B"/>
    <w:rsid w:val="00B870FD"/>
    <w:rsid w:val="00B90E60"/>
    <w:rsid w:val="00B91828"/>
    <w:rsid w:val="00B933CF"/>
    <w:rsid w:val="00B936D1"/>
    <w:rsid w:val="00B945D5"/>
    <w:rsid w:val="00BA1C0B"/>
    <w:rsid w:val="00BA4A6F"/>
    <w:rsid w:val="00BA5B0F"/>
    <w:rsid w:val="00BA5BE3"/>
    <w:rsid w:val="00BA6801"/>
    <w:rsid w:val="00BA787C"/>
    <w:rsid w:val="00BA7D2C"/>
    <w:rsid w:val="00BA7E65"/>
    <w:rsid w:val="00BB0DCA"/>
    <w:rsid w:val="00BB1718"/>
    <w:rsid w:val="00BB2121"/>
    <w:rsid w:val="00BB2479"/>
    <w:rsid w:val="00BB52B4"/>
    <w:rsid w:val="00BB54D7"/>
    <w:rsid w:val="00BB6496"/>
    <w:rsid w:val="00BC023E"/>
    <w:rsid w:val="00BC023F"/>
    <w:rsid w:val="00BC24A5"/>
    <w:rsid w:val="00BC2CC9"/>
    <w:rsid w:val="00BC2D4C"/>
    <w:rsid w:val="00BC6C76"/>
    <w:rsid w:val="00BC76BD"/>
    <w:rsid w:val="00BD0A24"/>
    <w:rsid w:val="00BD1091"/>
    <w:rsid w:val="00BD2774"/>
    <w:rsid w:val="00BD45DE"/>
    <w:rsid w:val="00BD53E2"/>
    <w:rsid w:val="00BD7616"/>
    <w:rsid w:val="00BD7705"/>
    <w:rsid w:val="00BE01BC"/>
    <w:rsid w:val="00BE139D"/>
    <w:rsid w:val="00BE15E8"/>
    <w:rsid w:val="00BE1B73"/>
    <w:rsid w:val="00BE1DCF"/>
    <w:rsid w:val="00BE1EE7"/>
    <w:rsid w:val="00BE3D08"/>
    <w:rsid w:val="00BE5E73"/>
    <w:rsid w:val="00BE69A2"/>
    <w:rsid w:val="00BE764F"/>
    <w:rsid w:val="00BF063F"/>
    <w:rsid w:val="00BF17FF"/>
    <w:rsid w:val="00BF1A93"/>
    <w:rsid w:val="00BF1D30"/>
    <w:rsid w:val="00BF50CE"/>
    <w:rsid w:val="00BF571A"/>
    <w:rsid w:val="00BF61C1"/>
    <w:rsid w:val="00C00302"/>
    <w:rsid w:val="00C010C0"/>
    <w:rsid w:val="00C01551"/>
    <w:rsid w:val="00C01DB6"/>
    <w:rsid w:val="00C0250B"/>
    <w:rsid w:val="00C025AF"/>
    <w:rsid w:val="00C02A97"/>
    <w:rsid w:val="00C02F6F"/>
    <w:rsid w:val="00C02FFC"/>
    <w:rsid w:val="00C03AA9"/>
    <w:rsid w:val="00C03C35"/>
    <w:rsid w:val="00C04441"/>
    <w:rsid w:val="00C048E9"/>
    <w:rsid w:val="00C0695B"/>
    <w:rsid w:val="00C11A18"/>
    <w:rsid w:val="00C15B47"/>
    <w:rsid w:val="00C1788B"/>
    <w:rsid w:val="00C17ED2"/>
    <w:rsid w:val="00C212E6"/>
    <w:rsid w:val="00C21DDC"/>
    <w:rsid w:val="00C23E69"/>
    <w:rsid w:val="00C24FE6"/>
    <w:rsid w:val="00C26DC2"/>
    <w:rsid w:val="00C306C5"/>
    <w:rsid w:val="00C33298"/>
    <w:rsid w:val="00C36E6B"/>
    <w:rsid w:val="00C37926"/>
    <w:rsid w:val="00C40D5F"/>
    <w:rsid w:val="00C40DD0"/>
    <w:rsid w:val="00C4163E"/>
    <w:rsid w:val="00C417F9"/>
    <w:rsid w:val="00C41E61"/>
    <w:rsid w:val="00C437B3"/>
    <w:rsid w:val="00C44D4A"/>
    <w:rsid w:val="00C45718"/>
    <w:rsid w:val="00C465F3"/>
    <w:rsid w:val="00C50D3A"/>
    <w:rsid w:val="00C52200"/>
    <w:rsid w:val="00C5668B"/>
    <w:rsid w:val="00C60FB6"/>
    <w:rsid w:val="00C627F4"/>
    <w:rsid w:val="00C64579"/>
    <w:rsid w:val="00C65052"/>
    <w:rsid w:val="00C65948"/>
    <w:rsid w:val="00C6634A"/>
    <w:rsid w:val="00C6795B"/>
    <w:rsid w:val="00C67AB8"/>
    <w:rsid w:val="00C705A2"/>
    <w:rsid w:val="00C749D9"/>
    <w:rsid w:val="00C74C56"/>
    <w:rsid w:val="00C80491"/>
    <w:rsid w:val="00C807D9"/>
    <w:rsid w:val="00C8311A"/>
    <w:rsid w:val="00C84835"/>
    <w:rsid w:val="00C85F9A"/>
    <w:rsid w:val="00C86494"/>
    <w:rsid w:val="00C86D84"/>
    <w:rsid w:val="00C8704C"/>
    <w:rsid w:val="00C8711C"/>
    <w:rsid w:val="00C9078F"/>
    <w:rsid w:val="00C92493"/>
    <w:rsid w:val="00C95D29"/>
    <w:rsid w:val="00CA6EE5"/>
    <w:rsid w:val="00CA6FC1"/>
    <w:rsid w:val="00CA7F55"/>
    <w:rsid w:val="00CB06DC"/>
    <w:rsid w:val="00CB29F0"/>
    <w:rsid w:val="00CB3495"/>
    <w:rsid w:val="00CB36CB"/>
    <w:rsid w:val="00CB4126"/>
    <w:rsid w:val="00CB4BB9"/>
    <w:rsid w:val="00CB4D7B"/>
    <w:rsid w:val="00CB7CE4"/>
    <w:rsid w:val="00CC214E"/>
    <w:rsid w:val="00CC24F5"/>
    <w:rsid w:val="00CC2B38"/>
    <w:rsid w:val="00CC7084"/>
    <w:rsid w:val="00CC723E"/>
    <w:rsid w:val="00CD0CD1"/>
    <w:rsid w:val="00CD1492"/>
    <w:rsid w:val="00CD2B66"/>
    <w:rsid w:val="00CD5366"/>
    <w:rsid w:val="00CD5BAB"/>
    <w:rsid w:val="00CE002A"/>
    <w:rsid w:val="00CE03C6"/>
    <w:rsid w:val="00CE1E69"/>
    <w:rsid w:val="00CE1F2E"/>
    <w:rsid w:val="00CE2FEE"/>
    <w:rsid w:val="00CE48A4"/>
    <w:rsid w:val="00CE6027"/>
    <w:rsid w:val="00CE73E7"/>
    <w:rsid w:val="00CE75FE"/>
    <w:rsid w:val="00CF0BE8"/>
    <w:rsid w:val="00CF2F11"/>
    <w:rsid w:val="00CF3092"/>
    <w:rsid w:val="00CF30AD"/>
    <w:rsid w:val="00CF454D"/>
    <w:rsid w:val="00D001CE"/>
    <w:rsid w:val="00D00583"/>
    <w:rsid w:val="00D0088D"/>
    <w:rsid w:val="00D013E3"/>
    <w:rsid w:val="00D02143"/>
    <w:rsid w:val="00D05761"/>
    <w:rsid w:val="00D07233"/>
    <w:rsid w:val="00D07914"/>
    <w:rsid w:val="00D10326"/>
    <w:rsid w:val="00D112EE"/>
    <w:rsid w:val="00D11648"/>
    <w:rsid w:val="00D1747C"/>
    <w:rsid w:val="00D20291"/>
    <w:rsid w:val="00D20A03"/>
    <w:rsid w:val="00D213F8"/>
    <w:rsid w:val="00D23467"/>
    <w:rsid w:val="00D23E2C"/>
    <w:rsid w:val="00D24CED"/>
    <w:rsid w:val="00D24E7B"/>
    <w:rsid w:val="00D26B3A"/>
    <w:rsid w:val="00D26FF3"/>
    <w:rsid w:val="00D2727E"/>
    <w:rsid w:val="00D31B20"/>
    <w:rsid w:val="00D3276E"/>
    <w:rsid w:val="00D37431"/>
    <w:rsid w:val="00D44410"/>
    <w:rsid w:val="00D44DBB"/>
    <w:rsid w:val="00D45002"/>
    <w:rsid w:val="00D4646B"/>
    <w:rsid w:val="00D466CE"/>
    <w:rsid w:val="00D46A50"/>
    <w:rsid w:val="00D528A5"/>
    <w:rsid w:val="00D55C50"/>
    <w:rsid w:val="00D6135E"/>
    <w:rsid w:val="00D62A06"/>
    <w:rsid w:val="00D66627"/>
    <w:rsid w:val="00D677CA"/>
    <w:rsid w:val="00D67A86"/>
    <w:rsid w:val="00D67ABF"/>
    <w:rsid w:val="00D72C65"/>
    <w:rsid w:val="00D73A04"/>
    <w:rsid w:val="00D7540E"/>
    <w:rsid w:val="00D754F4"/>
    <w:rsid w:val="00D81627"/>
    <w:rsid w:val="00D81BB0"/>
    <w:rsid w:val="00D82F48"/>
    <w:rsid w:val="00D82FD8"/>
    <w:rsid w:val="00D85819"/>
    <w:rsid w:val="00D90BF0"/>
    <w:rsid w:val="00D91EB2"/>
    <w:rsid w:val="00D928A5"/>
    <w:rsid w:val="00D932F3"/>
    <w:rsid w:val="00D93D9F"/>
    <w:rsid w:val="00DA038F"/>
    <w:rsid w:val="00DA0E82"/>
    <w:rsid w:val="00DB077E"/>
    <w:rsid w:val="00DB1C94"/>
    <w:rsid w:val="00DB43BF"/>
    <w:rsid w:val="00DB56BA"/>
    <w:rsid w:val="00DC0532"/>
    <w:rsid w:val="00DC1477"/>
    <w:rsid w:val="00DC26DA"/>
    <w:rsid w:val="00DC558E"/>
    <w:rsid w:val="00DC59FE"/>
    <w:rsid w:val="00DC5B43"/>
    <w:rsid w:val="00DC6EAE"/>
    <w:rsid w:val="00DD022D"/>
    <w:rsid w:val="00DD0963"/>
    <w:rsid w:val="00DD0A1A"/>
    <w:rsid w:val="00DD1B8E"/>
    <w:rsid w:val="00DD201F"/>
    <w:rsid w:val="00DD2E1E"/>
    <w:rsid w:val="00DD5403"/>
    <w:rsid w:val="00DE2789"/>
    <w:rsid w:val="00DE49F2"/>
    <w:rsid w:val="00DE6074"/>
    <w:rsid w:val="00DE7F13"/>
    <w:rsid w:val="00DF081C"/>
    <w:rsid w:val="00DF382B"/>
    <w:rsid w:val="00DF3F3D"/>
    <w:rsid w:val="00DF4265"/>
    <w:rsid w:val="00E0067C"/>
    <w:rsid w:val="00E01134"/>
    <w:rsid w:val="00E01941"/>
    <w:rsid w:val="00E02EFD"/>
    <w:rsid w:val="00E03109"/>
    <w:rsid w:val="00E044D1"/>
    <w:rsid w:val="00E05808"/>
    <w:rsid w:val="00E05FDA"/>
    <w:rsid w:val="00E06A00"/>
    <w:rsid w:val="00E06D69"/>
    <w:rsid w:val="00E07CE9"/>
    <w:rsid w:val="00E1395B"/>
    <w:rsid w:val="00E224CE"/>
    <w:rsid w:val="00E2269E"/>
    <w:rsid w:val="00E2634E"/>
    <w:rsid w:val="00E26441"/>
    <w:rsid w:val="00E26631"/>
    <w:rsid w:val="00E2723E"/>
    <w:rsid w:val="00E31EE1"/>
    <w:rsid w:val="00E32E59"/>
    <w:rsid w:val="00E3498B"/>
    <w:rsid w:val="00E351E0"/>
    <w:rsid w:val="00E35885"/>
    <w:rsid w:val="00E37477"/>
    <w:rsid w:val="00E37805"/>
    <w:rsid w:val="00E40C3A"/>
    <w:rsid w:val="00E42838"/>
    <w:rsid w:val="00E4384C"/>
    <w:rsid w:val="00E44B70"/>
    <w:rsid w:val="00E46EE6"/>
    <w:rsid w:val="00E47AD4"/>
    <w:rsid w:val="00E5130A"/>
    <w:rsid w:val="00E54738"/>
    <w:rsid w:val="00E549A1"/>
    <w:rsid w:val="00E556FC"/>
    <w:rsid w:val="00E56056"/>
    <w:rsid w:val="00E56782"/>
    <w:rsid w:val="00E56E6C"/>
    <w:rsid w:val="00E57961"/>
    <w:rsid w:val="00E57B49"/>
    <w:rsid w:val="00E615D2"/>
    <w:rsid w:val="00E61E56"/>
    <w:rsid w:val="00E6260C"/>
    <w:rsid w:val="00E63B6C"/>
    <w:rsid w:val="00E663C9"/>
    <w:rsid w:val="00E70A68"/>
    <w:rsid w:val="00E71800"/>
    <w:rsid w:val="00E73E34"/>
    <w:rsid w:val="00E74E6E"/>
    <w:rsid w:val="00E7771E"/>
    <w:rsid w:val="00E83023"/>
    <w:rsid w:val="00E844A4"/>
    <w:rsid w:val="00E84D42"/>
    <w:rsid w:val="00E86D7B"/>
    <w:rsid w:val="00E87542"/>
    <w:rsid w:val="00E904E9"/>
    <w:rsid w:val="00E926E9"/>
    <w:rsid w:val="00E94AC8"/>
    <w:rsid w:val="00E95013"/>
    <w:rsid w:val="00E957E0"/>
    <w:rsid w:val="00E95888"/>
    <w:rsid w:val="00E96B68"/>
    <w:rsid w:val="00E96D92"/>
    <w:rsid w:val="00E9746D"/>
    <w:rsid w:val="00EA188C"/>
    <w:rsid w:val="00EA1CA9"/>
    <w:rsid w:val="00EA455F"/>
    <w:rsid w:val="00EA4E85"/>
    <w:rsid w:val="00EA58C8"/>
    <w:rsid w:val="00EA7690"/>
    <w:rsid w:val="00EA7A82"/>
    <w:rsid w:val="00EB1CD8"/>
    <w:rsid w:val="00EB36CE"/>
    <w:rsid w:val="00EB417C"/>
    <w:rsid w:val="00EB4457"/>
    <w:rsid w:val="00EB5270"/>
    <w:rsid w:val="00EB6CDD"/>
    <w:rsid w:val="00EB7353"/>
    <w:rsid w:val="00EC1AC4"/>
    <w:rsid w:val="00EC4B4B"/>
    <w:rsid w:val="00EC4D64"/>
    <w:rsid w:val="00EC54E2"/>
    <w:rsid w:val="00EC6046"/>
    <w:rsid w:val="00ED04D6"/>
    <w:rsid w:val="00ED0DB2"/>
    <w:rsid w:val="00ED22B4"/>
    <w:rsid w:val="00EE1652"/>
    <w:rsid w:val="00EE1842"/>
    <w:rsid w:val="00EE607D"/>
    <w:rsid w:val="00EE6D34"/>
    <w:rsid w:val="00EE72A0"/>
    <w:rsid w:val="00EE7A7C"/>
    <w:rsid w:val="00EE7D8C"/>
    <w:rsid w:val="00EF178B"/>
    <w:rsid w:val="00EF1A0E"/>
    <w:rsid w:val="00EF598C"/>
    <w:rsid w:val="00EF69CA"/>
    <w:rsid w:val="00F0715A"/>
    <w:rsid w:val="00F100F9"/>
    <w:rsid w:val="00F1101E"/>
    <w:rsid w:val="00F1162E"/>
    <w:rsid w:val="00F13000"/>
    <w:rsid w:val="00F1475F"/>
    <w:rsid w:val="00F14887"/>
    <w:rsid w:val="00F14FFA"/>
    <w:rsid w:val="00F16130"/>
    <w:rsid w:val="00F21A5B"/>
    <w:rsid w:val="00F230C9"/>
    <w:rsid w:val="00F24775"/>
    <w:rsid w:val="00F30BEE"/>
    <w:rsid w:val="00F310AE"/>
    <w:rsid w:val="00F31550"/>
    <w:rsid w:val="00F331FD"/>
    <w:rsid w:val="00F33AD3"/>
    <w:rsid w:val="00F33C63"/>
    <w:rsid w:val="00F351F2"/>
    <w:rsid w:val="00F35315"/>
    <w:rsid w:val="00F3531A"/>
    <w:rsid w:val="00F35971"/>
    <w:rsid w:val="00F37E60"/>
    <w:rsid w:val="00F40ED5"/>
    <w:rsid w:val="00F42DBB"/>
    <w:rsid w:val="00F4385F"/>
    <w:rsid w:val="00F44CFD"/>
    <w:rsid w:val="00F45821"/>
    <w:rsid w:val="00F46DB8"/>
    <w:rsid w:val="00F47A50"/>
    <w:rsid w:val="00F50C16"/>
    <w:rsid w:val="00F5257B"/>
    <w:rsid w:val="00F536D4"/>
    <w:rsid w:val="00F53C4A"/>
    <w:rsid w:val="00F54D43"/>
    <w:rsid w:val="00F54E38"/>
    <w:rsid w:val="00F55712"/>
    <w:rsid w:val="00F57591"/>
    <w:rsid w:val="00F57928"/>
    <w:rsid w:val="00F60B90"/>
    <w:rsid w:val="00F60C20"/>
    <w:rsid w:val="00F61F9E"/>
    <w:rsid w:val="00F62AED"/>
    <w:rsid w:val="00F63577"/>
    <w:rsid w:val="00F65E36"/>
    <w:rsid w:val="00F80F7F"/>
    <w:rsid w:val="00F813DE"/>
    <w:rsid w:val="00F82302"/>
    <w:rsid w:val="00F840C1"/>
    <w:rsid w:val="00F84395"/>
    <w:rsid w:val="00F85925"/>
    <w:rsid w:val="00F901D6"/>
    <w:rsid w:val="00F93AB9"/>
    <w:rsid w:val="00F948C0"/>
    <w:rsid w:val="00F9500E"/>
    <w:rsid w:val="00F95E7E"/>
    <w:rsid w:val="00F9720C"/>
    <w:rsid w:val="00F97379"/>
    <w:rsid w:val="00FA0F04"/>
    <w:rsid w:val="00FA1DEC"/>
    <w:rsid w:val="00FA2B43"/>
    <w:rsid w:val="00FA6686"/>
    <w:rsid w:val="00FA7577"/>
    <w:rsid w:val="00FA79BD"/>
    <w:rsid w:val="00FB23C5"/>
    <w:rsid w:val="00FB59A2"/>
    <w:rsid w:val="00FB665C"/>
    <w:rsid w:val="00FB7BFE"/>
    <w:rsid w:val="00FC1179"/>
    <w:rsid w:val="00FC1620"/>
    <w:rsid w:val="00FC3900"/>
    <w:rsid w:val="00FC77B3"/>
    <w:rsid w:val="00FC77E3"/>
    <w:rsid w:val="00FD0671"/>
    <w:rsid w:val="00FD547F"/>
    <w:rsid w:val="00FD54A6"/>
    <w:rsid w:val="00FD6583"/>
    <w:rsid w:val="00FD66F6"/>
    <w:rsid w:val="00FD709D"/>
    <w:rsid w:val="00FE0B2F"/>
    <w:rsid w:val="00FE0C09"/>
    <w:rsid w:val="00FE12E6"/>
    <w:rsid w:val="00FE13CF"/>
    <w:rsid w:val="00FE29BA"/>
    <w:rsid w:val="00FE3046"/>
    <w:rsid w:val="00FE6563"/>
    <w:rsid w:val="00FE7138"/>
    <w:rsid w:val="00FF0E3E"/>
    <w:rsid w:val="00FF1481"/>
    <w:rsid w:val="00FF1F63"/>
    <w:rsid w:val="00FF38A6"/>
    <w:rsid w:val="00FF5CF0"/>
    <w:rsid w:val="00FF6C1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4ABC732"/>
  <w14:defaultImageDpi w14:val="32767"/>
  <w15:chartTrackingRefBased/>
  <w15:docId w15:val="{CE6F90EB-E116-44A9-BEB8-75A4FC887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D65A3"/>
    <w:rPr>
      <w:lang w:val="en-US"/>
    </w:rPr>
  </w:style>
  <w:style w:type="paragraph" w:styleId="Heading1">
    <w:name w:val="heading 1"/>
    <w:basedOn w:val="Normal"/>
    <w:next w:val="Normal"/>
    <w:link w:val="Heading1Char"/>
    <w:uiPriority w:val="9"/>
    <w:qFormat/>
    <w:rsid w:val="007D65A3"/>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9722C0"/>
    <w:pPr>
      <w:keepNext/>
      <w:keepLines/>
      <w:numPr>
        <w:numId w:val="10"/>
      </w:numPr>
      <w:spacing w:before="40" w:after="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9722C0"/>
    <w:pPr>
      <w:keepNext/>
      <w:keepLines/>
      <w:spacing w:before="40" w:after="0"/>
      <w:outlineLvl w:val="2"/>
    </w:pPr>
    <w:rPr>
      <w:rFonts w:ascii="Calibri" w:eastAsiaTheme="majorEastAsia" w:hAnsi="Calibri"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5A3"/>
    <w:rPr>
      <w:rFonts w:ascii="Times New Roman" w:eastAsiaTheme="majorEastAsia" w:hAnsi="Times New Roman" w:cstheme="majorBidi"/>
      <w:b/>
      <w:sz w:val="28"/>
      <w:szCs w:val="32"/>
      <w:lang w:val="es-ES"/>
    </w:rPr>
  </w:style>
  <w:style w:type="character" w:customStyle="1" w:styleId="Heading2Char">
    <w:name w:val="Heading 2 Char"/>
    <w:basedOn w:val="DefaultParagraphFont"/>
    <w:link w:val="Heading2"/>
    <w:uiPriority w:val="9"/>
    <w:rsid w:val="009722C0"/>
    <w:rPr>
      <w:rFonts w:eastAsiaTheme="majorEastAsia" w:cstheme="majorBidi"/>
      <w:b/>
      <w:sz w:val="24"/>
      <w:szCs w:val="26"/>
      <w:lang w:val="en-US"/>
    </w:rPr>
  </w:style>
  <w:style w:type="table" w:styleId="TableGridLight">
    <w:name w:val="Grid Table Light"/>
    <w:basedOn w:val="TableNormal"/>
    <w:uiPriority w:val="40"/>
    <w:rsid w:val="007D65A3"/>
    <w:pPr>
      <w:spacing w:after="0" w:line="240" w:lineRule="auto"/>
    </w:pPr>
    <w:rPr>
      <w:rFonts w:ascii="Calibri" w:hAnsi="Calibri" w:cstheme="minorHAnsi"/>
      <w:sz w:val="20"/>
      <w:szCs w:val="2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7D65A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65A3"/>
    <w:pPr>
      <w:ind w:left="720"/>
      <w:contextualSpacing/>
    </w:pPr>
    <w:rPr>
      <w:rFonts w:ascii="Calibri" w:hAnsi="Calibri" w:cstheme="minorHAnsi"/>
      <w:sz w:val="20"/>
      <w:szCs w:val="20"/>
    </w:rPr>
  </w:style>
  <w:style w:type="character" w:styleId="PlaceholderText">
    <w:name w:val="Placeholder Text"/>
    <w:basedOn w:val="DefaultParagraphFont"/>
    <w:uiPriority w:val="99"/>
    <w:semiHidden/>
    <w:rsid w:val="007D65A3"/>
    <w:rPr>
      <w:color w:val="808080"/>
    </w:rPr>
  </w:style>
  <w:style w:type="paragraph" w:styleId="Caption">
    <w:name w:val="caption"/>
    <w:basedOn w:val="Normal"/>
    <w:next w:val="Normal"/>
    <w:uiPriority w:val="35"/>
    <w:unhideWhenUsed/>
    <w:qFormat/>
    <w:rsid w:val="007D65A3"/>
    <w:pPr>
      <w:spacing w:after="200" w:line="240" w:lineRule="auto"/>
    </w:pPr>
    <w:rPr>
      <w:i/>
      <w:iCs/>
      <w:color w:val="44546A" w:themeColor="text2"/>
      <w:sz w:val="18"/>
      <w:szCs w:val="18"/>
      <w:lang w:val="en-GB"/>
    </w:rPr>
  </w:style>
  <w:style w:type="character" w:styleId="Hyperlink">
    <w:name w:val="Hyperlink"/>
    <w:basedOn w:val="DefaultParagraphFont"/>
    <w:uiPriority w:val="99"/>
    <w:unhideWhenUsed/>
    <w:rsid w:val="007D65A3"/>
    <w:rPr>
      <w:color w:val="0563C1" w:themeColor="hyperlink"/>
      <w:u w:val="single"/>
    </w:rPr>
  </w:style>
  <w:style w:type="character" w:styleId="FollowedHyperlink">
    <w:name w:val="FollowedHyperlink"/>
    <w:basedOn w:val="DefaultParagraphFont"/>
    <w:uiPriority w:val="99"/>
    <w:semiHidden/>
    <w:unhideWhenUsed/>
    <w:rsid w:val="007D65A3"/>
    <w:rPr>
      <w:color w:val="954F72" w:themeColor="followedHyperlink"/>
      <w:u w:val="single"/>
    </w:rPr>
  </w:style>
  <w:style w:type="paragraph" w:styleId="Header">
    <w:name w:val="header"/>
    <w:basedOn w:val="Normal"/>
    <w:link w:val="HeaderChar"/>
    <w:uiPriority w:val="99"/>
    <w:unhideWhenUsed/>
    <w:rsid w:val="007D65A3"/>
    <w:pPr>
      <w:tabs>
        <w:tab w:val="center" w:pos="4703"/>
        <w:tab w:val="right" w:pos="9406"/>
      </w:tabs>
      <w:spacing w:after="0" w:line="240" w:lineRule="auto"/>
    </w:pPr>
  </w:style>
  <w:style w:type="character" w:customStyle="1" w:styleId="HeaderChar">
    <w:name w:val="Header Char"/>
    <w:basedOn w:val="DefaultParagraphFont"/>
    <w:link w:val="Header"/>
    <w:uiPriority w:val="99"/>
    <w:rsid w:val="007D65A3"/>
    <w:rPr>
      <w:lang w:val="en-US"/>
    </w:rPr>
  </w:style>
  <w:style w:type="paragraph" w:styleId="Footer">
    <w:name w:val="footer"/>
    <w:basedOn w:val="Normal"/>
    <w:link w:val="FooterChar"/>
    <w:uiPriority w:val="99"/>
    <w:unhideWhenUsed/>
    <w:rsid w:val="007D65A3"/>
    <w:pPr>
      <w:tabs>
        <w:tab w:val="center" w:pos="4703"/>
        <w:tab w:val="right" w:pos="9406"/>
      </w:tabs>
      <w:spacing w:after="0" w:line="240" w:lineRule="auto"/>
    </w:pPr>
  </w:style>
  <w:style w:type="character" w:customStyle="1" w:styleId="FooterChar">
    <w:name w:val="Footer Char"/>
    <w:basedOn w:val="DefaultParagraphFont"/>
    <w:link w:val="Footer"/>
    <w:uiPriority w:val="99"/>
    <w:rsid w:val="007D65A3"/>
    <w:rPr>
      <w:lang w:val="en-US"/>
    </w:rPr>
  </w:style>
  <w:style w:type="paragraph" w:styleId="BalloonText">
    <w:name w:val="Balloon Text"/>
    <w:basedOn w:val="Normal"/>
    <w:link w:val="BalloonTextChar"/>
    <w:uiPriority w:val="99"/>
    <w:semiHidden/>
    <w:unhideWhenUsed/>
    <w:rsid w:val="007D65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65A3"/>
    <w:rPr>
      <w:rFonts w:ascii="Segoe UI" w:hAnsi="Segoe UI" w:cs="Segoe UI"/>
      <w:sz w:val="18"/>
      <w:szCs w:val="18"/>
      <w:lang w:val="en-US"/>
    </w:rPr>
  </w:style>
  <w:style w:type="character" w:styleId="CommentReference">
    <w:name w:val="annotation reference"/>
    <w:basedOn w:val="DefaultParagraphFont"/>
    <w:uiPriority w:val="99"/>
    <w:semiHidden/>
    <w:unhideWhenUsed/>
    <w:rsid w:val="007D65A3"/>
    <w:rPr>
      <w:sz w:val="16"/>
      <w:szCs w:val="16"/>
    </w:rPr>
  </w:style>
  <w:style w:type="paragraph" w:styleId="CommentText">
    <w:name w:val="annotation text"/>
    <w:basedOn w:val="Normal"/>
    <w:link w:val="CommentTextChar"/>
    <w:uiPriority w:val="99"/>
    <w:semiHidden/>
    <w:unhideWhenUsed/>
    <w:rsid w:val="007D65A3"/>
    <w:pPr>
      <w:spacing w:line="240" w:lineRule="auto"/>
    </w:pPr>
    <w:rPr>
      <w:sz w:val="20"/>
      <w:szCs w:val="20"/>
    </w:rPr>
  </w:style>
  <w:style w:type="character" w:customStyle="1" w:styleId="CommentTextChar">
    <w:name w:val="Comment Text Char"/>
    <w:basedOn w:val="DefaultParagraphFont"/>
    <w:link w:val="CommentText"/>
    <w:uiPriority w:val="99"/>
    <w:semiHidden/>
    <w:rsid w:val="007D65A3"/>
    <w:rPr>
      <w:sz w:val="20"/>
      <w:szCs w:val="20"/>
      <w:lang w:val="en-US"/>
    </w:rPr>
  </w:style>
  <w:style w:type="paragraph" w:styleId="CommentSubject">
    <w:name w:val="annotation subject"/>
    <w:basedOn w:val="CommentText"/>
    <w:next w:val="CommentText"/>
    <w:link w:val="CommentSubjectChar"/>
    <w:uiPriority w:val="99"/>
    <w:semiHidden/>
    <w:unhideWhenUsed/>
    <w:rsid w:val="007D65A3"/>
    <w:rPr>
      <w:b/>
      <w:bCs/>
    </w:rPr>
  </w:style>
  <w:style w:type="character" w:customStyle="1" w:styleId="CommentSubjectChar">
    <w:name w:val="Comment Subject Char"/>
    <w:basedOn w:val="CommentTextChar"/>
    <w:link w:val="CommentSubject"/>
    <w:uiPriority w:val="99"/>
    <w:semiHidden/>
    <w:rsid w:val="007D65A3"/>
    <w:rPr>
      <w:b/>
      <w:bCs/>
      <w:sz w:val="20"/>
      <w:szCs w:val="20"/>
      <w:lang w:val="en-US"/>
    </w:rPr>
  </w:style>
  <w:style w:type="character" w:customStyle="1" w:styleId="Heading3Char">
    <w:name w:val="Heading 3 Char"/>
    <w:basedOn w:val="DefaultParagraphFont"/>
    <w:link w:val="Heading3"/>
    <w:uiPriority w:val="9"/>
    <w:rsid w:val="009722C0"/>
    <w:rPr>
      <w:rFonts w:ascii="Calibri" w:eastAsiaTheme="majorEastAsia" w:hAnsi="Calibri" w:cstheme="majorBidi"/>
      <w:b/>
      <w:szCs w:val="24"/>
      <w:lang w:val="en-US"/>
    </w:rPr>
  </w:style>
  <w:style w:type="paragraph" w:styleId="Bibliography">
    <w:name w:val="Bibliography"/>
    <w:basedOn w:val="Normal"/>
    <w:next w:val="Normal"/>
    <w:uiPriority w:val="37"/>
    <w:unhideWhenUsed/>
    <w:rsid w:val="004F4EE8"/>
    <w:pPr>
      <w:tabs>
        <w:tab w:val="left" w:pos="264"/>
      </w:tabs>
      <w:spacing w:after="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wmf"/><Relationship Id="rId26" Type="http://schemas.openxmlformats.org/officeDocument/2006/relationships/image" Target="media/image13.wmf"/><Relationship Id="rId39" Type="http://schemas.openxmlformats.org/officeDocument/2006/relationships/image" Target="media/image22.png"/><Relationship Id="rId21" Type="http://schemas.openxmlformats.org/officeDocument/2006/relationships/oleObject" Target="embeddings/oleObject4.bin"/><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wmf"/><Relationship Id="rId20" Type="http://schemas.openxmlformats.org/officeDocument/2006/relationships/image" Target="media/image10.wmf"/><Relationship Id="rId29" Type="http://schemas.openxmlformats.org/officeDocument/2006/relationships/oleObject" Target="embeddings/oleObject8.bin"/><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wmf"/><Relationship Id="rId32" Type="http://schemas.openxmlformats.org/officeDocument/2006/relationships/image" Target="media/image16.wmf"/><Relationship Id="rId37" Type="http://schemas.openxmlformats.org/officeDocument/2006/relationships/image" Target="media/image2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4.wmf"/><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oleObject" Target="embeddings/oleObject3.bin"/><Relationship Id="rId31" Type="http://schemas.openxmlformats.org/officeDocument/2006/relationships/oleObject" Target="embeddings/oleObject9.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wmf"/><Relationship Id="rId22" Type="http://schemas.openxmlformats.org/officeDocument/2006/relationships/image" Target="media/image11.wmf"/><Relationship Id="rId27" Type="http://schemas.openxmlformats.org/officeDocument/2006/relationships/oleObject" Target="embeddings/oleObject7.bin"/><Relationship Id="rId30" Type="http://schemas.openxmlformats.org/officeDocument/2006/relationships/image" Target="media/image15.wmf"/><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58EB5-2F24-480E-8F4A-A2D33B573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14806</Words>
  <Characters>93284</Characters>
  <Application>Microsoft Office Word</Application>
  <DocSecurity>0</DocSecurity>
  <Lines>777</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2205</cp:revision>
  <cp:lastPrinted>2023-03-31T11:10:00Z</cp:lastPrinted>
  <dcterms:created xsi:type="dcterms:W3CDTF">2023-02-21T16:59:00Z</dcterms:created>
  <dcterms:modified xsi:type="dcterms:W3CDTF">2023-03-31T11:11:00Z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http://www.zotero.org/styles/green-chemistry</vt:lpwstr>
  </property>
  <property fmtid="{D5CDD505-2E9C-101B-9397-08002B2CF9AE}" pid="24" name="Mendeley Unique User Id_1">
    <vt:lpwstr>907c794a-b6be-3056-af05-c4fb5b728ceb</vt:lpwstr>
  </property>
  <property fmtid="{D5CDD505-2E9C-101B-9397-08002B2CF9AE}" pid="25" name="ZOTERO_PREF_1">
    <vt:lpwstr>&lt;data data-version="3" zotero-version="6.0.23"&gt;&lt;session id="dHwHotKY"/&gt;&lt;style id="http://www.zotero.org/styles/green-chemistry" hasBibliography="1" bibliographyStyleHasBeenSet="1"/&gt;&lt;prefs&gt;&lt;pref name="fieldType" value="Field"/&gt;&lt;/prefs&gt;&lt;/data&gt;</vt:lpwstr>
  </property>
  <property fmtid="{D5CDD505-2E9C-101B-9397-08002B2CF9AE}" pid="26" name="MTWinEqns">
    <vt:bool>true</vt:bool>
  </property>
</Properties>
</file>