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417D4" w14:textId="77777777" w:rsidR="00F62C8B" w:rsidRPr="00270DD5" w:rsidRDefault="000F3A41" w:rsidP="004C531E">
      <w:pPr>
        <w:pStyle w:val="RSCM01ReceivedAccepted"/>
      </w:pPr>
      <w:r w:rsidRPr="00270DD5">
        <mc:AlternateContent>
          <mc:Choice Requires="wps">
            <w:drawing>
              <wp:anchor distT="180340" distB="0" distL="114300" distR="114300" simplePos="0" relativeHeight="251662336"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316AC6A4" w14:textId="77777777" w:rsidR="00C25571" w:rsidRPr="00592B54" w:rsidRDefault="00C25571" w:rsidP="00C25571">
                            <w:pPr>
                              <w:pStyle w:val="RSCF01FootnoteAuthorAddress"/>
                            </w:pPr>
                            <w:r w:rsidRPr="00592B54">
                              <w:t>Institute for Chemical and Bioengineering, Department of Chemistry and Applied Biosciences, ETH</w:t>
                            </w:r>
                            <w:r>
                              <w:t> </w:t>
                            </w:r>
                            <w:r w:rsidRPr="00592B54">
                              <w:t>Zurich, Vladimir Prelog Weg 1, Zurich 8093, Switzerland.</w:t>
                            </w:r>
                          </w:p>
                          <w:p w14:paraId="53E1C83B" w14:textId="6224FB61" w:rsidR="000D6963" w:rsidRPr="00C25571" w:rsidRDefault="00C25571" w:rsidP="00C25571">
                            <w:pPr>
                              <w:pStyle w:val="RSCF01FootnoteAuthorAddress"/>
                              <w:jc w:val="both"/>
                            </w:pPr>
                            <w:r w:rsidRPr="00C25571">
                              <w:rPr>
                                <w:bCs/>
                                <w:lang w:val="en-US"/>
                              </w:rPr>
                              <w:t>NCCR Catalysis, Zurich 8093, Switzerland.</w:t>
                            </w:r>
                          </w:p>
                          <w:p w14:paraId="3FCC9141" w14:textId="52D87CBF" w:rsidR="00C25571" w:rsidRPr="00C405FD" w:rsidRDefault="00C25571" w:rsidP="00C25571">
                            <w:pPr>
                              <w:pStyle w:val="RSCF01FootnoteAuthorAddress"/>
                              <w:numPr>
                                <w:ilvl w:val="0"/>
                                <w:numId w:val="0"/>
                              </w:numPr>
                              <w:jc w:val="both"/>
                            </w:pPr>
                            <w:r>
                              <w:t xml:space="preserve">Email: </w:t>
                            </w:r>
                            <w:hyperlink r:id="rId8" w:history="1">
                              <w:r w:rsidR="004437E6" w:rsidRPr="004437E6">
                                <w:rPr>
                                  <w:rStyle w:val="Hyperlink"/>
                                  <w:rFonts w:cstheme="minorHAnsi"/>
                                  <w:bCs/>
                                </w:rPr>
                                <w:t>gonzalo.guillen.gosalbez@chem.ethz.ch</w:t>
                              </w:r>
                            </w:hyperlink>
                            <w:r w:rsidR="004437E6">
                              <w:rPr>
                                <w:rStyle w:val="Hyperlink"/>
                                <w:rFonts w:cstheme="minorHAnsi"/>
                                <w:bCs/>
                                <w:color w:val="auto"/>
                                <w:u w:val="none"/>
                              </w:rPr>
                              <w:t>,</w:t>
                            </w:r>
                            <w:r w:rsidR="004437E6" w:rsidRPr="004437E6">
                              <w:rPr>
                                <w:rStyle w:val="Hyperlink"/>
                                <w:rFonts w:cstheme="minorHAnsi"/>
                                <w:bCs/>
                                <w:color w:val="auto"/>
                                <w:u w:val="none"/>
                              </w:rPr>
                              <w:t xml:space="preserve"> </w:t>
                            </w:r>
                            <w:hyperlink r:id="rId9" w:history="1">
                              <w:r w:rsidR="004437E6" w:rsidRPr="004437E6">
                                <w:rPr>
                                  <w:rStyle w:val="Hyperlink"/>
                                  <w:rFonts w:cstheme="minorHAnsi"/>
                                  <w:bCs/>
                                </w:rPr>
                                <w:t>jpr@chem.ethz.ch</w:t>
                              </w:r>
                            </w:hyperlink>
                          </w:p>
                          <w:p w14:paraId="71856912" w14:textId="0D64768F" w:rsidR="00C405FD" w:rsidRPr="00241ACD" w:rsidRDefault="00126027" w:rsidP="00C25571">
                            <w:pPr>
                              <w:pStyle w:val="RSCF02FootnotestoTitleAuthors"/>
                              <w:jc w:val="left"/>
                            </w:pPr>
                            <w:r w:rsidRPr="00241ACD">
                              <w:t xml:space="preserve">† </w:t>
                            </w:r>
                            <w:r w:rsidR="00C25571">
                              <w:t>Electronic s</w:t>
                            </w:r>
                            <w:r w:rsidR="008C682F" w:rsidRPr="00241ACD">
                              <w:t xml:space="preserve">upplementary </w:t>
                            </w:r>
                            <w:r w:rsidR="00C25571">
                              <w:t>i</w:t>
                            </w:r>
                            <w:r w:rsidR="008C682F" w:rsidRPr="00241ACD">
                              <w:t xml:space="preserve">nformation </w:t>
                            </w:r>
                            <w:r w:rsidR="00C25571">
                              <w:t xml:space="preserve">(ESI) </w:t>
                            </w:r>
                            <w:r w:rsidR="008C682F" w:rsidRPr="00241ACD">
                              <w:t>available: See DOI: 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4144;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316AC6A4" w14:textId="77777777" w:rsidR="00C25571" w:rsidRPr="00592B54" w:rsidRDefault="00C25571" w:rsidP="00C25571">
                      <w:pPr>
                        <w:pStyle w:val="RSCF01FootnoteAuthorAddress"/>
                      </w:pPr>
                      <w:r w:rsidRPr="00592B54">
                        <w:t>Institute for Chemical and Bioengineering, Department of Chemistry and Applied Biosciences, ETH</w:t>
                      </w:r>
                      <w:r>
                        <w:t> </w:t>
                      </w:r>
                      <w:r w:rsidRPr="00592B54">
                        <w:t>Zurich, Vladimir Prelog Weg 1, Zurich 8093, Switzerland.</w:t>
                      </w:r>
                    </w:p>
                    <w:p w14:paraId="53E1C83B" w14:textId="6224FB61" w:rsidR="000D6963" w:rsidRPr="00C25571" w:rsidRDefault="00C25571" w:rsidP="00C25571">
                      <w:pPr>
                        <w:pStyle w:val="RSCF01FootnoteAuthorAddress"/>
                        <w:jc w:val="both"/>
                      </w:pPr>
                      <w:r w:rsidRPr="00C25571">
                        <w:rPr>
                          <w:bCs/>
                          <w:lang w:val="en-US"/>
                        </w:rPr>
                        <w:t>NCCR Catalysis, Zurich 8093, Switzerland.</w:t>
                      </w:r>
                    </w:p>
                    <w:p w14:paraId="3FCC9141" w14:textId="52D87CBF" w:rsidR="00C25571" w:rsidRPr="00C405FD" w:rsidRDefault="00C25571" w:rsidP="00C25571">
                      <w:pPr>
                        <w:pStyle w:val="RSCF01FootnoteAuthorAddress"/>
                        <w:numPr>
                          <w:ilvl w:val="0"/>
                          <w:numId w:val="0"/>
                        </w:numPr>
                        <w:jc w:val="both"/>
                      </w:pPr>
                      <w:r>
                        <w:t xml:space="preserve">Email: </w:t>
                      </w:r>
                      <w:hyperlink r:id="rId10" w:history="1">
                        <w:r w:rsidR="004437E6" w:rsidRPr="004437E6">
                          <w:rPr>
                            <w:rStyle w:val="Hyperlink"/>
                            <w:rFonts w:cstheme="minorHAnsi"/>
                            <w:bCs/>
                          </w:rPr>
                          <w:t>gonzalo.guillen.gosalbez@chem.ethz.ch</w:t>
                        </w:r>
                      </w:hyperlink>
                      <w:r w:rsidR="004437E6">
                        <w:rPr>
                          <w:rStyle w:val="Hyperlink"/>
                          <w:rFonts w:cstheme="minorHAnsi"/>
                          <w:bCs/>
                          <w:color w:val="auto"/>
                          <w:u w:val="none"/>
                        </w:rPr>
                        <w:t>,</w:t>
                      </w:r>
                      <w:r w:rsidR="004437E6" w:rsidRPr="004437E6">
                        <w:rPr>
                          <w:rStyle w:val="Hyperlink"/>
                          <w:rFonts w:cstheme="minorHAnsi"/>
                          <w:bCs/>
                          <w:color w:val="auto"/>
                          <w:u w:val="none"/>
                        </w:rPr>
                        <w:t xml:space="preserve"> </w:t>
                      </w:r>
                      <w:hyperlink r:id="rId11" w:history="1">
                        <w:r w:rsidR="004437E6" w:rsidRPr="004437E6">
                          <w:rPr>
                            <w:rStyle w:val="Hyperlink"/>
                            <w:rFonts w:cstheme="minorHAnsi"/>
                            <w:bCs/>
                          </w:rPr>
                          <w:t>jpr@chem.ethz.ch</w:t>
                        </w:r>
                      </w:hyperlink>
                    </w:p>
                    <w:p w14:paraId="71856912" w14:textId="0D64768F" w:rsidR="00C405FD" w:rsidRPr="00241ACD" w:rsidRDefault="00126027" w:rsidP="00C25571">
                      <w:pPr>
                        <w:pStyle w:val="RSCF02FootnotestoTitleAuthors"/>
                        <w:jc w:val="left"/>
                      </w:pPr>
                      <w:r w:rsidRPr="00241ACD">
                        <w:t xml:space="preserve">† </w:t>
                      </w:r>
                      <w:r w:rsidR="00C25571">
                        <w:t>Electronic s</w:t>
                      </w:r>
                      <w:r w:rsidR="008C682F" w:rsidRPr="00241ACD">
                        <w:t xml:space="preserve">upplementary </w:t>
                      </w:r>
                      <w:r w:rsidR="00C25571">
                        <w:t>i</w:t>
                      </w:r>
                      <w:r w:rsidR="008C682F" w:rsidRPr="00241ACD">
                        <w:t xml:space="preserve">nformation </w:t>
                      </w:r>
                      <w:r w:rsidR="00C25571">
                        <w:t xml:space="preserve">(ESI) </w:t>
                      </w:r>
                      <w:r w:rsidR="008C682F" w:rsidRPr="00241ACD">
                        <w:t>available: See DOI: 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bookmarkStart w:id="0" w:name="_GoBack"/>
      <w:bookmarkEnd w:id="0"/>
    </w:p>
    <w:p w14:paraId="0D6101E0" w14:textId="2CCD077E" w:rsidR="004414A5" w:rsidRPr="00C32EDF" w:rsidRDefault="00F62C8B" w:rsidP="00C32EDF">
      <w:pPr>
        <w:pStyle w:val="RSCH01PaperTitle"/>
      </w:pPr>
      <w:r w:rsidRPr="004414A5">
        <w:br w:type="column"/>
      </w:r>
      <w:r w:rsidR="00C567DF">
        <w:t>Analysis of nitrous oxide as a green oxidant based on economic, environmental, and safety metrics</w:t>
      </w:r>
    </w:p>
    <w:p w14:paraId="5D91B541" w14:textId="026BA6B4" w:rsidR="008125A0" w:rsidRPr="008125A0" w:rsidRDefault="00C567DF" w:rsidP="0048532B">
      <w:pPr>
        <w:pStyle w:val="RSCB01ARTAbstract"/>
        <w:jc w:val="left"/>
        <w:rPr>
          <w:rFonts w:cs="Times New Roman"/>
          <w:sz w:val="20"/>
          <w:vertAlign w:val="superscript"/>
        </w:rPr>
      </w:pPr>
      <w:r>
        <w:rPr>
          <w:rFonts w:cs="Times New Roman"/>
          <w:sz w:val="20"/>
        </w:rPr>
        <w:t>Abhinandan Nabera</w:t>
      </w:r>
      <w:r w:rsidR="008125A0" w:rsidRPr="008125A0">
        <w:rPr>
          <w:rFonts w:cs="Times New Roman"/>
          <w:sz w:val="20"/>
        </w:rPr>
        <w:t>,</w:t>
      </w:r>
      <w:r w:rsidR="008125A0" w:rsidRPr="008125A0">
        <w:rPr>
          <w:rFonts w:cs="Times New Roman"/>
          <w:sz w:val="20"/>
          <w:vertAlign w:val="superscript"/>
        </w:rPr>
        <w:t>a</w:t>
      </w:r>
      <w:r>
        <w:rPr>
          <w:rFonts w:cs="Times New Roman"/>
          <w:sz w:val="20"/>
          <w:vertAlign w:val="superscript"/>
        </w:rPr>
        <w:t>,b</w:t>
      </w:r>
      <w:r w:rsidR="008125A0" w:rsidRPr="008125A0">
        <w:rPr>
          <w:rFonts w:cs="Times New Roman"/>
          <w:sz w:val="20"/>
        </w:rPr>
        <w:t xml:space="preserve"> </w:t>
      </w:r>
      <w:r>
        <w:rPr>
          <w:rFonts w:cs="Times New Roman"/>
          <w:sz w:val="20"/>
        </w:rPr>
        <w:t>Gian Marco Beshara,</w:t>
      </w:r>
      <w:r>
        <w:rPr>
          <w:rFonts w:cs="Times New Roman"/>
          <w:sz w:val="20"/>
          <w:vertAlign w:val="superscript"/>
        </w:rPr>
        <w:t>a,</w:t>
      </w:r>
      <w:r w:rsidR="008125A0" w:rsidRPr="008125A0">
        <w:rPr>
          <w:rFonts w:cs="Times New Roman"/>
          <w:sz w:val="20"/>
          <w:vertAlign w:val="superscript"/>
        </w:rPr>
        <w:t>b</w:t>
      </w:r>
      <w:r w:rsidR="008125A0" w:rsidRPr="008125A0">
        <w:rPr>
          <w:rFonts w:cs="Times New Roman"/>
          <w:sz w:val="20"/>
        </w:rPr>
        <w:t xml:space="preserve"> </w:t>
      </w:r>
      <w:r w:rsidRPr="00C567DF">
        <w:rPr>
          <w:rFonts w:cs="Times New Roman"/>
          <w:bCs/>
          <w:iCs/>
          <w:sz w:val="20"/>
        </w:rPr>
        <w:t>Gonzalo Guillén</w:t>
      </w:r>
      <w:r w:rsidRPr="00C567DF">
        <w:rPr>
          <w:rFonts w:cs="Times New Roman"/>
          <w:bCs/>
          <w:iCs/>
          <w:sz w:val="20"/>
        </w:rPr>
        <w:noBreakHyphen/>
        <w:t>Gosálbez*</w:t>
      </w:r>
      <w:r w:rsidRPr="00C567DF">
        <w:rPr>
          <w:rFonts w:cs="Times New Roman"/>
          <w:bCs/>
          <w:iCs/>
          <w:sz w:val="20"/>
          <w:vertAlign w:val="superscript"/>
        </w:rPr>
        <w:t>a,b</w:t>
      </w:r>
      <w:r w:rsidRPr="00C567DF">
        <w:rPr>
          <w:rFonts w:cs="Times New Roman"/>
          <w:sz w:val="20"/>
        </w:rPr>
        <w:t xml:space="preserve"> </w:t>
      </w:r>
      <w:r w:rsidR="008125A0" w:rsidRPr="008125A0">
        <w:rPr>
          <w:rFonts w:cs="Times New Roman"/>
          <w:sz w:val="20"/>
        </w:rPr>
        <w:t xml:space="preserve">and </w:t>
      </w:r>
      <w:r w:rsidRPr="00C567DF">
        <w:rPr>
          <w:rFonts w:cs="Times New Roman"/>
          <w:bCs/>
          <w:iCs/>
          <w:sz w:val="20"/>
        </w:rPr>
        <w:t>Javier Pérez</w:t>
      </w:r>
      <w:r w:rsidRPr="00C567DF">
        <w:rPr>
          <w:rFonts w:cs="Times New Roman"/>
          <w:bCs/>
          <w:iCs/>
          <w:sz w:val="20"/>
        </w:rPr>
        <w:noBreakHyphen/>
        <w:t>Ramírez*</w:t>
      </w:r>
      <w:r w:rsidRPr="00C567DF">
        <w:rPr>
          <w:rFonts w:cs="Times New Roman"/>
          <w:bCs/>
          <w:iCs/>
          <w:sz w:val="20"/>
          <w:vertAlign w:val="superscript"/>
        </w:rPr>
        <w:t>a,b</w:t>
      </w:r>
    </w:p>
    <w:p w14:paraId="39E3785F" w14:textId="6987FB87" w:rsidR="00FA2DA2" w:rsidRPr="00FA2DA2" w:rsidRDefault="005E4710" w:rsidP="00FA2DA2">
      <w:pPr>
        <w:pStyle w:val="RSCB01ARTAbstract"/>
        <w:sectPr w:rsidR="00FA2DA2" w:rsidRPr="00FA2DA2" w:rsidSect="00514CBA">
          <w:headerReference w:type="even" r:id="rId12"/>
          <w:headerReference w:type="default" r:id="rId13"/>
          <w:footerReference w:type="even" r:id="rId14"/>
          <w:footerReference w:type="default" r:id="rId15"/>
          <w:headerReference w:type="first" r:id="rId16"/>
          <w:footerReference w:type="first" r:id="rId17"/>
          <w:pgSz w:w="11907" w:h="16840" w:code="9"/>
          <w:pgMar w:top="1009" w:right="851" w:bottom="1758" w:left="851" w:header="851" w:footer="1049" w:gutter="0"/>
          <w:cols w:num="2" w:space="227" w:equalWidth="0">
            <w:col w:w="1985" w:space="227"/>
            <w:col w:w="7993"/>
          </w:cols>
          <w:titlePg/>
          <w:docGrid w:linePitch="360"/>
        </w:sectPr>
      </w:pPr>
      <w:r w:rsidRPr="00BE543B">
        <w:rPr>
          <w:highlight w:val="yellow"/>
        </w:rPr>
        <w:t>xxx</w:t>
      </w:r>
    </w:p>
    <w:p w14:paraId="668DB4B8" w14:textId="0EE4F30F" w:rsidR="00FA2DA2" w:rsidRPr="00C1311B" w:rsidRDefault="000B0346" w:rsidP="00FA2DA2">
      <w:pPr>
        <w:pStyle w:val="RSCB04AHeadingSection"/>
      </w:pPr>
      <w:r w:rsidRPr="00C1311B">
        <w:t>Introduction</w:t>
      </w:r>
    </w:p>
    <w:p w14:paraId="121FBDAE" w14:textId="56FA6AD1" w:rsidR="000B0346" w:rsidRPr="001F6295" w:rsidRDefault="009D368B" w:rsidP="000B0346">
      <w:pPr>
        <w:pStyle w:val="RSCB02ArticleText"/>
      </w:pPr>
      <w:r w:rsidRPr="001F6295">
        <w:t>Nitrous oxide, N2O is emerging as a promising and versatile oxidant in heterogeneous catalysis, primarily due to its ability to selectively deliver mono</w:t>
      </w:r>
      <w:r w:rsidRPr="001F6295">
        <w:noBreakHyphen/>
        <w:t>oxygen species during oxidation reactions. This unique feature minimises overoxidation and by</w:t>
      </w:r>
      <w:r w:rsidRPr="001F6295">
        <w:noBreakHyphen/>
        <w:t xml:space="preserve">product formation, making N2O </w:t>
      </w:r>
      <w:r w:rsidRPr="001F6295">
        <w:rPr>
          <w:rFonts w:cstheme="minorHAnsi"/>
        </w:rPr>
        <w:t>an attractive alternative to conventional oxidants like hydrogen peroxide (H2O2). Moreover, N2O's benign by</w:t>
      </w:r>
      <w:r w:rsidRPr="001F6295">
        <w:rPr>
          <w:rFonts w:cstheme="minorHAnsi"/>
        </w:rPr>
        <w:noBreakHyphen/>
        <w:t>product</w:t>
      </w:r>
      <w:r w:rsidRPr="001F6295">
        <w:rPr>
          <w:rFonts w:cstheme="minorHAnsi"/>
        </w:rPr>
        <w:t>—nitrogen gas—and its favourable properties</w:t>
      </w:r>
      <w:r w:rsidRPr="001F6295">
        <w:rPr>
          <w:rFonts w:cstheme="minorHAnsi"/>
        </w:rPr>
        <w:t>, such as high solubility in non</w:t>
      </w:r>
      <w:r w:rsidRPr="001F6295">
        <w:rPr>
          <w:rFonts w:cstheme="minorHAnsi"/>
        </w:rPr>
        <w:noBreakHyphen/>
        <w:t>polar media and thermal stability, further enhance its industrial appeal. Early breakthroughs, such as the one</w:t>
      </w:r>
      <w:r w:rsidRPr="001F6295">
        <w:rPr>
          <w:rFonts w:cstheme="minorHAnsi"/>
        </w:rPr>
        <w:noBreakHyphen/>
        <w:t>step oxidation of benzene to phenol using N2O over Fe</w:t>
      </w:r>
      <w:r w:rsidRPr="001F6295">
        <w:rPr>
          <w:rFonts w:cstheme="minorHAnsi"/>
        </w:rPr>
        <w:noBreakHyphen/>
        <w:t>ZSM</w:t>
      </w:r>
      <w:r w:rsidRPr="001F6295">
        <w:rPr>
          <w:rFonts w:cstheme="minorHAnsi"/>
        </w:rPr>
        <w:noBreakHyphen/>
        <w:t xml:space="preserve">5 catalysts, have demonstrated its potential for highly selective transformations. However, the broader application of N2O has been hindered by the risks associated with its conventional production route, </w:t>
      </w:r>
      <w:r w:rsidRPr="001F6295">
        <w:rPr>
          <w:rFonts w:cstheme="minorHAnsi"/>
          <w:i/>
        </w:rPr>
        <w:t>i.e.</w:t>
      </w:r>
      <w:r w:rsidRPr="001F6295">
        <w:rPr>
          <w:rFonts w:cstheme="minorHAnsi"/>
        </w:rPr>
        <w:t>, the thermal decomposition of ammonium nitrate (NH4NO3)</w:t>
      </w:r>
    </w:p>
    <w:p w14:paraId="671D3418" w14:textId="6BAAB332" w:rsidR="000B0346" w:rsidRDefault="000B0346" w:rsidP="000B0346">
      <w:pPr>
        <w:pStyle w:val="RSCB04AHeadingSection"/>
      </w:pPr>
      <w:r w:rsidRPr="00C1311B">
        <w:t>Methods</w:t>
      </w:r>
    </w:p>
    <w:p w14:paraId="740E23DD" w14:textId="4B9A053E" w:rsidR="00767085" w:rsidRPr="00767085" w:rsidRDefault="00767085" w:rsidP="00767085">
      <w:pPr>
        <w:pStyle w:val="RSCB02ArticleText"/>
        <w:spacing w:after="240"/>
      </w:pPr>
      <w:r>
        <w:t xml:space="preserve">An overview of the methodological framework applied in this study is provided in </w:t>
      </w:r>
      <w:r w:rsidRPr="00767085">
        <w:rPr>
          <w:b/>
        </w:rPr>
        <w:t>Fig. 1</w:t>
      </w:r>
      <w:r>
        <w:t>. This work integrates process modelling, techno</w:t>
      </w:r>
      <w:r>
        <w:noBreakHyphen/>
        <w:t>economic analysis, life cycle assessment (LCA), and safety evaluation to systematically compare conventional and emerging routes for N</w:t>
      </w:r>
      <w:r w:rsidRPr="00767085">
        <w:rPr>
          <w:vertAlign w:val="subscript"/>
        </w:rPr>
        <w:t>2</w:t>
      </w:r>
      <w:r>
        <w:t>O, H</w:t>
      </w:r>
      <w:r w:rsidRPr="00767085">
        <w:rPr>
          <w:vertAlign w:val="subscript"/>
        </w:rPr>
        <w:t>2</w:t>
      </w:r>
      <w:r>
        <w:t>O</w:t>
      </w:r>
      <w:r w:rsidRPr="00767085">
        <w:rPr>
          <w:vertAlign w:val="subscript"/>
        </w:rPr>
        <w:t>2</w:t>
      </w:r>
      <w:r>
        <w:t>, and phenol production. These process</w:t>
      </w:r>
      <w:r>
        <w:noBreakHyphen/>
        <w:t>based metrics are used to evaluate key performance indicators, including mass and energy balances, production costs, environmental impacts, and safety metrics. By combining simulation</w:t>
      </w:r>
      <w:r>
        <w:noBreakHyphen/>
        <w:t xml:space="preserve">derived data with </w:t>
      </w:r>
      <w:r>
        <w:t>literature</w:t>
      </w:r>
      <w:r>
        <w:noBreakHyphen/>
        <w:t>based parameters, th</w:t>
      </w:r>
      <w:r w:rsidR="00067003">
        <w:t>e</w:t>
      </w:r>
      <w:r>
        <w:t xml:space="preserve"> study provides a comprehensive understanding of the potential benefits associated with each route. The following sections describe the methodology in more detail. For more information on the methodology employed in this work, please refer to the ESI.</w:t>
      </w:r>
    </w:p>
    <w:p w14:paraId="0CD8DDB7" w14:textId="2BE01F9E" w:rsidR="00767085" w:rsidRDefault="00767085" w:rsidP="00767085">
      <w:pPr>
        <w:pStyle w:val="RSCB08CHeadingIn-line"/>
      </w:pPr>
      <w:r>
        <w:t>Process modelling</w:t>
      </w:r>
    </w:p>
    <w:p w14:paraId="7FE4A6A8" w14:textId="2AC54359" w:rsidR="00767085" w:rsidRPr="00767085" w:rsidRDefault="00767085" w:rsidP="00870D5C">
      <w:pPr>
        <w:pStyle w:val="RSCB02ArticleText"/>
        <w:spacing w:after="240"/>
      </w:pPr>
      <w:r>
        <w:t xml:space="preserve">The process </w:t>
      </w:r>
      <w:r w:rsidR="008C3C9D">
        <w:t>simulations</w:t>
      </w:r>
      <w:r>
        <w:t xml:space="preserve"> for N</w:t>
      </w:r>
      <w:r w:rsidRPr="00195C52">
        <w:rPr>
          <w:vertAlign w:val="subscript"/>
        </w:rPr>
        <w:t>2</w:t>
      </w:r>
      <w:r>
        <w:t>O, H</w:t>
      </w:r>
      <w:r w:rsidRPr="00195C52">
        <w:rPr>
          <w:vertAlign w:val="subscript"/>
        </w:rPr>
        <w:t>2</w:t>
      </w:r>
      <w:r>
        <w:t>O</w:t>
      </w:r>
      <w:r w:rsidRPr="00195C52">
        <w:rPr>
          <w:vertAlign w:val="subscript"/>
        </w:rPr>
        <w:t>2</w:t>
      </w:r>
      <w:r>
        <w:t xml:space="preserve">, and phenol production were developed using Aspen Plus v12.1, </w:t>
      </w:r>
      <w:r w:rsidR="00195C52">
        <w:t>employing</w:t>
      </w:r>
      <w:r>
        <w:t xml:space="preserve"> standard process models to simulate each route</w:t>
      </w:r>
      <w:r w:rsidR="00195C52">
        <w:t xml:space="preserve"> (refer to </w:t>
      </w:r>
      <w:r w:rsidR="00195C52" w:rsidRPr="00195C52">
        <w:rPr>
          <w:b/>
        </w:rPr>
        <w:t>Figs. S1–S5</w:t>
      </w:r>
      <w:r w:rsidR="00195C52">
        <w:t xml:space="preserve"> of the ESI for the process flow diagrams)</w:t>
      </w:r>
      <w:r>
        <w:t>. The mass and energy flows, as well as process unit sizes</w:t>
      </w:r>
      <w:r w:rsidR="00195C52">
        <w:t>,</w:t>
      </w:r>
      <w:r>
        <w:t xml:space="preserve"> which were later used for the economic, environmental</w:t>
      </w:r>
      <w:r w:rsidR="00195C52">
        <w:t>,</w:t>
      </w:r>
      <w:r>
        <w:t xml:space="preserve"> and safety assessments</w:t>
      </w:r>
      <w:r w:rsidR="00195C52">
        <w:t>,</w:t>
      </w:r>
      <w:r>
        <w:t xml:space="preserve"> were extracted from these simulations. For N</w:t>
      </w:r>
      <w:r w:rsidRPr="00195C52">
        <w:rPr>
          <w:vertAlign w:val="subscript"/>
        </w:rPr>
        <w:t>2</w:t>
      </w:r>
      <w:r>
        <w:t>O, two routes were analysed: the one</w:t>
      </w:r>
      <w:r>
        <w:noBreakHyphen/>
        <w:t>step direct NH</w:t>
      </w:r>
      <w:r w:rsidRPr="00195C52">
        <w:rPr>
          <w:vertAlign w:val="subscript"/>
        </w:rPr>
        <w:t>3</w:t>
      </w:r>
      <w:r>
        <w:t xml:space="preserve"> oxidation and the five</w:t>
      </w:r>
      <w:r>
        <w:noBreakHyphen/>
        <w:t>step NH</w:t>
      </w:r>
      <w:r w:rsidRPr="00195C52">
        <w:rPr>
          <w:vertAlign w:val="subscript"/>
        </w:rPr>
        <w:t>4</w:t>
      </w:r>
      <w:r>
        <w:t>NO</w:t>
      </w:r>
      <w:r w:rsidRPr="00195C52">
        <w:rPr>
          <w:vertAlign w:val="subscript"/>
        </w:rPr>
        <w:t>3</w:t>
      </w:r>
      <w:r>
        <w:t xml:space="preserve"> decomposition pathway. H</w:t>
      </w:r>
      <w:r w:rsidRPr="00C471DD">
        <w:rPr>
          <w:vertAlign w:val="subscript"/>
        </w:rPr>
        <w:t>2</w:t>
      </w:r>
      <w:r>
        <w:t>O</w:t>
      </w:r>
      <w:r w:rsidRPr="00C471DD">
        <w:rPr>
          <w:vertAlign w:val="subscript"/>
        </w:rPr>
        <w:t>2</w:t>
      </w:r>
      <w:r>
        <w:t xml:space="preserve"> production was modelled </w:t>
      </w:r>
      <w:r>
        <w:rPr>
          <w:i/>
        </w:rPr>
        <w:t>via</w:t>
      </w:r>
      <w:r>
        <w:t xml:space="preserve"> the anthraquinone autoxidation (AO) process, using 2</w:t>
      </w:r>
      <w:r>
        <w:noBreakHyphen/>
        <w:t>ethyl anthraquinone as the working solution. Phenol production was analysed through the conventional cumene oxidation route and compared with emerging routes involving direct oxidation of benzene using N</w:t>
      </w:r>
      <w:r w:rsidRPr="00F0114A">
        <w:rPr>
          <w:vertAlign w:val="subscript"/>
        </w:rPr>
        <w:t>2</w:t>
      </w:r>
      <w:r>
        <w:t>O or H</w:t>
      </w:r>
      <w:r w:rsidRPr="00F0114A">
        <w:rPr>
          <w:vertAlign w:val="subscript"/>
        </w:rPr>
        <w:t>2</w:t>
      </w:r>
      <w:r>
        <w:t>O</w:t>
      </w:r>
      <w:r w:rsidRPr="00F0114A">
        <w:rPr>
          <w:vertAlign w:val="subscript"/>
        </w:rPr>
        <w:t>2</w:t>
      </w:r>
      <w:r>
        <w:t xml:space="preserve">. Mass and energy balances for all processes are summarized in </w:t>
      </w:r>
      <w:r w:rsidRPr="00BD0A68">
        <w:rPr>
          <w:b/>
        </w:rPr>
        <w:t>Tables S1–S3</w:t>
      </w:r>
      <w:r>
        <w:t xml:space="preserve"> of the ESI.</w:t>
      </w:r>
      <w:r w:rsidR="00941037">
        <w:t xml:space="preserve"> </w:t>
      </w:r>
      <w:r w:rsidR="006E5E93">
        <w:t xml:space="preserve">Further details on the process modelling approach are provided in </w:t>
      </w:r>
      <w:r w:rsidR="006E5E93" w:rsidRPr="006E5E93">
        <w:rPr>
          <w:b/>
        </w:rPr>
        <w:t>Section 1</w:t>
      </w:r>
      <w:r w:rsidR="006E5E93">
        <w:t xml:space="preserve"> of the ESI.</w:t>
      </w:r>
    </w:p>
    <w:p w14:paraId="1AF3E3F5" w14:textId="698E5F35" w:rsidR="00870D5C" w:rsidRDefault="00941037" w:rsidP="00870D5C">
      <w:pPr>
        <w:pStyle w:val="RSCB08CHeadingIn-line"/>
      </w:pPr>
      <w:r>
        <w:t>Techno</w:t>
      </w:r>
      <w:r>
        <w:noBreakHyphen/>
        <w:t>economic analysis</w:t>
      </w:r>
    </w:p>
    <w:p w14:paraId="66647700" w14:textId="2ECD9E97" w:rsidR="000B0346" w:rsidRDefault="006E5E93" w:rsidP="00A66C59">
      <w:pPr>
        <w:pStyle w:val="RSCB02ArticleText"/>
        <w:spacing w:after="240"/>
      </w:pPr>
      <w:r>
        <w:t>The techno</w:t>
      </w:r>
      <w:r>
        <w:noBreakHyphen/>
        <w:t>economic assessment was based on simulation outputs, which provided essential mass and energy flow data and equipment sizing for each production technology. Operational expenditures (OPEX) and capital expenditures (CAPEX) were estimated</w:t>
      </w:r>
      <w:r w:rsidR="004B02E4">
        <w:t xml:space="preserve"> to estimate the production cost </w:t>
      </w:r>
      <w:r w:rsidR="001447F0">
        <w:t>associated</w:t>
      </w:r>
      <w:r w:rsidR="004B02E4">
        <w:t xml:space="preserve"> </w:t>
      </w:r>
      <w:r w:rsidR="001447F0">
        <w:t>with</w:t>
      </w:r>
      <w:r w:rsidR="004B02E4">
        <w:t xml:space="preserve"> each production pathway</w:t>
      </w:r>
      <w:r>
        <w:t xml:space="preserve">. The 2022 base case used feedstock and utility prices shown in </w:t>
      </w:r>
      <w:r w:rsidRPr="001447F0">
        <w:rPr>
          <w:b/>
        </w:rPr>
        <w:t>Table S4</w:t>
      </w:r>
      <w:r w:rsidR="00907F49">
        <w:t xml:space="preserve"> of the ESI</w:t>
      </w:r>
      <w:r>
        <w:t xml:space="preserve">. For future projections to 2050, a prospective analysis was conducted, acknowledging uncertainties. </w:t>
      </w:r>
      <w:r w:rsidRPr="009E6AEB">
        <w:rPr>
          <w:b/>
        </w:rPr>
        <w:t>Table S5</w:t>
      </w:r>
      <w:r>
        <w:t xml:space="preserve"> </w:t>
      </w:r>
      <w:r w:rsidR="00F070C1">
        <w:t xml:space="preserve">of the ESI </w:t>
      </w:r>
      <w:r>
        <w:t xml:space="preserve">details the adjusted feedstock and utility prices used for 2050. </w:t>
      </w:r>
      <w:r w:rsidR="004B02E4">
        <w:lastRenderedPageBreak/>
        <w:t>A full description of the techno</w:t>
      </w:r>
      <w:r w:rsidR="004B02E4">
        <w:noBreakHyphen/>
        <w:t xml:space="preserve">economic methodology is provided in </w:t>
      </w:r>
      <w:r w:rsidR="004B02E4" w:rsidRPr="009E6AEB">
        <w:rPr>
          <w:b/>
        </w:rPr>
        <w:t>Section 2</w:t>
      </w:r>
      <w:r w:rsidR="004B02E4">
        <w:t xml:space="preserve"> of the ESI.</w:t>
      </w:r>
    </w:p>
    <w:p w14:paraId="0FCB1504" w14:textId="58075060" w:rsidR="00A66C59" w:rsidRDefault="00987D89" w:rsidP="00A66C59">
      <w:pPr>
        <w:pStyle w:val="RSCB08CHeadingIn-line"/>
      </w:pPr>
      <w:r>
        <w:t>Life cycle assessment</w:t>
      </w:r>
    </w:p>
    <w:p w14:paraId="7CF1FBCA" w14:textId="364E5706" w:rsidR="00A66C59" w:rsidRDefault="00987D89" w:rsidP="003E611A">
      <w:pPr>
        <w:pStyle w:val="RSCB02ArticleText"/>
        <w:spacing w:after="240"/>
      </w:pPr>
      <w:r>
        <w:t>The life cycle assessment (LCA) followed ISO 14040/14044 standards</w:t>
      </w:r>
      <w:r w:rsidR="00AB30BE">
        <w:fldChar w:fldCharType="begin"/>
      </w:r>
      <w:r w:rsidR="00AB30BE">
        <w:instrText xml:space="preserve"> ADDIN ZOTERO_ITEM CSL_CITATION {"citationID":"MDM18fGG","properties":{"formattedCitation":"\\super 1,2\\nosupersub{}","plainCitation":"1,2","noteIndex":0},"citationItems":[{"id":158,"uris":["http://zotero.org/users/17660607/items/RMFW3UCS"],"itemData":{"id":158,"type":"report","title":"In ISO 14040:2006 Environmental Management--Life Cycle Assessment--Principles and Framework","author":[{"literal":"International Standards Organization"}],"issued":{"date-parts":[["2006"]]}},"locator":"14040"},{"id":159,"uris":["http://zotero.org/users/17660607/items/RVD2QGLU"],"itemData":{"id":159,"type":"report","title":"In ISO 14044:2006 Environmental Management--Life Cycle Assessment--Requirements and Guidelines","author":[{"literal":"International StandardsOrganization"}],"issued":{"date-parts":[["2006"]]}},"locator":"14044"}],"schema":"https://github.com/citation-style-language/schema/raw/master/csl-citation.json"} </w:instrText>
      </w:r>
      <w:r w:rsidR="00AB30BE">
        <w:fldChar w:fldCharType="separate"/>
      </w:r>
      <w:r w:rsidR="00AB30BE" w:rsidRPr="00AB30BE">
        <w:rPr>
          <w:rFonts w:ascii="Calibri" w:hAnsi="Calibri" w:cs="Calibri"/>
          <w:szCs w:val="24"/>
          <w:vertAlign w:val="superscript"/>
        </w:rPr>
        <w:t>1,2</w:t>
      </w:r>
      <w:r w:rsidR="00AB30BE">
        <w:fldChar w:fldCharType="end"/>
      </w:r>
      <w:r>
        <w:t xml:space="preserve"> and was performed using an attributional cradle</w:t>
      </w:r>
      <w:r>
        <w:noBreakHyphen/>
        <w:t>to</w:t>
      </w:r>
      <w:r>
        <w:noBreakHyphen/>
        <w:t xml:space="preserve">gate approach, assuming </w:t>
      </w:r>
      <w:r w:rsidR="000F334E">
        <w:t>a</w:t>
      </w:r>
      <w:r>
        <w:t xml:space="preserve"> functional unit defined as 1 kg of chemical (N</w:t>
      </w:r>
      <w:r w:rsidRPr="000F334E">
        <w:rPr>
          <w:vertAlign w:val="subscript"/>
        </w:rPr>
        <w:t>2</w:t>
      </w:r>
      <w:r>
        <w:t>O, H</w:t>
      </w:r>
      <w:r w:rsidRPr="000F334E">
        <w:rPr>
          <w:vertAlign w:val="subscript"/>
        </w:rPr>
        <w:t>2</w:t>
      </w:r>
      <w:r>
        <w:t>O</w:t>
      </w:r>
      <w:r w:rsidRPr="000F334E">
        <w:rPr>
          <w:vertAlign w:val="subscript"/>
        </w:rPr>
        <w:t>2</w:t>
      </w:r>
      <w:r>
        <w:t xml:space="preserve">, or phenol). Foreground data were obtained from process simulations, while background data were extracted from the </w:t>
      </w:r>
      <w:r w:rsidR="00AB30BE">
        <w:t>E</w:t>
      </w:r>
      <w:r>
        <w:t>coinvent v3.10 database.</w:t>
      </w:r>
      <w:r w:rsidR="00AB30BE">
        <w:fldChar w:fldCharType="begin"/>
      </w:r>
      <w:r w:rsidR="00AB30BE">
        <w:instrText xml:space="preserve"> ADDIN ZOTERO_ITEM CSL_CITATION {"citationID":"ihbgmfxP","properties":{"formattedCitation":"\\super 3\\nosupersub{}","plainCitation":"3","noteIndex":0},"citationItems":[{"id":492,"uris":["http://zotero.org/users/17660607/items/U7RQJCT5"],"itemData":{"id":492,"type":"article-journal","abstract":"Purpose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AB30BE">
        <w:fldChar w:fldCharType="separate"/>
      </w:r>
      <w:r w:rsidR="00AB30BE" w:rsidRPr="00AB30BE">
        <w:rPr>
          <w:rFonts w:ascii="Calibri" w:hAnsi="Calibri" w:cs="Calibri"/>
          <w:szCs w:val="24"/>
          <w:vertAlign w:val="superscript"/>
        </w:rPr>
        <w:t>3</w:t>
      </w:r>
      <w:r w:rsidR="00AB30BE">
        <w:fldChar w:fldCharType="end"/>
      </w:r>
      <w:r>
        <w:t xml:space="preserve"> Climate change impacts (</w:t>
      </w:r>
      <w:r>
        <w:rPr>
          <w:i/>
        </w:rPr>
        <w:t>i.e.</w:t>
      </w:r>
      <w:r>
        <w:t>, GHG emissions) were calculated using the IPCC 2021 global warming potentials over a 100</w:t>
      </w:r>
      <w:r>
        <w:noBreakHyphen/>
        <w:t>year average.</w:t>
      </w:r>
      <w:r w:rsidR="00AB30BE">
        <w:fldChar w:fldCharType="begin"/>
      </w:r>
      <w:r w:rsidR="00AB30BE">
        <w:instrText xml:space="preserve"> ADDIN ZOTERO_ITEM CSL_CITATION {"citationID":"lcr9lkfD","properties":{"formattedCitation":"\\super 4\\nosupersub{}","plainCitation":"4","noteIndex":0},"citationItems":[{"id":651,"uris":["http://zotero.org/users/17660607/items/4KIXSINV"],"itemData":{"id":651,"type":"chapter","container-title":"Climate Change 2022 - Mitigation of Climate Change","edition":"1","ISBN":"978-1-00-915792-6","language":"en","license":"https://www.cambridge.org/core/terms","note":"DOI: 10.1017/9781009157926.019","page":"1727-1790","publisher":"Cambridge University Press","source":"DOI.org (Crossref)","title":"Accelerating the Transition in the Context of Sustainable Development","URL":"https://www.cambridge.org/core/product/identifier/9781009157926%23c17/type/book_part","editor":[{"literal":"Intergovernmental Panel on Climate Change (IPCC)"}],"accessed":{"date-parts":[["2024",12,24]]},"issued":{"date-parts":[["2023",8,17]]}}}],"schema":"https://github.com/citation-style-language/schema/raw/master/csl-citation.json"} </w:instrText>
      </w:r>
      <w:r w:rsidR="00AB30BE">
        <w:fldChar w:fldCharType="separate"/>
      </w:r>
      <w:r w:rsidR="00AB30BE" w:rsidRPr="00AB30BE">
        <w:rPr>
          <w:rFonts w:ascii="Calibri" w:hAnsi="Calibri" w:cs="Calibri"/>
          <w:szCs w:val="24"/>
          <w:vertAlign w:val="superscript"/>
        </w:rPr>
        <w:t>4</w:t>
      </w:r>
      <w:r w:rsidR="00AB30BE">
        <w:fldChar w:fldCharType="end"/>
      </w:r>
      <w:r>
        <w:t xml:space="preserve"> Additionally, the ReCiPe 2016 v1.03 method was used to evaluate impacts on human health, ecosystems, and resource depletion.</w:t>
      </w:r>
      <w:r w:rsidR="00AB30BE">
        <w:fldChar w:fldCharType="begin"/>
      </w:r>
      <w:r w:rsidR="00AB30BE">
        <w:instrText xml:space="preserve"> ADDIN ZOTERO_ITEM CSL_CITATION {"citationID":"J4cqzn9Y","properties":{"formattedCitation":"\\super 5\\nosupersub{}","plainCitation":"5","noteIndex":0},"citationItems":[{"id":160,"uris":["http://zotero.org/users/17660607/items/YI7VGP6V"],"itemData":{"id":160,"type":"article-journal","abstract":"Purpose: 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 Methods: We implemented human health, ecosystem quality and resource scarcity as three areas of protection. Endpoint characterisation factors, directly related to the areas of protection, were derived from midpoint characterisation factors with a constant mid-to-endpoint factor per impact category. We included 17 midpoint impact categories. Results and discussion: The update of ReCiPe provides characterisation factors that are representative for the global scale instead of the European scale, while maintaining the possibility for a number of impact categories to implement characterisation factors at a country and continental scale. We also expanded the number of environmental interventions and added impacts of water use on human health, impacts of water use and climate change on freshwater ecosystems and impacts of water use and tropospheric ozone formation on terrestrial ecosystems as novel damage pathways. Although significant effort has been put into the update of ReCiPe, there is still major improvement potential in the way impact pathways are modelled. Further improvements relate to a regionalisation of more impact categories, moving from local to global species extinction and adding more impact pathways. Conclusions: Life cycle impact assessment is a fast evolving field of research. ReCiPe2016 provides a state-of-the-art method to convert life cycle inventories to a limited number of life cycle impact scores on midpoint and endpoint level.","container-title":"International Journal of Life Cycle Assessment","DOI":"10.1007/s11367-016-1246-y","ISSN":"16147502","issue":"2","note":"publisher: Springer Verlag","page":"138-147","title":"ReCiPe2016: a harmonised life cycle impact assessment method at midpoint and endpoint level","volume":"22","author":[{"family":"Huijbregts","given":"Mark A.J."},{"family":"Steinmann","given":"Zoran J.N."},{"family":"Elshout","given":"Pieter M.F."},{"family":"Stam","given":"Gea"},{"family":"Verones","given":"Francesca"},{"family":"Vieira","given":"Marisa"},{"family":"Zijp","given":"Michiel"},{"family":"Hollander","given":"Anne"},{"family":"Zelm","given":"Rosalie","non-dropping-particle":"van"}],"issued":{"date-parts":[["2017",2,1]]}}}],"schema":"https://github.com/citation-style-language/schema/raw/master/csl-citation.json"} </w:instrText>
      </w:r>
      <w:r w:rsidR="00AB30BE">
        <w:fldChar w:fldCharType="separate"/>
      </w:r>
      <w:r w:rsidR="00AB30BE" w:rsidRPr="00AB30BE">
        <w:rPr>
          <w:rFonts w:ascii="Calibri" w:hAnsi="Calibri" w:cs="Calibri"/>
          <w:szCs w:val="24"/>
          <w:vertAlign w:val="superscript"/>
        </w:rPr>
        <w:t>5</w:t>
      </w:r>
      <w:r w:rsidR="00AB30BE">
        <w:fldChar w:fldCharType="end"/>
      </w:r>
      <w:r>
        <w:t xml:space="preserve"> </w:t>
      </w:r>
      <w:r w:rsidRPr="00D34C48">
        <w:rPr>
          <w:b/>
        </w:rPr>
        <w:t>Table S6–S8</w:t>
      </w:r>
      <w:r>
        <w:t xml:space="preserve"> </w:t>
      </w:r>
      <w:r w:rsidR="00D34C48">
        <w:t xml:space="preserve">of the ESI </w:t>
      </w:r>
      <w:r>
        <w:t>provide life cycle inventories for each chemical</w:t>
      </w:r>
      <w:r w:rsidR="00D34C48">
        <w:t xml:space="preserve"> production route</w:t>
      </w:r>
      <w:r>
        <w:t xml:space="preserve">. For 2050 projections, a prospective LCA was conducted using </w:t>
      </w:r>
      <w:r>
        <w:rPr>
          <w:i/>
        </w:rPr>
        <w:t>premise</w:t>
      </w:r>
      <w:r>
        <w:t> v2.1.3 framework,</w:t>
      </w:r>
      <w:r w:rsidR="00645B76">
        <w:fldChar w:fldCharType="begin"/>
      </w:r>
      <w:r w:rsidR="00645B76">
        <w:instrText xml:space="preserve"> ADDIN ZOTERO_ITEM CSL_CITATION {"citationID":"DwupVMWF","properties":{"formattedCitation":"\\super 6\\nosupersub{}","plainCitation":"6","noteIndex":0},"citationItems":[{"id":289,"uris":["http://zotero.org/users/17660607/items/2K4ECVXA"],"itemData":{"id":289,"type":"article-journal","abstract":"Prospective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645B76">
        <w:fldChar w:fldCharType="separate"/>
      </w:r>
      <w:r w:rsidR="00645B76" w:rsidRPr="00645B76">
        <w:rPr>
          <w:rFonts w:ascii="Calibri" w:hAnsi="Calibri" w:cs="Calibri"/>
          <w:szCs w:val="24"/>
          <w:vertAlign w:val="superscript"/>
        </w:rPr>
        <w:t>6</w:t>
      </w:r>
      <w:r w:rsidR="00645B76">
        <w:fldChar w:fldCharType="end"/>
      </w:r>
      <w:r w:rsidR="000F334E">
        <w:t xml:space="preserve"> integrated with </w:t>
      </w:r>
      <w:r w:rsidR="00D34C48">
        <w:t xml:space="preserve">data derived from </w:t>
      </w:r>
      <w:r w:rsidR="000F334E">
        <w:t xml:space="preserve">Integrated Assessment Models (IAMs). Detailed information on the LCA framework and assumptions can be found in </w:t>
      </w:r>
      <w:r w:rsidR="000F334E" w:rsidRPr="00D34C48">
        <w:rPr>
          <w:b/>
        </w:rPr>
        <w:t>Section 3</w:t>
      </w:r>
      <w:r w:rsidR="000F334E">
        <w:t xml:space="preserve"> of the </w:t>
      </w:r>
      <w:r w:rsidR="00907F49">
        <w:t>ESI</w:t>
      </w:r>
      <w:r w:rsidR="000F334E">
        <w:t>.</w:t>
      </w:r>
    </w:p>
    <w:p w14:paraId="7C2A315C" w14:textId="503283C8" w:rsidR="003E611A" w:rsidRDefault="002A646F" w:rsidP="003E611A">
      <w:pPr>
        <w:pStyle w:val="RSCB08CHeadingIn-line"/>
      </w:pPr>
      <w:r>
        <w:t>Safety assessment</w:t>
      </w:r>
    </w:p>
    <w:p w14:paraId="79B494F9" w14:textId="19280114" w:rsidR="003E611A" w:rsidRPr="00117543" w:rsidRDefault="002A646F" w:rsidP="003E611A">
      <w:pPr>
        <w:pStyle w:val="RSCB02ArticleText"/>
      </w:pPr>
      <w:r>
        <w:t>Safety metrics were evaluated using the Dow Fire and Explosion Index (F&amp;EI) and the trinitrotoluene (TNT)</w:t>
      </w:r>
      <w:r w:rsidR="00117543">
        <w:t xml:space="preserve"> equivalency method.</w:t>
      </w:r>
      <w:r w:rsidR="005126D8">
        <w:fldChar w:fldCharType="begin"/>
      </w:r>
      <w:r w:rsidR="005126D8">
        <w:instrText xml:space="preserve"> ADDIN ZOTERO_ITEM CSL_CITATION {"citationID":"K93Wuplf","properties":{"formattedCitation":"\\super 7,8\\nosupersub{}","plainCitation":"7,8","noteIndex":0},"citationItems":[{"id":779,"uris":["http://zotero.org/users/17660607/items/BAAZLU94"],"itemData":{"id":779,"type":"book","collection-title":"AIChE technical manual","edition":"7th ed","event-place":"Hoboken","ISBN":"978-0-8169-0623-9","language":"en","number-of-pages":"89","publisher":"John Wiley &amp; Sons, Inc","publisher-place":"Hoboken","source":"K10plus ISBN","title":"Dow's Fire &amp; Explosion Index Hazard Classification Guide","author":[{"family":"American Institute of Chemical Engineers","given":""}],"issued":{"date-parts":[["2010"]]}}},{"id":781,"uris":["http://zotero.org/users/17660607/items/E84FHRXR"],"itemData":{"id":781,"type":"book","call-number":"TP155.5 .C76 2011","collection-title":"Prentice Hall international series in the physical and chemical engineering sciences","edition":"3rd ed","event-place":"Upper Saddle River, NJ","ISBN":"978-0-13-138226-8","language":"en","note":"OCLC: ocn676726134","number-of-pages":"723","publisher":"Prentice Hall","publisher-place":"Upper Saddle River, NJ","source":"Library of Congress ISBN","title":"Chemical process safety: fundamentals with applications","title-short":"Chemical process safety","author":[{"family":"Crowl","given":"Daniel A."},{"family":"Louvar","given":"Joseph F."}],"issued":{"date-parts":[["2011"]]}}}],"schema":"https://github.com/citation-style-language/schema/raw/master/csl-citation.json"} </w:instrText>
      </w:r>
      <w:r w:rsidR="005126D8">
        <w:fldChar w:fldCharType="separate"/>
      </w:r>
      <w:r w:rsidR="005126D8" w:rsidRPr="005126D8">
        <w:rPr>
          <w:rFonts w:ascii="Calibri" w:hAnsi="Calibri" w:cs="Calibri"/>
          <w:szCs w:val="24"/>
          <w:vertAlign w:val="superscript"/>
        </w:rPr>
        <w:t>7,8</w:t>
      </w:r>
      <w:r w:rsidR="005126D8">
        <w:fldChar w:fldCharType="end"/>
      </w:r>
      <w:r w:rsidR="00117543">
        <w:t xml:space="preserve"> The Dow F&amp;EI, applied to N</w:t>
      </w:r>
      <w:r w:rsidR="00117543" w:rsidRPr="00117543">
        <w:rPr>
          <w:vertAlign w:val="subscript"/>
        </w:rPr>
        <w:t>2</w:t>
      </w:r>
      <w:r w:rsidR="00117543">
        <w:t>O and H</w:t>
      </w:r>
      <w:r w:rsidR="00117543" w:rsidRPr="00117543">
        <w:rPr>
          <w:vertAlign w:val="subscript"/>
        </w:rPr>
        <w:t>2</w:t>
      </w:r>
      <w:r w:rsidR="00117543">
        <w:t>O</w:t>
      </w:r>
      <w:r w:rsidR="00117543" w:rsidRPr="00117543">
        <w:rPr>
          <w:vertAlign w:val="subscript"/>
        </w:rPr>
        <w:t>2</w:t>
      </w:r>
      <w:r w:rsidR="00117543">
        <w:t xml:space="preserve"> production technologies, quantifies fire and explosion hazards based on material characteristics, process conditions, and equipment configurations. The Dow F&amp;EI values, presented in </w:t>
      </w:r>
      <w:r w:rsidR="00117543" w:rsidRPr="005D25B1">
        <w:rPr>
          <w:b/>
        </w:rPr>
        <w:t>Table S9</w:t>
      </w:r>
      <w:r w:rsidR="005D25B1">
        <w:t xml:space="preserve"> of the ESI</w:t>
      </w:r>
      <w:r w:rsidR="00117543">
        <w:t>, allow classification into hazard categories (</w:t>
      </w:r>
      <w:r w:rsidR="00117543">
        <w:rPr>
          <w:i/>
        </w:rPr>
        <w:t>e.g.</w:t>
      </w:r>
      <w:r w:rsidR="00117543">
        <w:t>, light, moderate, severe), aiding risk management and insurance planning. Additionally, the TNT equivalency framework was employed to compare the explosion energy potential of various feedstocks used</w:t>
      </w:r>
      <w:r w:rsidR="001B7B10">
        <w:t>,</w:t>
      </w:r>
      <w:r w:rsidR="00117543">
        <w:t xml:space="preserve"> providing a</w:t>
      </w:r>
      <w:r w:rsidR="001B7B10">
        <w:t>n</w:t>
      </w:r>
      <w:r w:rsidR="00117543">
        <w:t xml:space="preserve"> effective metric for assessing the relative hazard of different production routes</w:t>
      </w:r>
      <w:r w:rsidR="00B178FB">
        <w:t xml:space="preserve"> (see </w:t>
      </w:r>
      <w:r w:rsidR="00B178FB" w:rsidRPr="00B178FB">
        <w:rPr>
          <w:b/>
        </w:rPr>
        <w:t>Table S10</w:t>
      </w:r>
      <w:r w:rsidR="00B178FB">
        <w:t xml:space="preserve"> of the ESI)</w:t>
      </w:r>
      <w:r w:rsidR="00117543">
        <w:t xml:space="preserve">. Further details on </w:t>
      </w:r>
      <w:r w:rsidR="001B7B10">
        <w:t xml:space="preserve">the </w:t>
      </w:r>
      <w:r w:rsidR="00117543">
        <w:t xml:space="preserve">safety assessment are presented in </w:t>
      </w:r>
      <w:r w:rsidR="00117543" w:rsidRPr="00CE4307">
        <w:rPr>
          <w:b/>
        </w:rPr>
        <w:t>Section 4</w:t>
      </w:r>
      <w:r w:rsidR="00117543">
        <w:t xml:space="preserve"> of the ESI.</w:t>
      </w:r>
    </w:p>
    <w:p w14:paraId="6F80E14C" w14:textId="0713D64A" w:rsidR="000B0346" w:rsidRDefault="000B0346" w:rsidP="000B0346">
      <w:pPr>
        <w:pStyle w:val="RSCB04AHeadingSection"/>
      </w:pPr>
      <w:r>
        <w:t>Results and discussion</w:t>
      </w:r>
    </w:p>
    <w:p w14:paraId="1F107F12" w14:textId="7B7050DA" w:rsidR="00F46A20" w:rsidRDefault="009D3329" w:rsidP="00F46A20">
      <w:pPr>
        <w:pStyle w:val="RSCB08CHeadingIn-line"/>
      </w:pPr>
      <w:r>
        <w:t>Economic and environmental performance of N</w:t>
      </w:r>
      <w:r w:rsidRPr="009D3329">
        <w:rPr>
          <w:vertAlign w:val="subscript"/>
        </w:rPr>
        <w:t>2</w:t>
      </w:r>
      <w:r>
        <w:t>O production pathways from fossil and green NH</w:t>
      </w:r>
      <w:r w:rsidRPr="009D3329">
        <w:rPr>
          <w:vertAlign w:val="subscript"/>
        </w:rPr>
        <w:t>3</w:t>
      </w:r>
    </w:p>
    <w:p w14:paraId="3E5025FB" w14:textId="261184D6" w:rsidR="000B0346" w:rsidRDefault="002A3FBD" w:rsidP="000B0346">
      <w:pPr>
        <w:pStyle w:val="RSCB02ArticleText"/>
      </w:pPr>
      <w:r>
        <w:t>This section evaluates the economic performance and climate change impacts of two N</w:t>
      </w:r>
      <w:r w:rsidRPr="008879D1">
        <w:rPr>
          <w:vertAlign w:val="subscript"/>
        </w:rPr>
        <w:t>2</w:t>
      </w:r>
      <w:r>
        <w:t>O production technologies: direct one</w:t>
      </w:r>
      <w:r>
        <w:noBreakHyphen/>
        <w:t>step oxidation of NH</w:t>
      </w:r>
      <w:r w:rsidRPr="008879D1">
        <w:rPr>
          <w:vertAlign w:val="subscript"/>
        </w:rPr>
        <w:t>3</w:t>
      </w:r>
      <w:r>
        <w:t xml:space="preserve"> and conventional five</w:t>
      </w:r>
      <w:r>
        <w:noBreakHyphen/>
        <w:t>step thermal decomposition of NH</w:t>
      </w:r>
      <w:r w:rsidRPr="008879D1">
        <w:rPr>
          <w:vertAlign w:val="subscript"/>
        </w:rPr>
        <w:t>4</w:t>
      </w:r>
      <w:r>
        <w:t>NO</w:t>
      </w:r>
      <w:r w:rsidRPr="008879D1">
        <w:rPr>
          <w:vertAlign w:val="subscript"/>
        </w:rPr>
        <w:t>3</w:t>
      </w:r>
      <w:r>
        <w:t xml:space="preserve">, using both fossil (from natural gas reforming) and green </w:t>
      </w:r>
      <w:r w:rsidR="008879D1">
        <w:t>(utilizing electrolytic H</w:t>
      </w:r>
      <w:r w:rsidR="008879D1" w:rsidRPr="008879D1">
        <w:rPr>
          <w:vertAlign w:val="subscript"/>
        </w:rPr>
        <w:t>2</w:t>
      </w:r>
      <w:r w:rsidR="008879D1">
        <w:t>) NH</w:t>
      </w:r>
      <w:r w:rsidR="008879D1" w:rsidRPr="008879D1">
        <w:rPr>
          <w:vertAlign w:val="subscript"/>
        </w:rPr>
        <w:t>3</w:t>
      </w:r>
      <w:r w:rsidR="008879D1">
        <w:t xml:space="preserve"> as inputs.</w:t>
      </w:r>
    </w:p>
    <w:p w14:paraId="296802C3" w14:textId="6B8BB375" w:rsidR="008879D1" w:rsidRDefault="008879D1" w:rsidP="008879D1">
      <w:pPr>
        <w:pStyle w:val="RSCB02ArticleText"/>
        <w:ind w:firstLine="284"/>
        <w:rPr>
          <w:rStyle w:val="06CHeading"/>
          <w:rFonts w:asciiTheme="minorHAnsi" w:hAnsiTheme="minorHAnsi"/>
          <w:b w:val="0"/>
          <w:smallCaps w:val="0"/>
        </w:rPr>
      </w:pPr>
      <w:r>
        <w:rPr>
          <w:rStyle w:val="06CHeading"/>
          <w:rFonts w:asciiTheme="minorHAnsi" w:hAnsiTheme="minorHAnsi"/>
          <w:b w:val="0"/>
          <w:smallCaps w:val="0"/>
        </w:rPr>
        <w:t xml:space="preserve">As shown in </w:t>
      </w:r>
      <w:r w:rsidRPr="008879D1">
        <w:rPr>
          <w:rStyle w:val="06CHeading"/>
          <w:rFonts w:asciiTheme="minorHAnsi" w:hAnsiTheme="minorHAnsi"/>
          <w:smallCaps w:val="0"/>
        </w:rPr>
        <w:t>Fig. 2a</w:t>
      </w:r>
      <w:r>
        <w:rPr>
          <w:rStyle w:val="06CHeading"/>
          <w:rFonts w:asciiTheme="minorHAnsi" w:hAnsiTheme="minorHAnsi"/>
          <w:b w:val="0"/>
          <w:smallCaps w:val="0"/>
        </w:rPr>
        <w:t>, the one</w:t>
      </w:r>
      <w:r>
        <w:rPr>
          <w:rStyle w:val="06CHeading"/>
          <w:rFonts w:asciiTheme="minorHAnsi" w:hAnsiTheme="minorHAnsi"/>
          <w:b w:val="0"/>
          <w:smallCaps w:val="0"/>
        </w:rPr>
        <w:noBreakHyphen/>
        <w:t>step NH</w:t>
      </w:r>
      <w:r w:rsidRPr="008879D1">
        <w:rPr>
          <w:rStyle w:val="06CHeading"/>
          <w:rFonts w:asciiTheme="minorHAnsi" w:hAnsiTheme="minorHAnsi"/>
          <w:b w:val="0"/>
          <w:smallCaps w:val="0"/>
          <w:vertAlign w:val="subscript"/>
        </w:rPr>
        <w:t>3</w:t>
      </w:r>
      <w:r>
        <w:rPr>
          <w:rStyle w:val="06CHeading"/>
          <w:rFonts w:asciiTheme="minorHAnsi" w:hAnsiTheme="minorHAnsi"/>
          <w:b w:val="0"/>
          <w:smallCaps w:val="0"/>
        </w:rPr>
        <w:t xml:space="preserve"> oxidation route consistently demonstrates lower production costs compared to the five</w:t>
      </w:r>
      <w:r>
        <w:rPr>
          <w:rStyle w:val="06CHeading"/>
          <w:rFonts w:asciiTheme="minorHAnsi" w:hAnsiTheme="minorHAnsi"/>
          <w:b w:val="0"/>
          <w:smallCaps w:val="0"/>
        </w:rPr>
        <w:noBreakHyphen/>
        <w:t>step thermal decomposition pathway. The total cost of N</w:t>
      </w:r>
      <w:r w:rsidRPr="00D55E28">
        <w:rPr>
          <w:rStyle w:val="06CHeading"/>
          <w:rFonts w:asciiTheme="minorHAnsi" w:hAnsiTheme="minorHAnsi"/>
          <w:b w:val="0"/>
          <w:smallCaps w:val="0"/>
          <w:vertAlign w:val="subscript"/>
        </w:rPr>
        <w:t>2</w:t>
      </w:r>
      <w:r>
        <w:rPr>
          <w:rStyle w:val="06CHeading"/>
          <w:rFonts w:asciiTheme="minorHAnsi" w:hAnsiTheme="minorHAnsi"/>
          <w:b w:val="0"/>
          <w:smallCaps w:val="0"/>
        </w:rPr>
        <w:t>O is 0.6 USD kg</w:t>
      </w:r>
      <w:r w:rsidRPr="008879D1">
        <w:rPr>
          <w:rStyle w:val="06CHeading"/>
          <w:rFonts w:asciiTheme="minorHAnsi" w:hAnsiTheme="minorHAnsi"/>
          <w:b w:val="0"/>
          <w:smallCaps w:val="0"/>
          <w:vertAlign w:val="superscript"/>
        </w:rPr>
        <w:t>–1</w:t>
      </w:r>
      <w:r>
        <w:rPr>
          <w:rStyle w:val="06CHeading"/>
          <w:rFonts w:asciiTheme="minorHAnsi" w:hAnsiTheme="minorHAnsi"/>
          <w:b w:val="0"/>
          <w:smallCaps w:val="0"/>
        </w:rPr>
        <w:t xml:space="preserve"> for the one</w:t>
      </w:r>
      <w:r>
        <w:rPr>
          <w:rStyle w:val="06CHeading"/>
          <w:rFonts w:asciiTheme="minorHAnsi" w:hAnsiTheme="minorHAnsi"/>
          <w:b w:val="0"/>
          <w:smallCaps w:val="0"/>
        </w:rPr>
        <w:noBreakHyphen/>
        <w:t>step fossil scenario and 1.2 USD kg</w:t>
      </w:r>
      <w:r w:rsidRPr="008879D1">
        <w:rPr>
          <w:rStyle w:val="06CHeading"/>
          <w:rFonts w:asciiTheme="minorHAnsi" w:hAnsiTheme="minorHAnsi"/>
          <w:b w:val="0"/>
          <w:smallCaps w:val="0"/>
          <w:vertAlign w:val="superscript"/>
        </w:rPr>
        <w:t>–1</w:t>
      </w:r>
      <w:r>
        <w:rPr>
          <w:rStyle w:val="06CHeading"/>
          <w:rFonts w:asciiTheme="minorHAnsi" w:hAnsiTheme="minorHAnsi"/>
          <w:b w:val="0"/>
          <w:smallCaps w:val="0"/>
        </w:rPr>
        <w:t xml:space="preserve"> for the green scenario, compared to 0.9 USD kg</w:t>
      </w:r>
      <w:r w:rsidRPr="008879D1">
        <w:rPr>
          <w:rStyle w:val="06CHeading"/>
          <w:rFonts w:asciiTheme="minorHAnsi" w:hAnsiTheme="minorHAnsi"/>
          <w:b w:val="0"/>
          <w:smallCaps w:val="0"/>
          <w:vertAlign w:val="superscript"/>
        </w:rPr>
        <w:t>–1</w:t>
      </w:r>
      <w:r>
        <w:rPr>
          <w:rStyle w:val="06CHeading"/>
          <w:rFonts w:asciiTheme="minorHAnsi" w:hAnsiTheme="minorHAnsi"/>
          <w:b w:val="0"/>
          <w:smallCaps w:val="0"/>
        </w:rPr>
        <w:t xml:space="preserve"> and 1.4 USD kg</w:t>
      </w:r>
      <w:r w:rsidRPr="008879D1">
        <w:rPr>
          <w:rStyle w:val="06CHeading"/>
          <w:rFonts w:asciiTheme="minorHAnsi" w:hAnsiTheme="minorHAnsi"/>
          <w:b w:val="0"/>
          <w:smallCaps w:val="0"/>
          <w:vertAlign w:val="superscript"/>
        </w:rPr>
        <w:t>–1</w:t>
      </w:r>
      <w:r>
        <w:rPr>
          <w:rStyle w:val="06CHeading"/>
          <w:rFonts w:asciiTheme="minorHAnsi" w:hAnsiTheme="minorHAnsi"/>
          <w:b w:val="0"/>
          <w:smallCaps w:val="0"/>
        </w:rPr>
        <w:t xml:space="preserve"> for the corresponding five</w:t>
      </w:r>
      <w:r>
        <w:rPr>
          <w:rStyle w:val="06CHeading"/>
          <w:rFonts w:asciiTheme="minorHAnsi" w:hAnsiTheme="minorHAnsi"/>
          <w:b w:val="0"/>
          <w:smallCaps w:val="0"/>
        </w:rPr>
        <w:noBreakHyphen/>
        <w:t>step cases. The cost advantage of the one</w:t>
      </w:r>
      <w:r>
        <w:rPr>
          <w:rStyle w:val="06CHeading"/>
          <w:rFonts w:asciiTheme="minorHAnsi" w:hAnsiTheme="minorHAnsi"/>
          <w:b w:val="0"/>
          <w:smallCaps w:val="0"/>
        </w:rPr>
        <w:noBreakHyphen/>
        <w:t>step route is mainly attributed to its lower electricity</w:t>
      </w:r>
      <w:r w:rsidR="00D55E28">
        <w:rPr>
          <w:rStyle w:val="06CHeading"/>
          <w:rFonts w:asciiTheme="minorHAnsi" w:hAnsiTheme="minorHAnsi"/>
          <w:b w:val="0"/>
          <w:smallCaps w:val="0"/>
        </w:rPr>
        <w:t xml:space="preserve"> consumption,</w:t>
      </w:r>
      <w:r>
        <w:rPr>
          <w:rStyle w:val="06CHeading"/>
          <w:rFonts w:asciiTheme="minorHAnsi" w:hAnsiTheme="minorHAnsi"/>
          <w:b w:val="0"/>
          <w:smallCaps w:val="0"/>
        </w:rPr>
        <w:t xml:space="preserve"> primarily due to </w:t>
      </w:r>
      <w:r w:rsidR="007E0CFD">
        <w:rPr>
          <w:rStyle w:val="06CHeading"/>
          <w:rFonts w:asciiTheme="minorHAnsi" w:hAnsiTheme="minorHAnsi"/>
          <w:b w:val="0"/>
          <w:smallCaps w:val="0"/>
        </w:rPr>
        <w:t>minimal pressure fluctuations</w:t>
      </w:r>
      <w:r>
        <w:rPr>
          <w:rStyle w:val="06CHeading"/>
          <w:rFonts w:asciiTheme="minorHAnsi" w:hAnsiTheme="minorHAnsi"/>
          <w:b w:val="0"/>
          <w:smallCaps w:val="0"/>
        </w:rPr>
        <w:t xml:space="preserve"> required in comparison to the five</w:t>
      </w:r>
      <w:r>
        <w:rPr>
          <w:rStyle w:val="06CHeading"/>
          <w:rFonts w:asciiTheme="minorHAnsi" w:hAnsiTheme="minorHAnsi"/>
          <w:b w:val="0"/>
          <w:smallCaps w:val="0"/>
        </w:rPr>
        <w:noBreakHyphen/>
        <w:t xml:space="preserve">step scenario. </w:t>
      </w:r>
      <w:r>
        <w:rPr>
          <w:rStyle w:val="06CHeading"/>
          <w:rFonts w:asciiTheme="minorHAnsi" w:hAnsiTheme="minorHAnsi"/>
          <w:b w:val="0"/>
          <w:smallCaps w:val="0"/>
        </w:rPr>
        <w:t>Moreover, the one</w:t>
      </w:r>
      <w:r>
        <w:rPr>
          <w:rStyle w:val="06CHeading"/>
          <w:rFonts w:asciiTheme="minorHAnsi" w:hAnsiTheme="minorHAnsi"/>
          <w:b w:val="0"/>
          <w:smallCaps w:val="0"/>
        </w:rPr>
        <w:noBreakHyphen/>
        <w:t>step route requires four times lower capital expenditure (CAPEX) in comparison to the five</w:t>
      </w:r>
      <w:r>
        <w:rPr>
          <w:rStyle w:val="06CHeading"/>
          <w:rFonts w:asciiTheme="minorHAnsi" w:hAnsiTheme="minorHAnsi"/>
          <w:b w:val="0"/>
          <w:smallCaps w:val="0"/>
        </w:rPr>
        <w:noBreakHyphen/>
        <w:t>step route. Notably, NH</w:t>
      </w:r>
      <w:r w:rsidRPr="008879D1">
        <w:rPr>
          <w:rStyle w:val="06CHeading"/>
          <w:rFonts w:asciiTheme="minorHAnsi" w:hAnsiTheme="minorHAnsi"/>
          <w:b w:val="0"/>
          <w:smallCaps w:val="0"/>
          <w:vertAlign w:val="subscript"/>
        </w:rPr>
        <w:t>3</w:t>
      </w:r>
      <w:r>
        <w:rPr>
          <w:rStyle w:val="06CHeading"/>
          <w:rFonts w:asciiTheme="minorHAnsi" w:hAnsiTheme="minorHAnsi"/>
          <w:b w:val="0"/>
          <w:smallCaps w:val="0"/>
        </w:rPr>
        <w:t xml:space="preserve"> remains the dominant cost drive across technologies, contributing around 85% to the overall costs on average.</w:t>
      </w:r>
    </w:p>
    <w:p w14:paraId="2A47B906" w14:textId="0FE5EEF7" w:rsidR="008879D1" w:rsidRDefault="008879D1" w:rsidP="008879D1">
      <w:pPr>
        <w:pStyle w:val="RSCB02ArticleText"/>
        <w:ind w:firstLine="284"/>
        <w:rPr>
          <w:rStyle w:val="06CHeading"/>
          <w:rFonts w:asciiTheme="minorHAnsi" w:hAnsiTheme="minorHAnsi"/>
          <w:b w:val="0"/>
          <w:smallCaps w:val="0"/>
        </w:rPr>
      </w:pPr>
      <w:r w:rsidRPr="00882BA9">
        <w:rPr>
          <w:rStyle w:val="06CHeading"/>
          <w:rFonts w:asciiTheme="minorHAnsi" w:hAnsiTheme="minorHAnsi"/>
          <w:smallCaps w:val="0"/>
        </w:rPr>
        <w:t>Fig. 2b</w:t>
      </w:r>
      <w:r>
        <w:rPr>
          <w:rStyle w:val="06CHeading"/>
          <w:rFonts w:asciiTheme="minorHAnsi" w:hAnsiTheme="minorHAnsi"/>
          <w:b w:val="0"/>
          <w:smallCaps w:val="0"/>
        </w:rPr>
        <w:t xml:space="preserve"> presents the cradle</w:t>
      </w:r>
      <w:r>
        <w:rPr>
          <w:rStyle w:val="06CHeading"/>
          <w:rFonts w:asciiTheme="minorHAnsi" w:hAnsiTheme="minorHAnsi"/>
          <w:b w:val="0"/>
          <w:smallCaps w:val="0"/>
        </w:rPr>
        <w:noBreakHyphen/>
        <w:t>to</w:t>
      </w:r>
      <w:r>
        <w:rPr>
          <w:rStyle w:val="06CHeading"/>
          <w:rFonts w:asciiTheme="minorHAnsi" w:hAnsiTheme="minorHAnsi"/>
          <w:b w:val="0"/>
          <w:smallCaps w:val="0"/>
        </w:rPr>
        <w:noBreakHyphen/>
        <w:t>gate climate change impacts associated with each N</w:t>
      </w:r>
      <w:r w:rsidRPr="00DB0B0B">
        <w:rPr>
          <w:rStyle w:val="06CHeading"/>
          <w:rFonts w:asciiTheme="minorHAnsi" w:hAnsiTheme="minorHAnsi"/>
          <w:b w:val="0"/>
          <w:smallCaps w:val="0"/>
          <w:vertAlign w:val="subscript"/>
        </w:rPr>
        <w:t>2</w:t>
      </w:r>
      <w:r>
        <w:rPr>
          <w:rStyle w:val="06CHeading"/>
          <w:rFonts w:asciiTheme="minorHAnsi" w:hAnsiTheme="minorHAnsi"/>
          <w:b w:val="0"/>
          <w:smallCaps w:val="0"/>
        </w:rPr>
        <w:t>O production pathway.</w:t>
      </w:r>
      <w:r w:rsidR="007E0CFD">
        <w:rPr>
          <w:rStyle w:val="06CHeading"/>
          <w:rFonts w:asciiTheme="minorHAnsi" w:hAnsiTheme="minorHAnsi"/>
          <w:b w:val="0"/>
          <w:smallCaps w:val="0"/>
        </w:rPr>
        <w:t xml:space="preserve"> Under the fossil</w:t>
      </w:r>
      <w:r w:rsidR="007E0CFD">
        <w:rPr>
          <w:rStyle w:val="06CHeading"/>
          <w:rFonts w:asciiTheme="minorHAnsi" w:hAnsiTheme="minorHAnsi"/>
          <w:b w:val="0"/>
          <w:smallCaps w:val="0"/>
        </w:rPr>
        <w:noBreakHyphen/>
        <w:t>based route, the one</w:t>
      </w:r>
      <w:r w:rsidR="007E0CFD">
        <w:rPr>
          <w:rStyle w:val="06CHeading"/>
          <w:rFonts w:asciiTheme="minorHAnsi" w:hAnsiTheme="minorHAnsi"/>
          <w:b w:val="0"/>
          <w:smallCaps w:val="0"/>
        </w:rPr>
        <w:noBreakHyphen/>
        <w:t xml:space="preserve">step process has a lower impact of </w:t>
      </w:r>
      <w:r w:rsidR="007E0CFD" w:rsidRPr="00DB0B0B">
        <w:rPr>
          <w:rStyle w:val="06CHeading"/>
          <w:rFonts w:asciiTheme="minorHAnsi" w:hAnsiTheme="minorHAnsi"/>
          <w:b w:val="0"/>
          <w:i/>
          <w:smallCaps w:val="0"/>
        </w:rPr>
        <w:t>ca</w:t>
      </w:r>
      <w:r w:rsidR="007E0CFD" w:rsidRPr="00DB0B0B">
        <w:rPr>
          <w:rStyle w:val="06CHeading"/>
          <w:rFonts w:asciiTheme="minorHAnsi" w:hAnsiTheme="minorHAnsi"/>
          <w:b w:val="0"/>
          <w:smallCaps w:val="0"/>
        </w:rPr>
        <w:t>.</w:t>
      </w:r>
      <w:r w:rsidR="007E0CFD">
        <w:rPr>
          <w:rStyle w:val="06CHeading"/>
          <w:rFonts w:asciiTheme="minorHAnsi" w:hAnsiTheme="minorHAnsi"/>
          <w:b w:val="0"/>
          <w:smallCaps w:val="0"/>
        </w:rPr>
        <w:t xml:space="preserve"> 2.8 kg CO</w:t>
      </w:r>
      <w:r w:rsidR="007E0CFD" w:rsidRPr="00BD1F97">
        <w:rPr>
          <w:rStyle w:val="06CHeading"/>
          <w:rFonts w:asciiTheme="minorHAnsi" w:hAnsiTheme="minorHAnsi"/>
          <w:b w:val="0"/>
          <w:smallCaps w:val="0"/>
          <w:vertAlign w:val="subscript"/>
        </w:rPr>
        <w:t>2</w:t>
      </w:r>
      <w:r w:rsidR="006F071C">
        <w:rPr>
          <w:rStyle w:val="06CHeading"/>
          <w:rFonts w:asciiTheme="minorHAnsi" w:hAnsiTheme="minorHAnsi"/>
          <w:b w:val="0"/>
          <w:smallCaps w:val="0"/>
        </w:rPr>
        <w:noBreakHyphen/>
      </w:r>
      <w:r w:rsidR="007E0CFD">
        <w:rPr>
          <w:rStyle w:val="06CHeading"/>
          <w:rFonts w:asciiTheme="minorHAnsi" w:hAnsiTheme="minorHAnsi"/>
          <w:b w:val="0"/>
          <w:smallCaps w:val="0"/>
        </w:rPr>
        <w:t>eq kg</w:t>
      </w:r>
      <w:r w:rsidR="007E0CFD" w:rsidRPr="00BD1F97">
        <w:rPr>
          <w:rStyle w:val="06CHeading"/>
          <w:rFonts w:asciiTheme="minorHAnsi" w:hAnsiTheme="minorHAnsi"/>
          <w:b w:val="0"/>
          <w:smallCaps w:val="0"/>
          <w:vertAlign w:val="superscript"/>
        </w:rPr>
        <w:t>–1</w:t>
      </w:r>
      <w:r w:rsidR="007E0CFD">
        <w:rPr>
          <w:rStyle w:val="06CHeading"/>
          <w:rFonts w:asciiTheme="minorHAnsi" w:hAnsiTheme="minorHAnsi"/>
          <w:b w:val="0"/>
          <w:smallCaps w:val="0"/>
        </w:rPr>
        <w:t xml:space="preserve"> N</w:t>
      </w:r>
      <w:r w:rsidR="007E0CFD" w:rsidRPr="00BD1F97">
        <w:rPr>
          <w:rStyle w:val="06CHeading"/>
          <w:rFonts w:asciiTheme="minorHAnsi" w:hAnsiTheme="minorHAnsi"/>
          <w:b w:val="0"/>
          <w:smallCaps w:val="0"/>
          <w:vertAlign w:val="subscript"/>
        </w:rPr>
        <w:t>2</w:t>
      </w:r>
      <w:r w:rsidR="007E0CFD">
        <w:rPr>
          <w:rStyle w:val="06CHeading"/>
          <w:rFonts w:asciiTheme="minorHAnsi" w:hAnsiTheme="minorHAnsi"/>
          <w:b w:val="0"/>
          <w:smallCaps w:val="0"/>
        </w:rPr>
        <w:t>O compared to 3.</w:t>
      </w:r>
      <w:r w:rsidR="00BD1F97">
        <w:rPr>
          <w:rStyle w:val="06CHeading"/>
          <w:rFonts w:asciiTheme="minorHAnsi" w:hAnsiTheme="minorHAnsi"/>
          <w:b w:val="0"/>
          <w:smallCaps w:val="0"/>
        </w:rPr>
        <w:t>4 kg CO</w:t>
      </w:r>
      <w:r w:rsidR="00BD1F97" w:rsidRPr="00BD1F97">
        <w:rPr>
          <w:rStyle w:val="06CHeading"/>
          <w:rFonts w:asciiTheme="minorHAnsi" w:hAnsiTheme="minorHAnsi"/>
          <w:b w:val="0"/>
          <w:smallCaps w:val="0"/>
          <w:vertAlign w:val="subscript"/>
        </w:rPr>
        <w:t>2</w:t>
      </w:r>
      <w:r w:rsidR="006F071C">
        <w:rPr>
          <w:rStyle w:val="06CHeading"/>
          <w:rFonts w:asciiTheme="minorHAnsi" w:hAnsiTheme="minorHAnsi"/>
          <w:b w:val="0"/>
          <w:smallCaps w:val="0"/>
        </w:rPr>
        <w:noBreakHyphen/>
      </w:r>
      <w:r w:rsidR="00BD1F97">
        <w:rPr>
          <w:rStyle w:val="06CHeading"/>
          <w:rFonts w:asciiTheme="minorHAnsi" w:hAnsiTheme="minorHAnsi"/>
          <w:b w:val="0"/>
          <w:smallCaps w:val="0"/>
        </w:rPr>
        <w:t>eq kg</w:t>
      </w:r>
      <w:r w:rsidR="00BD1F97" w:rsidRPr="00BD1F97">
        <w:rPr>
          <w:rStyle w:val="06CHeading"/>
          <w:rFonts w:asciiTheme="minorHAnsi" w:hAnsiTheme="minorHAnsi"/>
          <w:b w:val="0"/>
          <w:smallCaps w:val="0"/>
          <w:vertAlign w:val="superscript"/>
        </w:rPr>
        <w:t>–1</w:t>
      </w:r>
      <w:r w:rsidR="00BD1F97">
        <w:rPr>
          <w:rStyle w:val="06CHeading"/>
          <w:rFonts w:asciiTheme="minorHAnsi" w:hAnsiTheme="minorHAnsi"/>
          <w:b w:val="0"/>
          <w:smallCaps w:val="0"/>
          <w:vertAlign w:val="superscript"/>
        </w:rPr>
        <w:t xml:space="preserve"> </w:t>
      </w:r>
      <w:r w:rsidR="007E0CFD">
        <w:rPr>
          <w:rStyle w:val="06CHeading"/>
          <w:rFonts w:asciiTheme="minorHAnsi" w:hAnsiTheme="minorHAnsi"/>
          <w:b w:val="0"/>
          <w:smallCaps w:val="0"/>
        </w:rPr>
        <w:t>for the five</w:t>
      </w:r>
      <w:r w:rsidR="007E0CFD">
        <w:rPr>
          <w:rStyle w:val="06CHeading"/>
          <w:rFonts w:asciiTheme="minorHAnsi" w:hAnsiTheme="minorHAnsi"/>
          <w:b w:val="0"/>
          <w:smallCaps w:val="0"/>
        </w:rPr>
        <w:noBreakHyphen/>
        <w:t>step route. The lower impacts in the one</w:t>
      </w:r>
      <w:r w:rsidR="007E0CFD">
        <w:rPr>
          <w:rStyle w:val="06CHeading"/>
          <w:rFonts w:asciiTheme="minorHAnsi" w:hAnsiTheme="minorHAnsi"/>
          <w:b w:val="0"/>
          <w:smallCaps w:val="0"/>
        </w:rPr>
        <w:noBreakHyphen/>
        <w:t>step route</w:t>
      </w:r>
      <w:r w:rsidR="00BD1F97">
        <w:rPr>
          <w:rStyle w:val="06CHeading"/>
          <w:rFonts w:asciiTheme="minorHAnsi" w:hAnsiTheme="minorHAnsi"/>
          <w:b w:val="0"/>
          <w:smallCaps w:val="0"/>
        </w:rPr>
        <w:t>s</w:t>
      </w:r>
      <w:r w:rsidR="007E0CFD">
        <w:rPr>
          <w:rStyle w:val="06CHeading"/>
          <w:rFonts w:asciiTheme="minorHAnsi" w:hAnsiTheme="minorHAnsi"/>
          <w:b w:val="0"/>
          <w:smallCaps w:val="0"/>
        </w:rPr>
        <w:t xml:space="preserve"> </w:t>
      </w:r>
      <w:r w:rsidR="00BD1F97">
        <w:rPr>
          <w:rStyle w:val="06CHeading"/>
          <w:rFonts w:asciiTheme="minorHAnsi" w:hAnsiTheme="minorHAnsi"/>
          <w:b w:val="0"/>
          <w:smallCaps w:val="0"/>
        </w:rPr>
        <w:t>are</w:t>
      </w:r>
      <w:r w:rsidR="007E0CFD">
        <w:rPr>
          <w:rStyle w:val="06CHeading"/>
          <w:rFonts w:asciiTheme="minorHAnsi" w:hAnsiTheme="minorHAnsi"/>
          <w:b w:val="0"/>
          <w:smallCaps w:val="0"/>
        </w:rPr>
        <w:t xml:space="preserve"> primarily due to reduced electricity use in the process. This trend remains consistent when green </w:t>
      </w:r>
      <w:r w:rsidR="00BD1F97">
        <w:rPr>
          <w:rStyle w:val="06CHeading"/>
          <w:rFonts w:asciiTheme="minorHAnsi" w:hAnsiTheme="minorHAnsi"/>
          <w:b w:val="0"/>
          <w:smallCaps w:val="0"/>
        </w:rPr>
        <w:t>NH</w:t>
      </w:r>
      <w:r w:rsidR="00BD1F97" w:rsidRPr="00BD1F97">
        <w:rPr>
          <w:rStyle w:val="06CHeading"/>
          <w:rFonts w:asciiTheme="minorHAnsi" w:hAnsiTheme="minorHAnsi"/>
          <w:b w:val="0"/>
          <w:smallCaps w:val="0"/>
          <w:vertAlign w:val="subscript"/>
        </w:rPr>
        <w:t>3</w:t>
      </w:r>
      <w:r w:rsidR="007E0CFD">
        <w:rPr>
          <w:rStyle w:val="06CHeading"/>
          <w:rFonts w:asciiTheme="minorHAnsi" w:hAnsiTheme="minorHAnsi"/>
          <w:b w:val="0"/>
          <w:smallCaps w:val="0"/>
        </w:rPr>
        <w:t xml:space="preserve"> is used, with impacts 0.7 </w:t>
      </w:r>
      <w:r w:rsidR="007E0CFD" w:rsidRPr="0075114F">
        <w:rPr>
          <w:rStyle w:val="06CHeading"/>
          <w:rFonts w:asciiTheme="minorHAnsi" w:hAnsiTheme="minorHAnsi"/>
          <w:b w:val="0"/>
          <w:smallCaps w:val="0"/>
        </w:rPr>
        <w:t>vs</w:t>
      </w:r>
      <w:r w:rsidR="007E0CFD">
        <w:rPr>
          <w:rStyle w:val="06CHeading"/>
          <w:rFonts w:asciiTheme="minorHAnsi" w:hAnsiTheme="minorHAnsi"/>
          <w:b w:val="0"/>
          <w:smallCaps w:val="0"/>
        </w:rPr>
        <w:t>. 1.1 kg CO</w:t>
      </w:r>
      <w:r w:rsidR="007E0CFD" w:rsidRPr="00BD1F97">
        <w:rPr>
          <w:rStyle w:val="06CHeading"/>
          <w:rFonts w:asciiTheme="minorHAnsi" w:hAnsiTheme="minorHAnsi"/>
          <w:b w:val="0"/>
          <w:smallCaps w:val="0"/>
          <w:vertAlign w:val="subscript"/>
        </w:rPr>
        <w:t>2</w:t>
      </w:r>
      <w:r w:rsidR="006F071C">
        <w:rPr>
          <w:rStyle w:val="06CHeading"/>
          <w:rFonts w:asciiTheme="minorHAnsi" w:hAnsiTheme="minorHAnsi"/>
          <w:b w:val="0"/>
          <w:smallCaps w:val="0"/>
        </w:rPr>
        <w:noBreakHyphen/>
      </w:r>
      <w:r w:rsidR="007E0CFD">
        <w:rPr>
          <w:rStyle w:val="06CHeading"/>
          <w:rFonts w:asciiTheme="minorHAnsi" w:hAnsiTheme="minorHAnsi"/>
          <w:b w:val="0"/>
          <w:smallCaps w:val="0"/>
        </w:rPr>
        <w:t>eq kg</w:t>
      </w:r>
      <w:r w:rsidR="007E0CFD" w:rsidRPr="00BD1F97">
        <w:rPr>
          <w:rStyle w:val="06CHeading"/>
          <w:rFonts w:asciiTheme="minorHAnsi" w:hAnsiTheme="minorHAnsi"/>
          <w:b w:val="0"/>
          <w:smallCaps w:val="0"/>
          <w:vertAlign w:val="superscript"/>
        </w:rPr>
        <w:t>–1</w:t>
      </w:r>
      <w:r w:rsidR="007E0CFD">
        <w:rPr>
          <w:rStyle w:val="06CHeading"/>
          <w:rFonts w:asciiTheme="minorHAnsi" w:hAnsiTheme="minorHAnsi"/>
          <w:b w:val="0"/>
          <w:smallCaps w:val="0"/>
        </w:rPr>
        <w:t xml:space="preserve"> N</w:t>
      </w:r>
      <w:r w:rsidR="007E0CFD" w:rsidRPr="00BD1F97">
        <w:rPr>
          <w:rStyle w:val="06CHeading"/>
          <w:rFonts w:asciiTheme="minorHAnsi" w:hAnsiTheme="minorHAnsi"/>
          <w:b w:val="0"/>
          <w:smallCaps w:val="0"/>
          <w:vertAlign w:val="subscript"/>
        </w:rPr>
        <w:t>2</w:t>
      </w:r>
      <w:r w:rsidR="007E0CFD">
        <w:rPr>
          <w:rStyle w:val="06CHeading"/>
          <w:rFonts w:asciiTheme="minorHAnsi" w:hAnsiTheme="minorHAnsi"/>
          <w:b w:val="0"/>
          <w:smallCaps w:val="0"/>
        </w:rPr>
        <w:t>O for the one</w:t>
      </w:r>
      <w:r w:rsidR="007E0CFD">
        <w:rPr>
          <w:rStyle w:val="06CHeading"/>
          <w:rFonts w:asciiTheme="minorHAnsi" w:hAnsiTheme="minorHAnsi"/>
          <w:b w:val="0"/>
          <w:smallCaps w:val="0"/>
        </w:rPr>
        <w:noBreakHyphen/>
        <w:t xml:space="preserve"> and five</w:t>
      </w:r>
      <w:r w:rsidR="007E0CFD">
        <w:rPr>
          <w:rStyle w:val="06CHeading"/>
          <w:rFonts w:asciiTheme="minorHAnsi" w:hAnsiTheme="minorHAnsi"/>
          <w:b w:val="0"/>
          <w:smallCaps w:val="0"/>
        </w:rPr>
        <w:noBreakHyphen/>
        <w:t>step processes, respectively. Similar to the production costs, NH</w:t>
      </w:r>
      <w:r w:rsidR="007E0CFD" w:rsidRPr="00E75EF7">
        <w:rPr>
          <w:rStyle w:val="06CHeading"/>
          <w:rFonts w:asciiTheme="minorHAnsi" w:hAnsiTheme="minorHAnsi"/>
          <w:b w:val="0"/>
          <w:smallCaps w:val="0"/>
          <w:vertAlign w:val="subscript"/>
        </w:rPr>
        <w:t>3</w:t>
      </w:r>
      <w:r w:rsidR="007E0CFD">
        <w:rPr>
          <w:rStyle w:val="06CHeading"/>
          <w:rFonts w:asciiTheme="minorHAnsi" w:hAnsiTheme="minorHAnsi"/>
          <w:b w:val="0"/>
          <w:smallCaps w:val="0"/>
        </w:rPr>
        <w:t xml:space="preserve"> is the largest contributor to the climate change impacts, especially in the fossil scenarios.</w:t>
      </w:r>
    </w:p>
    <w:p w14:paraId="1F6BE345" w14:textId="18605985" w:rsidR="007E0CFD" w:rsidRDefault="007E0CFD" w:rsidP="008879D1">
      <w:pPr>
        <w:pStyle w:val="RSCB02ArticleText"/>
        <w:ind w:firstLine="284"/>
        <w:rPr>
          <w:rStyle w:val="06CHeading"/>
          <w:rFonts w:asciiTheme="minorHAnsi" w:hAnsiTheme="minorHAnsi"/>
          <w:b w:val="0"/>
          <w:smallCaps w:val="0"/>
        </w:rPr>
      </w:pPr>
      <w:r>
        <w:rPr>
          <w:rStyle w:val="06CHeading"/>
          <w:rFonts w:asciiTheme="minorHAnsi" w:hAnsiTheme="minorHAnsi"/>
          <w:b w:val="0"/>
          <w:smallCaps w:val="0"/>
        </w:rPr>
        <w:t xml:space="preserve">Projections for 2050 under a decarbonized electricity mix (purple diamond in </w:t>
      </w:r>
      <w:r w:rsidRPr="00E75EF7">
        <w:rPr>
          <w:rStyle w:val="06CHeading"/>
          <w:rFonts w:asciiTheme="minorHAnsi" w:hAnsiTheme="minorHAnsi"/>
          <w:smallCaps w:val="0"/>
        </w:rPr>
        <w:t>Fig. 2</w:t>
      </w:r>
      <w:r>
        <w:rPr>
          <w:rStyle w:val="06CHeading"/>
          <w:rFonts w:asciiTheme="minorHAnsi" w:hAnsiTheme="minorHAnsi"/>
          <w:b w:val="0"/>
          <w:smallCaps w:val="0"/>
        </w:rPr>
        <w:t>) demonstrate potential reductions in both cost (except for fossil scenarios) and climate change impacts. The climate change impacts of N</w:t>
      </w:r>
      <w:r w:rsidRPr="00E75EF7">
        <w:rPr>
          <w:rStyle w:val="06CHeading"/>
          <w:rFonts w:asciiTheme="minorHAnsi" w:hAnsiTheme="minorHAnsi"/>
          <w:b w:val="0"/>
          <w:smallCaps w:val="0"/>
          <w:vertAlign w:val="subscript"/>
        </w:rPr>
        <w:t>2</w:t>
      </w:r>
      <w:r>
        <w:rPr>
          <w:rStyle w:val="06CHeading"/>
          <w:rFonts w:asciiTheme="minorHAnsi" w:hAnsiTheme="minorHAnsi"/>
          <w:b w:val="0"/>
          <w:smallCaps w:val="0"/>
        </w:rPr>
        <w:t>O production drop by 10% and 70% on average in the fossil and green scenarios, respectively. The main reductions in the fossil</w:t>
      </w:r>
      <w:r>
        <w:rPr>
          <w:rStyle w:val="06CHeading"/>
          <w:rFonts w:asciiTheme="minorHAnsi" w:hAnsiTheme="minorHAnsi"/>
          <w:b w:val="0"/>
          <w:smallCaps w:val="0"/>
        </w:rPr>
        <w:noBreakHyphen/>
        <w:t>based scenarios are due to the decarbonized electricity used in the future</w:t>
      </w:r>
      <w:r w:rsidR="00E75EF7">
        <w:rPr>
          <w:rStyle w:val="06CHeading"/>
          <w:rFonts w:asciiTheme="minorHAnsi" w:hAnsiTheme="minorHAnsi"/>
          <w:b w:val="0"/>
          <w:smallCaps w:val="0"/>
        </w:rPr>
        <w:t>,</w:t>
      </w:r>
      <w:r>
        <w:rPr>
          <w:rStyle w:val="06CHeading"/>
          <w:rFonts w:asciiTheme="minorHAnsi" w:hAnsiTheme="minorHAnsi"/>
          <w:b w:val="0"/>
          <w:smallCaps w:val="0"/>
        </w:rPr>
        <w:t xml:space="preserve"> while the main reductions in the green scenario are due to both decarbonized electricity and potential efficiency improvements in wind electricity generation</w:t>
      </w:r>
      <w:r w:rsidR="00E75EF7">
        <w:rPr>
          <w:rStyle w:val="06CHeading"/>
          <w:rFonts w:asciiTheme="minorHAnsi" w:hAnsiTheme="minorHAnsi"/>
          <w:b w:val="0"/>
          <w:smallCaps w:val="0"/>
        </w:rPr>
        <w:t>, which</w:t>
      </w:r>
      <w:r>
        <w:rPr>
          <w:rStyle w:val="06CHeading"/>
          <w:rFonts w:asciiTheme="minorHAnsi" w:hAnsiTheme="minorHAnsi"/>
          <w:b w:val="0"/>
          <w:smallCaps w:val="0"/>
        </w:rPr>
        <w:t xml:space="preserve"> is used to power the electroly</w:t>
      </w:r>
      <w:r w:rsidR="00372F5B">
        <w:rPr>
          <w:rStyle w:val="06CHeading"/>
          <w:rFonts w:asciiTheme="minorHAnsi" w:hAnsiTheme="minorHAnsi"/>
          <w:b w:val="0"/>
          <w:smallCaps w:val="0"/>
        </w:rPr>
        <w:t>s</w:t>
      </w:r>
      <w:r>
        <w:rPr>
          <w:rStyle w:val="06CHeading"/>
          <w:rFonts w:asciiTheme="minorHAnsi" w:hAnsiTheme="minorHAnsi"/>
          <w:b w:val="0"/>
          <w:smallCaps w:val="0"/>
        </w:rPr>
        <w:t>er unit to produce H</w:t>
      </w:r>
      <w:r w:rsidRPr="00E75EF7">
        <w:rPr>
          <w:rStyle w:val="06CHeading"/>
          <w:rFonts w:asciiTheme="minorHAnsi" w:hAnsiTheme="minorHAnsi"/>
          <w:b w:val="0"/>
          <w:smallCaps w:val="0"/>
          <w:vertAlign w:val="subscript"/>
        </w:rPr>
        <w:t>2</w:t>
      </w:r>
      <w:r>
        <w:rPr>
          <w:rStyle w:val="06CHeading"/>
          <w:rFonts w:asciiTheme="minorHAnsi" w:hAnsiTheme="minorHAnsi"/>
          <w:b w:val="0"/>
          <w:smallCaps w:val="0"/>
        </w:rPr>
        <w:t xml:space="preserve"> and </w:t>
      </w:r>
      <w:r w:rsidR="00E75EF7">
        <w:rPr>
          <w:rStyle w:val="06CHeading"/>
          <w:rFonts w:asciiTheme="minorHAnsi" w:hAnsiTheme="minorHAnsi"/>
          <w:b w:val="0"/>
          <w:smallCaps w:val="0"/>
        </w:rPr>
        <w:t>subsequently</w:t>
      </w:r>
      <w:r>
        <w:rPr>
          <w:rStyle w:val="06CHeading"/>
          <w:rFonts w:asciiTheme="minorHAnsi" w:hAnsiTheme="minorHAnsi"/>
          <w:b w:val="0"/>
          <w:smallCaps w:val="0"/>
        </w:rPr>
        <w:t xml:space="preserve"> </w:t>
      </w:r>
      <w:r w:rsidR="00F46A20">
        <w:rPr>
          <w:rStyle w:val="06CHeading"/>
          <w:rFonts w:asciiTheme="minorHAnsi" w:hAnsiTheme="minorHAnsi"/>
          <w:b w:val="0"/>
          <w:smallCaps w:val="0"/>
        </w:rPr>
        <w:t>NH</w:t>
      </w:r>
      <w:r w:rsidR="00F46A20" w:rsidRPr="00F46A20">
        <w:rPr>
          <w:rStyle w:val="06CHeading"/>
          <w:rFonts w:asciiTheme="minorHAnsi" w:hAnsiTheme="minorHAnsi"/>
          <w:b w:val="0"/>
          <w:smallCaps w:val="0"/>
          <w:vertAlign w:val="subscript"/>
        </w:rPr>
        <w:t>3</w:t>
      </w:r>
      <w:r>
        <w:rPr>
          <w:rStyle w:val="06CHeading"/>
          <w:rFonts w:asciiTheme="minorHAnsi" w:hAnsiTheme="minorHAnsi"/>
          <w:b w:val="0"/>
          <w:smallCaps w:val="0"/>
        </w:rPr>
        <w:t>.</w:t>
      </w:r>
      <w:r w:rsidR="00105FE0">
        <w:rPr>
          <w:rStyle w:val="06CHeading"/>
          <w:rFonts w:asciiTheme="minorHAnsi" w:hAnsiTheme="minorHAnsi"/>
          <w:b w:val="0"/>
          <w:smallCaps w:val="0"/>
        </w:rPr>
        <w:fldChar w:fldCharType="begin"/>
      </w:r>
      <w:r w:rsidR="005126D8">
        <w:rPr>
          <w:rStyle w:val="06CHeading"/>
          <w:rFonts w:asciiTheme="minorHAnsi" w:hAnsiTheme="minorHAnsi"/>
          <w:b w:val="0"/>
          <w:smallCaps w:val="0"/>
        </w:rPr>
        <w:instrText xml:space="preserve"> ADDIN ZOTERO_ITEM CSL_CITATION {"citationID":"wHHSm3g5","properties":{"formattedCitation":"\\super 9\\nosupersub{}","plainCitation":"9","noteIndex":0},"citationItems":[{"id":682,"uris":["http://zotero.org/users/local/gMmtBwrT/items/63BSIPDP","http://zotero.org/users/17660607/items/63BSIPDP"],"itemData":{"id":682,"type":"article-journal","abstract":"The grand transition towards green pathways for chemical production, alongside ambitious climate policies, could achieve 90% reduction in climate change impacts by 2050, while fossil routes offer a reduction of 10% in the best case.\n          , \n            \n              New and enhanced processes will not be the only drivers toward a sustainable chemical industry. Implementing climate policies will impact all components of the chemical supply chain over the following decades, making improvements in energy generation, material extraction, or transportation contribute to reducing the overall impacts of chemical technologies. Including this synergistic effect when comparing technologies offers a clearer vision of their future potential and may allow researchers to support their sustainability propositions more strongly. Ammonia and methanol production account for more than fifty percent of the CO\n              2\n              emissions in this industry and are, therefore, excellent case studies. This work performs a prospective life cycle assessment until 2050 for fossil, blue, wind, and solar-based technologies under climate policies aiming to limit the global temperature rise to 1.5 °C, 2 °C, or 3.5 °C. The first finding is the inability of fossil-based routes to reduce their CO\n              2\n              emissions beyond 10% by 2050 without tailored decarbonisation strategies, regardless of the chemical and climate policy considered. In contrast, green routes may produce chemicals with around 90% fewer emissions than today and even with net negative emissions (on a cradle-to-gate basis), as in the case of methanol (up to −1.4 kg CO\n              2\n              -eq per kg), mainly due to the contributions of technology development and increasing penetration of renewable energies. Overall, the combined production of these chemicals could be net-zero by 2050 despite their predicted two to fivefold increase in demand. Lastly, we propose a roadmap for progressive implementation by 2050 of green routes in 26 regions worldwide, applying the criterion of at least 80% reduction in climate change impacts when compared to their fossil alternatives. Furthermore, an exploratory prospective techno-economic assessment showed that by 2050, green routes could become more economically attractive. This work offers quantitative arguments to reinforce research, development, and policymaking efforts on green chemical routes reliant on renewable energies.","container-title":"Green Chemistry","DOI":"10.1039/D4GC00392F","ISSN":"1463-9262, 1463-9270","issue":"11","journalAbbreviation":"Green Chem.","language":"en","page":"6461-6469","source":"DOI.org (Crossref)","title":"Integrating climate policies in the sustainability analysis of green chemicals","volume":"26","author":[{"family":"Nabera","given":"Abhinandan"},{"family":"José Martín","given":"Antonio"},{"family":"Istrate","given":"Robert"},{"family":"Pérez-Ramírez","given":"Javier"},{"family":"Guillén-Gosálbez","given":"Gonzalo"}],"issued":{"date-parts":[["2024"]]}}}],"schema":"https://github.com/citation-style-language/schema/raw/master/csl-citation.json"} </w:instrText>
      </w:r>
      <w:r w:rsidR="00105FE0">
        <w:rPr>
          <w:rStyle w:val="06CHeading"/>
          <w:rFonts w:asciiTheme="minorHAnsi" w:hAnsiTheme="minorHAnsi"/>
          <w:b w:val="0"/>
          <w:smallCaps w:val="0"/>
        </w:rPr>
        <w:fldChar w:fldCharType="separate"/>
      </w:r>
      <w:r w:rsidR="005126D8" w:rsidRPr="005126D8">
        <w:rPr>
          <w:rFonts w:ascii="Calibri" w:hAnsi="Calibri" w:cs="Calibri"/>
          <w:szCs w:val="24"/>
          <w:vertAlign w:val="superscript"/>
        </w:rPr>
        <w:t>9</w:t>
      </w:r>
      <w:r w:rsidR="00105FE0">
        <w:rPr>
          <w:rStyle w:val="06CHeading"/>
          <w:rFonts w:asciiTheme="minorHAnsi" w:hAnsiTheme="minorHAnsi"/>
          <w:b w:val="0"/>
          <w:smallCaps w:val="0"/>
        </w:rPr>
        <w:fldChar w:fldCharType="end"/>
      </w:r>
      <w:r>
        <w:rPr>
          <w:rStyle w:val="06CHeading"/>
          <w:rFonts w:asciiTheme="minorHAnsi" w:hAnsiTheme="minorHAnsi"/>
          <w:b w:val="0"/>
          <w:smallCaps w:val="0"/>
        </w:rPr>
        <w:t xml:space="preserve"> In terms of production costs, future production costs increase for the fossil</w:t>
      </w:r>
      <w:r>
        <w:rPr>
          <w:rStyle w:val="06CHeading"/>
          <w:rFonts w:asciiTheme="minorHAnsi" w:hAnsiTheme="minorHAnsi"/>
          <w:b w:val="0"/>
          <w:smallCaps w:val="0"/>
        </w:rPr>
        <w:noBreakHyphen/>
        <w:t xml:space="preserve">based routes </w:t>
      </w:r>
      <w:r w:rsidR="00F21101">
        <w:rPr>
          <w:rStyle w:val="06CHeading"/>
          <w:rFonts w:asciiTheme="minorHAnsi" w:hAnsiTheme="minorHAnsi"/>
          <w:b w:val="0"/>
          <w:smallCaps w:val="0"/>
        </w:rPr>
        <w:t xml:space="preserve">by </w:t>
      </w:r>
      <w:r w:rsidRPr="00E75EF7">
        <w:rPr>
          <w:rStyle w:val="06CHeading"/>
          <w:rFonts w:asciiTheme="minorHAnsi" w:hAnsiTheme="minorHAnsi"/>
          <w:b w:val="0"/>
          <w:i/>
          <w:smallCaps w:val="0"/>
        </w:rPr>
        <w:t>ca</w:t>
      </w:r>
      <w:r>
        <w:rPr>
          <w:rStyle w:val="06CHeading"/>
          <w:rFonts w:asciiTheme="minorHAnsi" w:hAnsiTheme="minorHAnsi"/>
          <w:b w:val="0"/>
          <w:smallCaps w:val="0"/>
        </w:rPr>
        <w:t>. 20%</w:t>
      </w:r>
      <w:r w:rsidR="00372F5B">
        <w:rPr>
          <w:rStyle w:val="06CHeading"/>
          <w:rFonts w:asciiTheme="minorHAnsi" w:hAnsiTheme="minorHAnsi"/>
          <w:b w:val="0"/>
          <w:smallCaps w:val="0"/>
        </w:rPr>
        <w:t>. In contrast, the green route shows reductions of up to 30%, due to increase in efficiency of the electrolyser and lower wind generation costs.</w:t>
      </w:r>
    </w:p>
    <w:p w14:paraId="384F7698" w14:textId="4504F254" w:rsidR="00D55E28" w:rsidRDefault="00D55E28" w:rsidP="006B7526">
      <w:pPr>
        <w:pStyle w:val="RSCB02ArticleText"/>
        <w:spacing w:after="240"/>
        <w:ind w:firstLine="284"/>
        <w:rPr>
          <w:rStyle w:val="06CHeading"/>
          <w:rFonts w:asciiTheme="minorHAnsi" w:hAnsiTheme="minorHAnsi"/>
          <w:b w:val="0"/>
          <w:smallCaps w:val="0"/>
        </w:rPr>
      </w:pPr>
      <w:r>
        <w:rPr>
          <w:rStyle w:val="06CHeading"/>
          <w:rFonts w:asciiTheme="minorHAnsi" w:hAnsiTheme="minorHAnsi"/>
          <w:b w:val="0"/>
          <w:smallCaps w:val="0"/>
        </w:rPr>
        <w:t>Overall, these findings support the need for prioritizing technological innovation and research efforts in one</w:t>
      </w:r>
      <w:r>
        <w:rPr>
          <w:rStyle w:val="06CHeading"/>
          <w:rFonts w:asciiTheme="minorHAnsi" w:hAnsiTheme="minorHAnsi"/>
          <w:b w:val="0"/>
          <w:smallCaps w:val="0"/>
        </w:rPr>
        <w:noBreakHyphen/>
        <w:t>step N</w:t>
      </w:r>
      <w:r w:rsidR="00F46A20" w:rsidRPr="00F46A20">
        <w:rPr>
          <w:rStyle w:val="06CHeading"/>
          <w:rFonts w:asciiTheme="minorHAnsi" w:hAnsiTheme="minorHAnsi"/>
          <w:b w:val="0"/>
          <w:smallCaps w:val="0"/>
          <w:vertAlign w:val="subscript"/>
        </w:rPr>
        <w:t>2</w:t>
      </w:r>
      <w:r>
        <w:rPr>
          <w:rStyle w:val="06CHeading"/>
          <w:rFonts w:asciiTheme="minorHAnsi" w:hAnsiTheme="minorHAnsi"/>
          <w:b w:val="0"/>
          <w:smallCaps w:val="0"/>
        </w:rPr>
        <w:t>O synthesis and accelerating the deployment of low</w:t>
      </w:r>
      <w:r>
        <w:rPr>
          <w:rStyle w:val="06CHeading"/>
          <w:rFonts w:asciiTheme="minorHAnsi" w:hAnsiTheme="minorHAnsi"/>
          <w:b w:val="0"/>
          <w:smallCaps w:val="0"/>
        </w:rPr>
        <w:noBreakHyphen/>
        <w:t>carbon NH</w:t>
      </w:r>
      <w:r w:rsidRPr="00F46A20">
        <w:rPr>
          <w:rStyle w:val="06CHeading"/>
          <w:rFonts w:asciiTheme="minorHAnsi" w:hAnsiTheme="minorHAnsi"/>
          <w:b w:val="0"/>
          <w:smallCaps w:val="0"/>
          <w:vertAlign w:val="subscript"/>
        </w:rPr>
        <w:t>3</w:t>
      </w:r>
      <w:r>
        <w:rPr>
          <w:rStyle w:val="06CHeading"/>
          <w:rFonts w:asciiTheme="minorHAnsi" w:hAnsiTheme="minorHAnsi"/>
          <w:b w:val="0"/>
          <w:smallCaps w:val="0"/>
        </w:rPr>
        <w:t xml:space="preserve"> production technologies.</w:t>
      </w:r>
    </w:p>
    <w:p w14:paraId="1F89E679" w14:textId="6BA22FF9" w:rsidR="006B7526" w:rsidRDefault="00263F99" w:rsidP="006B7526">
      <w:pPr>
        <w:pStyle w:val="RSCB08CHeadingIn-line"/>
      </w:pPr>
      <w:r>
        <w:t>Safety</w:t>
      </w:r>
      <w:r w:rsidR="00306462">
        <w:t xml:space="preserve"> performance of N</w:t>
      </w:r>
      <w:r w:rsidR="00306462" w:rsidRPr="00306462">
        <w:rPr>
          <w:vertAlign w:val="subscript"/>
        </w:rPr>
        <w:t>2</w:t>
      </w:r>
      <w:r w:rsidR="00306462">
        <w:t>O production pathways</w:t>
      </w:r>
    </w:p>
    <w:p w14:paraId="061F4B72" w14:textId="033BF953" w:rsidR="006B7526" w:rsidRDefault="000629C7" w:rsidP="006B7526">
      <w:pPr>
        <w:pStyle w:val="RSCB02ArticleText"/>
      </w:pPr>
      <w:r>
        <w:t>To complement the techno</w:t>
      </w:r>
      <w:r>
        <w:noBreakHyphen/>
        <w:t>economic and environmental assessments, we conducted a quantitative risk assessment of both one</w:t>
      </w:r>
      <w:r>
        <w:noBreakHyphen/>
        <w:t xml:space="preserve"> and five</w:t>
      </w:r>
      <w:r>
        <w:noBreakHyphen/>
        <w:t>step N</w:t>
      </w:r>
      <w:r w:rsidRPr="00263F99">
        <w:rPr>
          <w:vertAlign w:val="subscript"/>
        </w:rPr>
        <w:t>2</w:t>
      </w:r>
      <w:r>
        <w:t xml:space="preserve">O production technologies using the Dow </w:t>
      </w:r>
      <w:r w:rsidR="00263F99">
        <w:t xml:space="preserve">F&amp;EI and the TNT equivalency method, summarized in </w:t>
      </w:r>
      <w:r w:rsidR="00263F99" w:rsidRPr="00263F99">
        <w:rPr>
          <w:b/>
        </w:rPr>
        <w:t>Table 1</w:t>
      </w:r>
      <w:r w:rsidR="00263F99">
        <w:t>. These frameworks estimate the physical and financial consequences of potential process accidents, providing additional insights into operational safety and business risk.</w:t>
      </w:r>
    </w:p>
    <w:p w14:paraId="7E0D044F" w14:textId="3053DF1B" w:rsidR="00263F99" w:rsidRDefault="00263F99" w:rsidP="000C3F5E">
      <w:pPr>
        <w:pStyle w:val="RSCB02ArticleText"/>
        <w:spacing w:after="240"/>
        <w:ind w:firstLine="284"/>
        <w:rPr>
          <w:rStyle w:val="06CHeading"/>
          <w:rFonts w:asciiTheme="minorHAnsi" w:hAnsiTheme="minorHAnsi"/>
          <w:b w:val="0"/>
          <w:smallCaps w:val="0"/>
        </w:rPr>
      </w:pPr>
      <w:r>
        <w:rPr>
          <w:rStyle w:val="06CHeading"/>
          <w:rFonts w:asciiTheme="minorHAnsi" w:hAnsiTheme="minorHAnsi"/>
          <w:b w:val="0"/>
          <w:smallCaps w:val="0"/>
        </w:rPr>
        <w:t>The one</w:t>
      </w:r>
      <w:r>
        <w:rPr>
          <w:rStyle w:val="06CHeading"/>
          <w:rFonts w:asciiTheme="minorHAnsi" w:hAnsiTheme="minorHAnsi"/>
          <w:b w:val="0"/>
          <w:smallCaps w:val="0"/>
        </w:rPr>
        <w:noBreakHyphen/>
        <w:t>step process is classified as a light hazard (F&amp;EI = 47). In contrast, the five</w:t>
      </w:r>
      <w:r>
        <w:rPr>
          <w:rStyle w:val="06CHeading"/>
          <w:rFonts w:asciiTheme="minorHAnsi" w:hAnsiTheme="minorHAnsi"/>
          <w:b w:val="0"/>
          <w:smallCaps w:val="0"/>
        </w:rPr>
        <w:noBreakHyphen/>
        <w:t>step route is rated as a severe hazard (F&amp;EI = 238) due to the explosive nature of the nitrate salts. This results in a much larger exposure area and higher projected property damage and business interruption losses. Furthermore, the TNT equivalency highlights the five</w:t>
      </w:r>
      <w:r>
        <w:rPr>
          <w:rStyle w:val="06CHeading"/>
          <w:rFonts w:asciiTheme="minorHAnsi" w:hAnsiTheme="minorHAnsi"/>
          <w:b w:val="0"/>
          <w:smallCaps w:val="0"/>
        </w:rPr>
        <w:noBreakHyphen/>
        <w:t>step process’s risk, with a TNT equivalent mass over five times higher than that of the one</w:t>
      </w:r>
      <w:r>
        <w:rPr>
          <w:rStyle w:val="06CHeading"/>
          <w:rFonts w:asciiTheme="minorHAnsi" w:hAnsiTheme="minorHAnsi"/>
          <w:b w:val="0"/>
          <w:smallCaps w:val="0"/>
        </w:rPr>
        <w:noBreakHyphen/>
        <w:t>step route, leading to longer projectile ranges and projected fatalities in event of an explosion. Thus, beyond its economic and environmental advantages, the one</w:t>
      </w:r>
      <w:r>
        <w:rPr>
          <w:rStyle w:val="06CHeading"/>
          <w:rFonts w:asciiTheme="minorHAnsi" w:hAnsiTheme="minorHAnsi"/>
          <w:b w:val="0"/>
          <w:smallCaps w:val="0"/>
        </w:rPr>
        <w:noBreakHyphen/>
        <w:t>step route also offers significantly lower safety risks compared to the five</w:t>
      </w:r>
      <w:r>
        <w:rPr>
          <w:rStyle w:val="06CHeading"/>
          <w:rFonts w:asciiTheme="minorHAnsi" w:hAnsiTheme="minorHAnsi"/>
          <w:b w:val="0"/>
          <w:smallCaps w:val="0"/>
        </w:rPr>
        <w:noBreakHyphen/>
        <w:t>step alternative.</w:t>
      </w:r>
    </w:p>
    <w:p w14:paraId="2D20A3E1" w14:textId="259558B8" w:rsidR="000C3F5E" w:rsidRDefault="00AB11C0" w:rsidP="000C3F5E">
      <w:pPr>
        <w:pStyle w:val="RSCB08CHeadingIn-line"/>
      </w:pPr>
      <w:r>
        <w:lastRenderedPageBreak/>
        <w:t>Production costs</w:t>
      </w:r>
      <w:r w:rsidR="007556B8">
        <w:t xml:space="preserve"> and climate</w:t>
      </w:r>
      <w:r w:rsidR="006A3CCC">
        <w:t xml:space="preserve"> </w:t>
      </w:r>
      <w:r w:rsidR="00305D7D">
        <w:t xml:space="preserve">change </w:t>
      </w:r>
      <w:r w:rsidR="007556B8">
        <w:t>impacts of N</w:t>
      </w:r>
      <w:r w:rsidR="007556B8" w:rsidRPr="007556B8">
        <w:rPr>
          <w:vertAlign w:val="subscript"/>
        </w:rPr>
        <w:t>2</w:t>
      </w:r>
      <w:r w:rsidR="007556B8">
        <w:t>O and H</w:t>
      </w:r>
      <w:r w:rsidR="007556B8" w:rsidRPr="007556B8">
        <w:rPr>
          <w:vertAlign w:val="subscript"/>
        </w:rPr>
        <w:t>2</w:t>
      </w:r>
      <w:r w:rsidR="007556B8">
        <w:t>O</w:t>
      </w:r>
      <w:r w:rsidR="007556B8" w:rsidRPr="007556B8">
        <w:rPr>
          <w:vertAlign w:val="subscript"/>
        </w:rPr>
        <w:t>2</w:t>
      </w:r>
      <w:r w:rsidR="007556B8">
        <w:t xml:space="preserve"> as green oxidants</w:t>
      </w:r>
    </w:p>
    <w:p w14:paraId="583BC0A2" w14:textId="2BB01D77" w:rsidR="000C3F5E" w:rsidRDefault="00487E72" w:rsidP="000C3F5E">
      <w:pPr>
        <w:pStyle w:val="RSCB02ArticleText"/>
      </w:pPr>
      <w:r>
        <w:t xml:space="preserve">Next, we compare the </w:t>
      </w:r>
      <w:r w:rsidR="00117B99">
        <w:t>one</w:t>
      </w:r>
      <w:r w:rsidR="00117B99">
        <w:noBreakHyphen/>
        <w:t>step N</w:t>
      </w:r>
      <w:r w:rsidR="00117B99" w:rsidRPr="00117B99">
        <w:rPr>
          <w:vertAlign w:val="subscript"/>
        </w:rPr>
        <w:t>2</w:t>
      </w:r>
      <w:r w:rsidR="00117B99">
        <w:t>O production pathway with H</w:t>
      </w:r>
      <w:r w:rsidR="00117B99" w:rsidRPr="00117B99">
        <w:rPr>
          <w:vertAlign w:val="subscript"/>
        </w:rPr>
        <w:t>2</w:t>
      </w:r>
      <w:r w:rsidR="00117B99">
        <w:t>O</w:t>
      </w:r>
      <w:r w:rsidR="00117B99" w:rsidRPr="00117B99">
        <w:rPr>
          <w:vertAlign w:val="subscript"/>
        </w:rPr>
        <w:t>2</w:t>
      </w:r>
      <w:r w:rsidR="00117B99">
        <w:t xml:space="preserve"> due to their shared characteristics as selective mono</w:t>
      </w:r>
      <w:r w:rsidR="00117B99">
        <w:noBreakHyphen/>
        <w:t>oxygen donors, high oxidation selectivity, and the production of benign by</w:t>
      </w:r>
      <w:r w:rsidR="00117B99">
        <w:noBreakHyphen/>
        <w:t>products, N</w:t>
      </w:r>
      <w:r w:rsidR="00117B99" w:rsidRPr="00117B99">
        <w:rPr>
          <w:vertAlign w:val="subscript"/>
        </w:rPr>
        <w:t>2</w:t>
      </w:r>
      <w:r w:rsidR="00117B99">
        <w:t xml:space="preserve"> in the case of N</w:t>
      </w:r>
      <w:r w:rsidR="00117B99" w:rsidRPr="00117B99">
        <w:rPr>
          <w:vertAlign w:val="subscript"/>
        </w:rPr>
        <w:t>2</w:t>
      </w:r>
      <w:r w:rsidR="00117B99">
        <w:t>O and water for H</w:t>
      </w:r>
      <w:r w:rsidR="00117B99" w:rsidRPr="00117B99">
        <w:rPr>
          <w:vertAlign w:val="subscript"/>
        </w:rPr>
        <w:t>2</w:t>
      </w:r>
      <w:r w:rsidR="00117B99">
        <w:t>O</w:t>
      </w:r>
      <w:r w:rsidR="00117B99" w:rsidRPr="00117B99">
        <w:rPr>
          <w:vertAlign w:val="subscript"/>
        </w:rPr>
        <w:t>2</w:t>
      </w:r>
      <w:r w:rsidR="00117B99">
        <w:t>. This section compares their economic and environmental performance, considering both fossil and green production pathways.</w:t>
      </w:r>
    </w:p>
    <w:p w14:paraId="1CA2D060" w14:textId="30771A86" w:rsidR="000C3F5E" w:rsidRDefault="00FE50A5" w:rsidP="00263F99">
      <w:pPr>
        <w:pStyle w:val="RSCB02ArticleText"/>
        <w:ind w:firstLine="284"/>
        <w:rPr>
          <w:rStyle w:val="06CHeading"/>
          <w:rFonts w:asciiTheme="minorHAnsi" w:hAnsiTheme="minorHAnsi"/>
          <w:b w:val="0"/>
          <w:smallCaps w:val="0"/>
        </w:rPr>
      </w:pPr>
      <w:r>
        <w:rPr>
          <w:rStyle w:val="06CHeading"/>
          <w:rFonts w:asciiTheme="minorHAnsi" w:hAnsiTheme="minorHAnsi"/>
          <w:b w:val="0"/>
          <w:smallCaps w:val="0"/>
        </w:rPr>
        <w:t xml:space="preserve">As shown in </w:t>
      </w:r>
      <w:r w:rsidRPr="007A4704">
        <w:rPr>
          <w:rStyle w:val="06CHeading"/>
          <w:rFonts w:asciiTheme="minorHAnsi" w:hAnsiTheme="minorHAnsi"/>
          <w:smallCaps w:val="0"/>
        </w:rPr>
        <w:t>Fig. 3a</w:t>
      </w:r>
      <w:r>
        <w:rPr>
          <w:rStyle w:val="06CHeading"/>
          <w:rFonts w:asciiTheme="minorHAnsi" w:hAnsiTheme="minorHAnsi"/>
          <w:b w:val="0"/>
          <w:smallCaps w:val="0"/>
        </w:rPr>
        <w:t>, H</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 xml:space="preserve"> </w:t>
      </w:r>
      <w:r w:rsidR="006249E2">
        <w:rPr>
          <w:rStyle w:val="06CHeading"/>
          <w:rFonts w:asciiTheme="minorHAnsi" w:hAnsiTheme="minorHAnsi"/>
          <w:b w:val="0"/>
          <w:smallCaps w:val="0"/>
        </w:rPr>
        <w:t xml:space="preserve">produced </w:t>
      </w:r>
      <w:r w:rsidR="006249E2" w:rsidRPr="006249E2">
        <w:rPr>
          <w:rStyle w:val="06CHeading"/>
          <w:rFonts w:asciiTheme="minorHAnsi" w:hAnsiTheme="minorHAnsi"/>
          <w:b w:val="0"/>
          <w:i/>
          <w:smallCaps w:val="0"/>
        </w:rPr>
        <w:t>via</w:t>
      </w:r>
      <w:r w:rsidR="006249E2">
        <w:rPr>
          <w:rStyle w:val="06CHeading"/>
          <w:rFonts w:asciiTheme="minorHAnsi" w:hAnsiTheme="minorHAnsi"/>
          <w:b w:val="0"/>
          <w:smallCaps w:val="0"/>
        </w:rPr>
        <w:t xml:space="preserve"> the anthraquinone</w:t>
      </w:r>
      <w:r w:rsidR="00767085">
        <w:rPr>
          <w:rStyle w:val="06CHeading"/>
          <w:rFonts w:asciiTheme="minorHAnsi" w:hAnsiTheme="minorHAnsi"/>
          <w:b w:val="0"/>
          <w:smallCaps w:val="0"/>
        </w:rPr>
        <w:noBreakHyphen/>
        <w:t>based</w:t>
      </w:r>
      <w:r w:rsidR="006249E2">
        <w:rPr>
          <w:rStyle w:val="06CHeading"/>
          <w:rFonts w:asciiTheme="minorHAnsi" w:hAnsiTheme="minorHAnsi"/>
          <w:b w:val="0"/>
          <w:smallCaps w:val="0"/>
        </w:rPr>
        <w:t xml:space="preserve"> AO process </w:t>
      </w:r>
      <w:r>
        <w:rPr>
          <w:rStyle w:val="06CHeading"/>
          <w:rFonts w:asciiTheme="minorHAnsi" w:hAnsiTheme="minorHAnsi"/>
          <w:b w:val="0"/>
          <w:smallCaps w:val="0"/>
        </w:rPr>
        <w:t>is significantly more expensive than N</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 across all scenarios. In the fossil case, H</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 xml:space="preserve"> costs reach 1.6 USD kg</w:t>
      </w:r>
      <w:r w:rsidRPr="007A4704">
        <w:rPr>
          <w:rStyle w:val="06CHeading"/>
          <w:rFonts w:asciiTheme="minorHAnsi" w:hAnsiTheme="minorHAnsi"/>
          <w:b w:val="0"/>
          <w:smallCaps w:val="0"/>
          <w:vertAlign w:val="superscript"/>
        </w:rPr>
        <w:t>–1</w:t>
      </w:r>
      <w:r>
        <w:rPr>
          <w:rStyle w:val="06CHeading"/>
          <w:rFonts w:asciiTheme="minorHAnsi" w:hAnsiTheme="minorHAnsi"/>
          <w:b w:val="0"/>
          <w:smallCaps w:val="0"/>
        </w:rPr>
        <w:t>, approximately 2.6 times higher than N</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 (0.6 USD kg</w:t>
      </w:r>
      <w:r w:rsidRPr="007A4704">
        <w:rPr>
          <w:rStyle w:val="06CHeading"/>
          <w:rFonts w:asciiTheme="minorHAnsi" w:hAnsiTheme="minorHAnsi"/>
          <w:b w:val="0"/>
          <w:smallCaps w:val="0"/>
          <w:vertAlign w:val="superscript"/>
        </w:rPr>
        <w:t>–1</w:t>
      </w:r>
      <w:r>
        <w:rPr>
          <w:rStyle w:val="06CHeading"/>
          <w:rFonts w:asciiTheme="minorHAnsi" w:hAnsiTheme="minorHAnsi"/>
          <w:b w:val="0"/>
          <w:smallCaps w:val="0"/>
        </w:rPr>
        <w:t>). Under the green scenario</w:t>
      </w:r>
      <w:r w:rsidR="00AA5ED4">
        <w:rPr>
          <w:rStyle w:val="06CHeading"/>
          <w:rFonts w:asciiTheme="minorHAnsi" w:hAnsiTheme="minorHAnsi"/>
          <w:b w:val="0"/>
          <w:smallCaps w:val="0"/>
        </w:rPr>
        <w:t>,</w:t>
      </w:r>
      <w:r>
        <w:rPr>
          <w:rStyle w:val="06CHeading"/>
          <w:rFonts w:asciiTheme="minorHAnsi" w:hAnsiTheme="minorHAnsi"/>
          <w:b w:val="0"/>
          <w:smallCaps w:val="0"/>
        </w:rPr>
        <w:t xml:space="preserve"> utilizing electrolytic hydrogen powered by renewable electricity, H</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 xml:space="preserve"> remains 1.7 times more expensive (1.9 </w:t>
      </w:r>
      <w:r w:rsidRPr="0075114F">
        <w:rPr>
          <w:rStyle w:val="06CHeading"/>
          <w:rFonts w:asciiTheme="minorHAnsi" w:hAnsiTheme="minorHAnsi"/>
          <w:b w:val="0"/>
          <w:smallCaps w:val="0"/>
        </w:rPr>
        <w:t>vs.</w:t>
      </w:r>
      <w:r>
        <w:rPr>
          <w:rStyle w:val="06CHeading"/>
          <w:rFonts w:asciiTheme="minorHAnsi" w:hAnsiTheme="minorHAnsi"/>
          <w:b w:val="0"/>
          <w:smallCaps w:val="0"/>
        </w:rPr>
        <w:t xml:space="preserve"> 1.2 USD kg</w:t>
      </w:r>
      <w:r w:rsidRPr="007A4704">
        <w:rPr>
          <w:rStyle w:val="06CHeading"/>
          <w:rFonts w:asciiTheme="minorHAnsi" w:hAnsiTheme="minorHAnsi"/>
          <w:b w:val="0"/>
          <w:smallCaps w:val="0"/>
          <w:vertAlign w:val="superscript"/>
        </w:rPr>
        <w:t>–1</w:t>
      </w:r>
      <w:r>
        <w:rPr>
          <w:rStyle w:val="06CHeading"/>
          <w:rFonts w:asciiTheme="minorHAnsi" w:hAnsiTheme="minorHAnsi"/>
          <w:b w:val="0"/>
          <w:smallCaps w:val="0"/>
        </w:rPr>
        <w:t>). The higher costs of H</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 xml:space="preserve"> are largely driven by </w:t>
      </w:r>
      <w:r w:rsidR="00AA5ED4">
        <w:rPr>
          <w:rStyle w:val="06CHeading"/>
          <w:rFonts w:asciiTheme="minorHAnsi" w:hAnsiTheme="minorHAnsi"/>
          <w:b w:val="0"/>
          <w:smallCaps w:val="0"/>
        </w:rPr>
        <w:t xml:space="preserve">the </w:t>
      </w:r>
      <w:r>
        <w:rPr>
          <w:rStyle w:val="06CHeading"/>
          <w:rFonts w:asciiTheme="minorHAnsi" w:hAnsiTheme="minorHAnsi"/>
          <w:b w:val="0"/>
          <w:smallCaps w:val="0"/>
        </w:rPr>
        <w:t>2-ethylanthraquinone working solution. In contrast, for N</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 NH</w:t>
      </w:r>
      <w:r w:rsidRPr="007A4704">
        <w:rPr>
          <w:rStyle w:val="06CHeading"/>
          <w:rFonts w:asciiTheme="minorHAnsi" w:hAnsiTheme="minorHAnsi"/>
          <w:b w:val="0"/>
          <w:smallCaps w:val="0"/>
          <w:vertAlign w:val="subscript"/>
        </w:rPr>
        <w:t>3</w:t>
      </w:r>
      <w:r>
        <w:rPr>
          <w:rStyle w:val="06CHeading"/>
          <w:rFonts w:asciiTheme="minorHAnsi" w:hAnsiTheme="minorHAnsi"/>
          <w:b w:val="0"/>
          <w:smallCaps w:val="0"/>
        </w:rPr>
        <w:t xml:space="preserve"> feedstock costs are the main contributors</w:t>
      </w:r>
      <w:r w:rsidR="00AA5ED4">
        <w:rPr>
          <w:rStyle w:val="06CHeading"/>
          <w:rFonts w:asciiTheme="minorHAnsi" w:hAnsiTheme="minorHAnsi"/>
          <w:b w:val="0"/>
          <w:smallCaps w:val="0"/>
        </w:rPr>
        <w:t>,</w:t>
      </w:r>
      <w:r>
        <w:rPr>
          <w:rStyle w:val="06CHeading"/>
          <w:rFonts w:asciiTheme="minorHAnsi" w:hAnsiTheme="minorHAnsi"/>
          <w:b w:val="0"/>
          <w:smallCaps w:val="0"/>
        </w:rPr>
        <w:t xml:space="preserve"> with minimal contributions from utilities and CAPEX.</w:t>
      </w:r>
    </w:p>
    <w:p w14:paraId="6E919778" w14:textId="77777777" w:rsidR="00FF6055" w:rsidRDefault="00FE50A5" w:rsidP="00FF6055">
      <w:pPr>
        <w:pStyle w:val="RSCB02ArticleText"/>
        <w:ind w:firstLine="284"/>
      </w:pPr>
      <w:r>
        <w:rPr>
          <w:rStyle w:val="06CHeading"/>
          <w:rFonts w:asciiTheme="minorHAnsi" w:hAnsiTheme="minorHAnsi"/>
          <w:b w:val="0"/>
          <w:smallCaps w:val="0"/>
        </w:rPr>
        <w:t xml:space="preserve">Furthermore, </w:t>
      </w:r>
      <w:r w:rsidRPr="007A4704">
        <w:rPr>
          <w:rStyle w:val="06CHeading"/>
          <w:rFonts w:asciiTheme="minorHAnsi" w:hAnsiTheme="minorHAnsi"/>
          <w:smallCaps w:val="0"/>
        </w:rPr>
        <w:t>Fig. 3b</w:t>
      </w:r>
      <w:r>
        <w:rPr>
          <w:rStyle w:val="06CHeading"/>
          <w:rFonts w:asciiTheme="minorHAnsi" w:hAnsiTheme="minorHAnsi"/>
          <w:b w:val="0"/>
          <w:smallCaps w:val="0"/>
        </w:rPr>
        <w:t xml:space="preserve"> presents the climate change impacts for both oxidants. Under fossil</w:t>
      </w:r>
      <w:r>
        <w:rPr>
          <w:rStyle w:val="06CHeading"/>
          <w:rFonts w:asciiTheme="minorHAnsi" w:hAnsiTheme="minorHAnsi"/>
          <w:b w:val="0"/>
          <w:smallCaps w:val="0"/>
        </w:rPr>
        <w:noBreakHyphen/>
        <w:t>based production, N</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 has a higher climate change impact of 2.8 kg CO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noBreakHyphen/>
        <w:t>eq kg</w:t>
      </w:r>
      <w:r w:rsidRPr="007A4704">
        <w:rPr>
          <w:rStyle w:val="06CHeading"/>
          <w:rFonts w:asciiTheme="minorHAnsi" w:hAnsiTheme="minorHAnsi"/>
          <w:b w:val="0"/>
          <w:smallCaps w:val="0"/>
          <w:vertAlign w:val="superscript"/>
        </w:rPr>
        <w:t>–1</w:t>
      </w:r>
      <w:r>
        <w:rPr>
          <w:rStyle w:val="06CHeading"/>
          <w:rFonts w:asciiTheme="minorHAnsi" w:hAnsiTheme="minorHAnsi"/>
          <w:b w:val="0"/>
          <w:smallCaps w:val="0"/>
        </w:rPr>
        <w:t xml:space="preserve"> </w:t>
      </w:r>
      <w:r w:rsidRPr="0075114F">
        <w:rPr>
          <w:rStyle w:val="06CHeading"/>
          <w:rFonts w:asciiTheme="minorHAnsi" w:hAnsiTheme="minorHAnsi"/>
          <w:b w:val="0"/>
          <w:smallCaps w:val="0"/>
        </w:rPr>
        <w:t>vs</w:t>
      </w:r>
      <w:r>
        <w:rPr>
          <w:rStyle w:val="06CHeading"/>
          <w:rFonts w:asciiTheme="minorHAnsi" w:hAnsiTheme="minorHAnsi"/>
          <w:b w:val="0"/>
          <w:smallCaps w:val="0"/>
        </w:rPr>
        <w:t>. 1.3 kg CO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noBreakHyphen/>
        <w:t>eq kg</w:t>
      </w:r>
      <w:r w:rsidRPr="007A4704">
        <w:rPr>
          <w:rStyle w:val="06CHeading"/>
          <w:rFonts w:asciiTheme="minorHAnsi" w:hAnsiTheme="minorHAnsi"/>
          <w:b w:val="0"/>
          <w:smallCaps w:val="0"/>
          <w:vertAlign w:val="superscript"/>
        </w:rPr>
        <w:t>–1</w:t>
      </w:r>
      <w:r>
        <w:rPr>
          <w:rStyle w:val="06CHeading"/>
          <w:rFonts w:asciiTheme="minorHAnsi" w:hAnsiTheme="minorHAnsi"/>
          <w:b w:val="0"/>
          <w:smallCaps w:val="0"/>
        </w:rPr>
        <w:t xml:space="preserve"> for H</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 However, in the green scenario, impacts fall significantly to 0.7 kg CO</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noBreakHyphen/>
        <w:t>eq kg</w:t>
      </w:r>
      <w:r w:rsidRPr="007A4704">
        <w:rPr>
          <w:rStyle w:val="06CHeading"/>
          <w:rFonts w:asciiTheme="minorHAnsi" w:hAnsiTheme="minorHAnsi"/>
          <w:b w:val="0"/>
          <w:smallCaps w:val="0"/>
          <w:vertAlign w:val="superscript"/>
        </w:rPr>
        <w:t>–1</w:t>
      </w:r>
      <w:r>
        <w:rPr>
          <w:rStyle w:val="06CHeading"/>
          <w:rFonts w:asciiTheme="minorHAnsi" w:hAnsiTheme="minorHAnsi"/>
          <w:b w:val="0"/>
          <w:smallCaps w:val="0"/>
        </w:rPr>
        <w:t xml:space="preserve"> for N</w:t>
      </w:r>
      <w:r w:rsidRPr="007A4704">
        <w:rPr>
          <w:rStyle w:val="06CHeading"/>
          <w:rFonts w:asciiTheme="minorHAnsi" w:hAnsiTheme="minorHAnsi"/>
          <w:b w:val="0"/>
          <w:smallCaps w:val="0"/>
          <w:vertAlign w:val="subscript"/>
        </w:rPr>
        <w:t>2</w:t>
      </w:r>
      <w:r>
        <w:rPr>
          <w:rStyle w:val="06CHeading"/>
          <w:rFonts w:asciiTheme="minorHAnsi" w:hAnsiTheme="minorHAnsi"/>
          <w:b w:val="0"/>
          <w:smallCaps w:val="0"/>
        </w:rPr>
        <w:t xml:space="preserve">O and </w:t>
      </w:r>
      <w:r w:rsidR="007A4704">
        <w:rPr>
          <w:rStyle w:val="06CHeading"/>
          <w:rFonts w:asciiTheme="minorHAnsi" w:hAnsiTheme="minorHAnsi"/>
          <w:b w:val="0"/>
          <w:smallCaps w:val="0"/>
        </w:rPr>
        <w:t>0.5 kg CO</w:t>
      </w:r>
      <w:r w:rsidR="007A4704" w:rsidRPr="007A4704">
        <w:rPr>
          <w:rStyle w:val="06CHeading"/>
          <w:rFonts w:asciiTheme="minorHAnsi" w:hAnsiTheme="minorHAnsi"/>
          <w:b w:val="0"/>
          <w:smallCaps w:val="0"/>
          <w:vertAlign w:val="subscript"/>
        </w:rPr>
        <w:t>2</w:t>
      </w:r>
      <w:r w:rsidR="007A4704">
        <w:rPr>
          <w:rStyle w:val="06CHeading"/>
          <w:rFonts w:asciiTheme="minorHAnsi" w:hAnsiTheme="minorHAnsi"/>
          <w:b w:val="0"/>
          <w:smallCaps w:val="0"/>
        </w:rPr>
        <w:noBreakHyphen/>
        <w:t>eq kg</w:t>
      </w:r>
      <w:r w:rsidR="007A4704" w:rsidRPr="007A4704">
        <w:rPr>
          <w:rStyle w:val="06CHeading"/>
          <w:rFonts w:asciiTheme="minorHAnsi" w:hAnsiTheme="minorHAnsi"/>
          <w:b w:val="0"/>
          <w:smallCaps w:val="0"/>
          <w:vertAlign w:val="superscript"/>
        </w:rPr>
        <w:t>–1</w:t>
      </w:r>
      <w:r w:rsidR="007A4704">
        <w:rPr>
          <w:rStyle w:val="06CHeading"/>
          <w:rFonts w:asciiTheme="minorHAnsi" w:hAnsiTheme="minorHAnsi"/>
          <w:b w:val="0"/>
          <w:smallCaps w:val="0"/>
        </w:rPr>
        <w:t xml:space="preserve"> for H</w:t>
      </w:r>
      <w:r w:rsidR="007A4704" w:rsidRPr="007A4704">
        <w:rPr>
          <w:rStyle w:val="06CHeading"/>
          <w:rFonts w:asciiTheme="minorHAnsi" w:hAnsiTheme="minorHAnsi"/>
          <w:b w:val="0"/>
          <w:smallCaps w:val="0"/>
          <w:vertAlign w:val="subscript"/>
        </w:rPr>
        <w:t>2</w:t>
      </w:r>
      <w:r w:rsidR="007A4704">
        <w:rPr>
          <w:rStyle w:val="06CHeading"/>
          <w:rFonts w:asciiTheme="minorHAnsi" w:hAnsiTheme="minorHAnsi"/>
          <w:b w:val="0"/>
          <w:smallCaps w:val="0"/>
        </w:rPr>
        <w:t>O</w:t>
      </w:r>
      <w:r w:rsidR="007A4704" w:rsidRPr="007A4704">
        <w:rPr>
          <w:rStyle w:val="06CHeading"/>
          <w:rFonts w:asciiTheme="minorHAnsi" w:hAnsiTheme="minorHAnsi"/>
          <w:b w:val="0"/>
          <w:smallCaps w:val="0"/>
          <w:vertAlign w:val="subscript"/>
        </w:rPr>
        <w:t>2</w:t>
      </w:r>
      <w:r w:rsidR="007A4704">
        <w:rPr>
          <w:rStyle w:val="06CHeading"/>
          <w:rFonts w:asciiTheme="minorHAnsi" w:hAnsiTheme="minorHAnsi"/>
          <w:b w:val="0"/>
          <w:smallCaps w:val="0"/>
        </w:rPr>
        <w:t xml:space="preserve">. In the </w:t>
      </w:r>
      <w:r w:rsidR="00B526E2">
        <w:rPr>
          <w:rStyle w:val="06CHeading"/>
          <w:rFonts w:asciiTheme="minorHAnsi" w:hAnsiTheme="minorHAnsi"/>
          <w:b w:val="0"/>
          <w:smallCaps w:val="0"/>
        </w:rPr>
        <w:t>green scenario</w:t>
      </w:r>
      <w:r w:rsidR="007A4704">
        <w:rPr>
          <w:rStyle w:val="06CHeading"/>
          <w:rFonts w:asciiTheme="minorHAnsi" w:hAnsiTheme="minorHAnsi"/>
          <w:b w:val="0"/>
          <w:smallCaps w:val="0"/>
        </w:rPr>
        <w:t>, by 2050, N</w:t>
      </w:r>
      <w:r w:rsidR="007A4704" w:rsidRPr="007A4704">
        <w:rPr>
          <w:rStyle w:val="06CHeading"/>
          <w:rFonts w:asciiTheme="minorHAnsi" w:hAnsiTheme="minorHAnsi"/>
          <w:b w:val="0"/>
          <w:smallCaps w:val="0"/>
          <w:vertAlign w:val="subscript"/>
        </w:rPr>
        <w:t>2</w:t>
      </w:r>
      <w:r w:rsidR="007A4704">
        <w:rPr>
          <w:rStyle w:val="06CHeading"/>
          <w:rFonts w:asciiTheme="minorHAnsi" w:hAnsiTheme="minorHAnsi"/>
          <w:b w:val="0"/>
          <w:smallCaps w:val="0"/>
        </w:rPr>
        <w:t>O’s impact further drops to 0.3 kg CO</w:t>
      </w:r>
      <w:r w:rsidR="007A4704" w:rsidRPr="007A4704">
        <w:rPr>
          <w:rStyle w:val="06CHeading"/>
          <w:rFonts w:asciiTheme="minorHAnsi" w:hAnsiTheme="minorHAnsi"/>
          <w:b w:val="0"/>
          <w:smallCaps w:val="0"/>
          <w:vertAlign w:val="subscript"/>
        </w:rPr>
        <w:t>2</w:t>
      </w:r>
      <w:r w:rsidR="007A4704">
        <w:rPr>
          <w:rStyle w:val="06CHeading"/>
          <w:rFonts w:asciiTheme="minorHAnsi" w:hAnsiTheme="minorHAnsi"/>
          <w:b w:val="0"/>
          <w:smallCaps w:val="0"/>
        </w:rPr>
        <w:noBreakHyphen/>
        <w:t>eq</w:t>
      </w:r>
      <w:r w:rsidR="007A4704">
        <w:t> kg</w:t>
      </w:r>
      <w:r w:rsidR="007A4704" w:rsidRPr="007A4704">
        <w:rPr>
          <w:vertAlign w:val="superscript"/>
        </w:rPr>
        <w:t>–1</w:t>
      </w:r>
      <w:r w:rsidR="007A4704">
        <w:t>, slightly outperforming H</w:t>
      </w:r>
      <w:r w:rsidR="007A4704" w:rsidRPr="007A4704">
        <w:rPr>
          <w:vertAlign w:val="subscript"/>
        </w:rPr>
        <w:t>2</w:t>
      </w:r>
      <w:r w:rsidR="007A4704">
        <w:t>O</w:t>
      </w:r>
      <w:r w:rsidR="007A4704" w:rsidRPr="007A4704">
        <w:rPr>
          <w:vertAlign w:val="subscript"/>
        </w:rPr>
        <w:t>2</w:t>
      </w:r>
      <w:r w:rsidR="007A4704">
        <w:t xml:space="preserve"> (0.4 kg CO</w:t>
      </w:r>
      <w:r w:rsidR="007A4704" w:rsidRPr="007A4704">
        <w:rPr>
          <w:vertAlign w:val="subscript"/>
        </w:rPr>
        <w:t>2</w:t>
      </w:r>
      <w:r w:rsidR="007A4704">
        <w:noBreakHyphen/>
        <w:t>eq kg</w:t>
      </w:r>
      <w:r w:rsidR="007A4704" w:rsidRPr="007A4704">
        <w:rPr>
          <w:vertAlign w:val="superscript"/>
        </w:rPr>
        <w:t>–1</w:t>
      </w:r>
      <w:r w:rsidR="007A4704">
        <w:t>).</w:t>
      </w:r>
    </w:p>
    <w:p w14:paraId="24D7DE6F" w14:textId="75D91505" w:rsidR="00B526E2" w:rsidRDefault="00B526E2" w:rsidP="00FF6055">
      <w:pPr>
        <w:pStyle w:val="RSCB02ArticleText"/>
        <w:spacing w:after="240"/>
        <w:ind w:firstLine="284"/>
      </w:pPr>
      <w:r>
        <w:t>To explore cost</w:t>
      </w:r>
      <w:r>
        <w:noBreakHyphen/>
        <w:t>effective pathways for reducing the climate change impact of N</w:t>
      </w:r>
      <w:r w:rsidRPr="00FF6055">
        <w:rPr>
          <w:vertAlign w:val="subscript"/>
        </w:rPr>
        <w:t>2</w:t>
      </w:r>
      <w:r>
        <w:t>O, we evaluated a blended ammonia scenario combining fossil</w:t>
      </w:r>
      <w:r>
        <w:noBreakHyphen/>
        <w:t>based and green NH</w:t>
      </w:r>
      <w:r w:rsidRPr="00FF6055">
        <w:rPr>
          <w:vertAlign w:val="subscript"/>
        </w:rPr>
        <w:t>3</w:t>
      </w:r>
      <w:r>
        <w:t xml:space="preserve"> feedstocks. As shown in </w:t>
      </w:r>
      <w:r w:rsidRPr="00FF6055">
        <w:rPr>
          <w:b/>
        </w:rPr>
        <w:t>Fig. 4</w:t>
      </w:r>
      <w:r>
        <w:t>, a mix of 28% fossil and 72% green NH</w:t>
      </w:r>
      <w:r w:rsidRPr="00FF6055">
        <w:rPr>
          <w:vertAlign w:val="subscript"/>
        </w:rPr>
        <w:t>3</w:t>
      </w:r>
      <w:r>
        <w:t xml:space="preserve"> enables N</w:t>
      </w:r>
      <w:r w:rsidRPr="00FF6055">
        <w:rPr>
          <w:vertAlign w:val="subscript"/>
        </w:rPr>
        <w:t>2</w:t>
      </w:r>
      <w:r>
        <w:t>O production to match the climate change impacts of fossil</w:t>
      </w:r>
      <w:r>
        <w:noBreakHyphen/>
        <w:t>derived H</w:t>
      </w:r>
      <w:r w:rsidRPr="00FF6055">
        <w:rPr>
          <w:vertAlign w:val="subscript"/>
        </w:rPr>
        <w:t>2</w:t>
      </w:r>
      <w:r>
        <w:t>O</w:t>
      </w:r>
      <w:r w:rsidRPr="00FF6055">
        <w:rPr>
          <w:vertAlign w:val="subscript"/>
        </w:rPr>
        <w:t>2</w:t>
      </w:r>
      <w:r>
        <w:t xml:space="preserve"> (1.3 kg CO</w:t>
      </w:r>
      <w:r w:rsidRPr="00FF6055">
        <w:rPr>
          <w:vertAlign w:val="subscript"/>
        </w:rPr>
        <w:t>2</w:t>
      </w:r>
      <w:r>
        <w:noBreakHyphen/>
        <w:t>eq kg</w:t>
      </w:r>
      <w:r w:rsidRPr="00FF6055">
        <w:rPr>
          <w:vertAlign w:val="superscript"/>
        </w:rPr>
        <w:t>–1</w:t>
      </w:r>
      <w:r>
        <w:t>). This blended scenario achieves a 38% lower cost compared to H</w:t>
      </w:r>
      <w:r w:rsidRPr="00FF6055">
        <w:rPr>
          <w:vertAlign w:val="subscript"/>
        </w:rPr>
        <w:t>2</w:t>
      </w:r>
      <w:r>
        <w:t>O</w:t>
      </w:r>
      <w:r w:rsidRPr="00FF6055">
        <w:rPr>
          <w:vertAlign w:val="subscript"/>
        </w:rPr>
        <w:t>2</w:t>
      </w:r>
      <w:r>
        <w:t>, highlighting a viable strategy that balances environmental performance while being economically competitive. By 2050, further cost reductions are projected for N</w:t>
      </w:r>
      <w:r w:rsidRPr="00FF6055">
        <w:rPr>
          <w:vertAlign w:val="subscript"/>
        </w:rPr>
        <w:t>2</w:t>
      </w:r>
      <w:r>
        <w:t>O due to improvements in green NH</w:t>
      </w:r>
      <w:r w:rsidRPr="00AA5ED4">
        <w:rPr>
          <w:vertAlign w:val="subscript"/>
        </w:rPr>
        <w:t>3</w:t>
      </w:r>
      <w:r>
        <w:t xml:space="preserve"> production, reinforcing N</w:t>
      </w:r>
      <w:r w:rsidRPr="00FF6055">
        <w:rPr>
          <w:vertAlign w:val="subscript"/>
        </w:rPr>
        <w:t>2</w:t>
      </w:r>
      <w:r>
        <w:t>O’s competitiveness as a green oxidant.</w:t>
      </w:r>
    </w:p>
    <w:p w14:paraId="4EFFF17C" w14:textId="42BB14FF" w:rsidR="008B2F2E" w:rsidRDefault="007223B9" w:rsidP="008B2F2E">
      <w:pPr>
        <w:pStyle w:val="RSCB08CHeadingIn-line"/>
      </w:pPr>
      <w:r>
        <w:t>Quantitative safety evaluation of N</w:t>
      </w:r>
      <w:r w:rsidRPr="007223B9">
        <w:rPr>
          <w:vertAlign w:val="subscript"/>
        </w:rPr>
        <w:t>2</w:t>
      </w:r>
      <w:r>
        <w:t>O and H</w:t>
      </w:r>
      <w:r w:rsidRPr="007223B9">
        <w:rPr>
          <w:vertAlign w:val="subscript"/>
        </w:rPr>
        <w:t>2</w:t>
      </w:r>
      <w:r>
        <w:t>O</w:t>
      </w:r>
      <w:r w:rsidRPr="007223B9">
        <w:rPr>
          <w:vertAlign w:val="subscript"/>
        </w:rPr>
        <w:t>2</w:t>
      </w:r>
      <w:r>
        <w:t xml:space="preserve"> production</w:t>
      </w:r>
    </w:p>
    <w:p w14:paraId="4BE00254" w14:textId="0B642842" w:rsidR="008B2F2E" w:rsidRDefault="00A83D7C" w:rsidP="00B144BD">
      <w:pPr>
        <w:pStyle w:val="RSCB02ArticleText"/>
        <w:spacing w:after="240"/>
      </w:pPr>
      <w:r>
        <w:t>Next, we c</w:t>
      </w:r>
      <w:r w:rsidR="008B2F2E">
        <w:t>ompar</w:t>
      </w:r>
      <w:r>
        <w:t>e</w:t>
      </w:r>
      <w:r w:rsidR="008B2F2E">
        <w:t xml:space="preserve"> the Dow F&amp;EI and TNT equivalency </w:t>
      </w:r>
      <w:r w:rsidR="006249E2">
        <w:t>for the one</w:t>
      </w:r>
      <w:r w:rsidR="006249E2">
        <w:noBreakHyphen/>
        <w:t>step N</w:t>
      </w:r>
      <w:r w:rsidR="006249E2" w:rsidRPr="008148E3">
        <w:rPr>
          <w:vertAlign w:val="subscript"/>
        </w:rPr>
        <w:t>2</w:t>
      </w:r>
      <w:r w:rsidR="006249E2">
        <w:t xml:space="preserve">O </w:t>
      </w:r>
      <w:r w:rsidRPr="0075114F">
        <w:t>vs</w:t>
      </w:r>
      <w:r>
        <w:t>.</w:t>
      </w:r>
      <w:r w:rsidR="006249E2">
        <w:t xml:space="preserve"> H</w:t>
      </w:r>
      <w:r w:rsidR="006249E2" w:rsidRPr="008148E3">
        <w:rPr>
          <w:vertAlign w:val="subscript"/>
        </w:rPr>
        <w:t>2</w:t>
      </w:r>
      <w:r w:rsidR="006249E2">
        <w:t>O</w:t>
      </w:r>
      <w:r w:rsidR="006249E2" w:rsidRPr="008148E3">
        <w:rPr>
          <w:vertAlign w:val="subscript"/>
        </w:rPr>
        <w:t>2</w:t>
      </w:r>
      <w:r w:rsidR="006249E2">
        <w:t xml:space="preserve"> production </w:t>
      </w:r>
      <w:r>
        <w:rPr>
          <w:i/>
        </w:rPr>
        <w:t>via</w:t>
      </w:r>
      <w:r>
        <w:t xml:space="preserve"> the AO process</w:t>
      </w:r>
      <w:r w:rsidR="007223B9">
        <w:t xml:space="preserve">, as summarized in </w:t>
      </w:r>
      <w:r w:rsidR="007223B9" w:rsidRPr="007223B9">
        <w:rPr>
          <w:b/>
        </w:rPr>
        <w:t>Table 2</w:t>
      </w:r>
      <w:r>
        <w:t>. The one</w:t>
      </w:r>
      <w:r>
        <w:noBreakHyphen/>
        <w:t>step N</w:t>
      </w:r>
      <w:r w:rsidRPr="00AF142D">
        <w:rPr>
          <w:vertAlign w:val="subscript"/>
        </w:rPr>
        <w:t>2</w:t>
      </w:r>
      <w:r>
        <w:t>O process presents a lower overall hazard, with an F&amp;EI of 47 (light hazard), compared to 111 (intermediate hazard) for H</w:t>
      </w:r>
      <w:r w:rsidRPr="00AF142D">
        <w:rPr>
          <w:vertAlign w:val="subscript"/>
        </w:rPr>
        <w:t>2</w:t>
      </w:r>
      <w:r>
        <w:t>O</w:t>
      </w:r>
      <w:r w:rsidRPr="00AF142D">
        <w:rPr>
          <w:vertAlign w:val="subscript"/>
        </w:rPr>
        <w:t>2</w:t>
      </w:r>
      <w:r>
        <w:t xml:space="preserve">. This </w:t>
      </w:r>
      <w:r w:rsidR="00485E00">
        <w:t>results in a</w:t>
      </w:r>
      <w:r>
        <w:t xml:space="preserve"> small</w:t>
      </w:r>
      <w:r w:rsidR="00485E00">
        <w:t>er</w:t>
      </w:r>
      <w:r>
        <w:t xml:space="preserve"> exposure radius and area for N</w:t>
      </w:r>
      <w:r w:rsidRPr="00485E00">
        <w:rPr>
          <w:vertAlign w:val="subscript"/>
        </w:rPr>
        <w:t>2</w:t>
      </w:r>
      <w:r>
        <w:t>O. Similarly, TNT equivalency reveals a stark contrast in explosion potential, with H</w:t>
      </w:r>
      <w:r w:rsidRPr="00820B49">
        <w:rPr>
          <w:vertAlign w:val="subscript"/>
        </w:rPr>
        <w:t>2</w:t>
      </w:r>
      <w:r>
        <w:t>O</w:t>
      </w:r>
      <w:r w:rsidRPr="00820B49">
        <w:rPr>
          <w:vertAlign w:val="subscript"/>
        </w:rPr>
        <w:t>2</w:t>
      </w:r>
      <w:r>
        <w:t xml:space="preserve"> having a TNT equivalent mass of 70,748 kg, more than ten times higher than that of N</w:t>
      </w:r>
      <w:r w:rsidRPr="00CC1670">
        <w:rPr>
          <w:vertAlign w:val="subscript"/>
        </w:rPr>
        <w:t>2</w:t>
      </w:r>
      <w:r>
        <w:t>O, further resulting in a greater fatality risk. Overall, the one</w:t>
      </w:r>
      <w:r>
        <w:noBreakHyphen/>
        <w:t>step N</w:t>
      </w:r>
      <w:r w:rsidRPr="006440AC">
        <w:rPr>
          <w:vertAlign w:val="subscript"/>
        </w:rPr>
        <w:t>2</w:t>
      </w:r>
      <w:r>
        <w:t>O production pathway poses significantly lower safety risks compared to both the five</w:t>
      </w:r>
      <w:r>
        <w:noBreakHyphen/>
        <w:t>step N</w:t>
      </w:r>
      <w:r w:rsidRPr="006440AC">
        <w:rPr>
          <w:vertAlign w:val="subscript"/>
        </w:rPr>
        <w:t>2</w:t>
      </w:r>
      <w:r>
        <w:t>O and the H</w:t>
      </w:r>
      <w:r w:rsidRPr="006440AC">
        <w:rPr>
          <w:vertAlign w:val="subscript"/>
        </w:rPr>
        <w:t>2</w:t>
      </w:r>
      <w:r>
        <w:t>O</w:t>
      </w:r>
      <w:r w:rsidRPr="006440AC">
        <w:rPr>
          <w:vertAlign w:val="subscript"/>
        </w:rPr>
        <w:t>2</w:t>
      </w:r>
      <w:r>
        <w:t xml:space="preserve"> production route</w:t>
      </w:r>
      <w:r w:rsidR="00E31F8F">
        <w:t>s</w:t>
      </w:r>
      <w:r>
        <w:t>.</w:t>
      </w:r>
    </w:p>
    <w:p w14:paraId="09DCA050" w14:textId="3A448172" w:rsidR="00B144BD" w:rsidRPr="00B05209" w:rsidRDefault="00B05209" w:rsidP="00B144BD">
      <w:pPr>
        <w:pStyle w:val="RSCB08CHeadingIn-line"/>
      </w:pPr>
      <w:r w:rsidRPr="00B05209">
        <w:t>Direct oxidation of benzene to phenol using N</w:t>
      </w:r>
      <w:r w:rsidRPr="00B05209">
        <w:rPr>
          <w:vertAlign w:val="subscript"/>
        </w:rPr>
        <w:t>2</w:t>
      </w:r>
      <w:r w:rsidRPr="00B05209">
        <w:t>O</w:t>
      </w:r>
    </w:p>
    <w:p w14:paraId="6FFEDBED" w14:textId="7A50CE11" w:rsidR="00B144BD" w:rsidRPr="00004C3B" w:rsidRDefault="00004C3B" w:rsidP="00B144BD">
      <w:pPr>
        <w:pStyle w:val="RSCB02ArticleText"/>
      </w:pPr>
      <w:r>
        <w:t>To support the case of N</w:t>
      </w:r>
      <w:r w:rsidRPr="00004C3B">
        <w:rPr>
          <w:vertAlign w:val="subscript"/>
        </w:rPr>
        <w:t>2</w:t>
      </w:r>
      <w:r>
        <w:t xml:space="preserve">O as a viable oxidant, we evaluate its performance in a key application, </w:t>
      </w:r>
      <w:r>
        <w:rPr>
          <w:i/>
        </w:rPr>
        <w:t>i.e.</w:t>
      </w:r>
      <w:r w:rsidR="00992998" w:rsidRPr="00992998">
        <w:t>,</w:t>
      </w:r>
      <w:r>
        <w:t xml:space="preserve"> phenol production. Today, phenol is a key intermediate in the chemical industry and is traditionally produced </w:t>
      </w:r>
      <w:r>
        <w:rPr>
          <w:i/>
        </w:rPr>
        <w:t>via</w:t>
      </w:r>
      <w:r>
        <w:t xml:space="preserve"> the conventional cumene oxidation process, which involves the alkylation of benzene with propylene to form cumene, followed by oxidation to yield phenol and acetone. While commercially dominant, the cumene oxidation process has several drawbacks, such as</w:t>
      </w:r>
      <w:r w:rsidR="00CB3379">
        <w:t xml:space="preserve"> being</w:t>
      </w:r>
      <w:r>
        <w:t xml:space="preserve"> multi</w:t>
      </w:r>
      <w:r>
        <w:noBreakHyphen/>
        <w:t>step, energy</w:t>
      </w:r>
      <w:r>
        <w:noBreakHyphen/>
        <w:t>intensive, and requiring complex separations. However, direct oxidation pathways can convert benzene directly to phenol in a single step using selective oxidants like N</w:t>
      </w:r>
      <w:r w:rsidRPr="00004C3B">
        <w:rPr>
          <w:vertAlign w:val="subscript"/>
        </w:rPr>
        <w:t>2</w:t>
      </w:r>
      <w:r>
        <w:t>O or H</w:t>
      </w:r>
      <w:r w:rsidRPr="00004C3B">
        <w:rPr>
          <w:vertAlign w:val="subscript"/>
        </w:rPr>
        <w:t>2</w:t>
      </w:r>
      <w:r>
        <w:t>O</w:t>
      </w:r>
      <w:r w:rsidRPr="00004C3B">
        <w:rPr>
          <w:vertAlign w:val="subscript"/>
        </w:rPr>
        <w:t>2</w:t>
      </w:r>
      <w:r>
        <w:t>.</w:t>
      </w:r>
    </w:p>
    <w:p w14:paraId="4D8B6220" w14:textId="2890FE16" w:rsidR="009F58F6" w:rsidRDefault="009F58F6" w:rsidP="009F58F6">
      <w:pPr>
        <w:pStyle w:val="RSCB02ArticleText"/>
        <w:ind w:firstLine="284"/>
      </w:pPr>
      <w:r>
        <w:t xml:space="preserve">As shown in </w:t>
      </w:r>
      <w:r w:rsidRPr="009F58F6">
        <w:rPr>
          <w:b/>
        </w:rPr>
        <w:t>Fig. 5a</w:t>
      </w:r>
      <w:r>
        <w:t>, the direct oxidation of benzene with N</w:t>
      </w:r>
      <w:r w:rsidRPr="009F58F6">
        <w:rPr>
          <w:vertAlign w:val="subscript"/>
        </w:rPr>
        <w:t>2</w:t>
      </w:r>
      <w:r>
        <w:t>O offers the most cost</w:t>
      </w:r>
      <w:r>
        <w:noBreakHyphen/>
        <w:t>effective route to produce phenol. With a cost of 1.1 USD kg</w:t>
      </w:r>
      <w:r w:rsidRPr="009F58F6">
        <w:rPr>
          <w:vertAlign w:val="superscript"/>
        </w:rPr>
        <w:t>–1</w:t>
      </w:r>
      <w:r>
        <w:t xml:space="preserve"> in the fossil scenario, it reduces costs by ca. 10% compared to the conventional cumene route. In contrast, H</w:t>
      </w:r>
      <w:r w:rsidRPr="009F58F6">
        <w:rPr>
          <w:vertAlign w:val="subscript"/>
        </w:rPr>
        <w:t>2</w:t>
      </w:r>
      <w:r>
        <w:t>O</w:t>
      </w:r>
      <w:r w:rsidRPr="009F58F6">
        <w:rPr>
          <w:vertAlign w:val="subscript"/>
        </w:rPr>
        <w:t>2</w:t>
      </w:r>
      <w:r>
        <w:t>-based oxidation is significantly more expensive, at 1.6 USD kg</w:t>
      </w:r>
      <w:r w:rsidRPr="009F58F6">
        <w:rPr>
          <w:vertAlign w:val="superscript"/>
        </w:rPr>
        <w:t>–1</w:t>
      </w:r>
      <w:r>
        <w:t>, due to the high cost of the anthraquinone working solution required to produce H</w:t>
      </w:r>
      <w:r w:rsidRPr="009F58F6">
        <w:rPr>
          <w:vertAlign w:val="subscript"/>
        </w:rPr>
        <w:t>2</w:t>
      </w:r>
      <w:r>
        <w:t>O2. In the green scenario, where N</w:t>
      </w:r>
      <w:r w:rsidRPr="009F58F6">
        <w:rPr>
          <w:vertAlign w:val="subscript"/>
        </w:rPr>
        <w:t>2</w:t>
      </w:r>
      <w:r>
        <w:t>O and H</w:t>
      </w:r>
      <w:r w:rsidRPr="009F58F6">
        <w:rPr>
          <w:vertAlign w:val="subscript"/>
        </w:rPr>
        <w:t>2</w:t>
      </w:r>
      <w:r>
        <w:t>O</w:t>
      </w:r>
      <w:r w:rsidRPr="009F58F6">
        <w:rPr>
          <w:vertAlign w:val="subscript"/>
        </w:rPr>
        <w:t>2</w:t>
      </w:r>
      <w:r>
        <w:t xml:space="preserve"> are derived from renewable sources, costs increase to 1.3 USD kg</w:t>
      </w:r>
      <w:r w:rsidRPr="009F58F6">
        <w:rPr>
          <w:vertAlign w:val="superscript"/>
        </w:rPr>
        <w:t>–1</w:t>
      </w:r>
      <w:r>
        <w:t xml:space="preserve"> and 1.8 USD kg</w:t>
      </w:r>
      <w:r w:rsidRPr="009F58F6">
        <w:rPr>
          <w:vertAlign w:val="superscript"/>
        </w:rPr>
        <w:t>–1</w:t>
      </w:r>
      <w:r>
        <w:t>, respectively, maintaining N</w:t>
      </w:r>
      <w:r w:rsidRPr="009F58F6">
        <w:rPr>
          <w:vertAlign w:val="subscript"/>
        </w:rPr>
        <w:t>2</w:t>
      </w:r>
      <w:r>
        <w:t>O’s clear economic superiority.</w:t>
      </w:r>
    </w:p>
    <w:p w14:paraId="682FC2E3" w14:textId="247E8ED0" w:rsidR="00BA1EA6" w:rsidRPr="00497F8B" w:rsidRDefault="00497F8B" w:rsidP="00BA1EA6">
      <w:pPr>
        <w:pStyle w:val="RSCB02ArticleText"/>
        <w:ind w:firstLine="284"/>
      </w:pPr>
      <w:r w:rsidRPr="00BA1EA6">
        <w:rPr>
          <w:b/>
        </w:rPr>
        <w:t>Fig. 5b</w:t>
      </w:r>
      <w:r>
        <w:t xml:space="preserve"> compares the cradle</w:t>
      </w:r>
      <w:r>
        <w:noBreakHyphen/>
        <w:t>to</w:t>
      </w:r>
      <w:r>
        <w:noBreakHyphen/>
        <w:t>gate climate impacts of all routes. The conventional cumene oxidation process shows the highest emissions, at 4.6 kg CO</w:t>
      </w:r>
      <w:r w:rsidRPr="00BA1EA6">
        <w:rPr>
          <w:vertAlign w:val="subscript"/>
        </w:rPr>
        <w:t>2</w:t>
      </w:r>
      <w:r>
        <w:noBreakHyphen/>
        <w:t>eq</w:t>
      </w:r>
      <w:r w:rsidR="00BA1EA6">
        <w:t> kg</w:t>
      </w:r>
      <w:r w:rsidR="00BA1EA6" w:rsidRPr="00BA1EA6">
        <w:rPr>
          <w:vertAlign w:val="superscript"/>
        </w:rPr>
        <w:t>–1</w:t>
      </w:r>
      <w:r w:rsidR="00BA1EA6">
        <w:t xml:space="preserve"> phenol. Direct oxidation pathways significantly reduce the climate change impacts to 4.3 and 3.3</w:t>
      </w:r>
      <w:r w:rsidR="00BA1EA6" w:rsidRPr="00BA1EA6">
        <w:t xml:space="preserve"> </w:t>
      </w:r>
      <w:r w:rsidR="00BA1EA6">
        <w:t>kg CO</w:t>
      </w:r>
      <w:r w:rsidR="00BA1EA6" w:rsidRPr="00BA1EA6">
        <w:rPr>
          <w:vertAlign w:val="subscript"/>
        </w:rPr>
        <w:t>2</w:t>
      </w:r>
      <w:r w:rsidR="00BA1EA6">
        <w:noBreakHyphen/>
        <w:t>eq kg</w:t>
      </w:r>
      <w:r w:rsidR="00BA1EA6" w:rsidRPr="00BA1EA6">
        <w:rPr>
          <w:vertAlign w:val="superscript"/>
        </w:rPr>
        <w:t>–1</w:t>
      </w:r>
      <w:r w:rsidR="00BA1EA6">
        <w:t xml:space="preserve"> using N</w:t>
      </w:r>
      <w:r w:rsidR="00BA1EA6" w:rsidRPr="00BA1EA6">
        <w:rPr>
          <w:vertAlign w:val="subscript"/>
        </w:rPr>
        <w:t>2</w:t>
      </w:r>
      <w:r w:rsidR="00BA1EA6">
        <w:t>O and to 3.3 and 2.9 kg CO</w:t>
      </w:r>
      <w:r w:rsidR="00BA1EA6" w:rsidRPr="00BA1EA6">
        <w:rPr>
          <w:vertAlign w:val="subscript"/>
        </w:rPr>
        <w:t>2</w:t>
      </w:r>
      <w:r w:rsidR="00BA1EA6">
        <w:noBreakHyphen/>
        <w:t>eq kg</w:t>
      </w:r>
      <w:r w:rsidR="00BA1EA6" w:rsidRPr="00BA1EA6">
        <w:rPr>
          <w:vertAlign w:val="superscript"/>
        </w:rPr>
        <w:t>–1</w:t>
      </w:r>
      <w:r w:rsidR="00BA1EA6" w:rsidRPr="00BA1EA6">
        <w:t xml:space="preserve"> </w:t>
      </w:r>
      <w:r w:rsidR="00BA1EA6">
        <w:t>using H</w:t>
      </w:r>
      <w:r w:rsidR="00BA1EA6" w:rsidRPr="00BA1EA6">
        <w:rPr>
          <w:vertAlign w:val="subscript"/>
        </w:rPr>
        <w:t>2</w:t>
      </w:r>
      <w:r w:rsidR="00BA1EA6">
        <w:t>O</w:t>
      </w:r>
      <w:r w:rsidR="00BA1EA6" w:rsidRPr="00BA1EA6">
        <w:rPr>
          <w:vertAlign w:val="subscript"/>
        </w:rPr>
        <w:t>2</w:t>
      </w:r>
      <w:r w:rsidR="00592025" w:rsidRPr="00592025">
        <w:t>,</w:t>
      </w:r>
      <w:r w:rsidR="00BA1EA6">
        <w:t xml:space="preserve"> in the fossil and green scenarios, respectively. By 2050, both alternatives show further reductions in impacts</w:t>
      </w:r>
      <w:r w:rsidR="00D748E2">
        <w:t>,</w:t>
      </w:r>
      <w:r w:rsidR="00BA1EA6">
        <w:t xml:space="preserve"> representing a 10–15% lower carbon footprint on average across scenarios. This case study demonstrates the potential of N</w:t>
      </w:r>
      <w:r w:rsidR="00BA1EA6" w:rsidRPr="00BA1EA6">
        <w:rPr>
          <w:vertAlign w:val="subscript"/>
        </w:rPr>
        <w:t>2</w:t>
      </w:r>
      <w:r w:rsidR="00BA1EA6">
        <w:t>O to serve as a scalable, green oxidant in industrial applications.</w:t>
      </w:r>
    </w:p>
    <w:p w14:paraId="7F948B1F" w14:textId="29F4F308" w:rsidR="00E61949" w:rsidRPr="00A61D3E" w:rsidRDefault="00180ABE" w:rsidP="00AF4737">
      <w:pPr>
        <w:pStyle w:val="RSCB04AHeadingSection"/>
      </w:pPr>
      <w:r w:rsidRPr="00C1311B">
        <w:t>Conclusions</w:t>
      </w:r>
      <w:r w:rsidR="000B0346" w:rsidRPr="00C1311B">
        <w:t xml:space="preserve"> and outlook</w:t>
      </w:r>
    </w:p>
    <w:p w14:paraId="00AA11E3" w14:textId="465560BB" w:rsidR="00FA2DA2" w:rsidRDefault="00AE1160" w:rsidP="00E61949">
      <w:pPr>
        <w:pStyle w:val="RSCB02ArticleText"/>
      </w:pPr>
      <w:r>
        <w:t>Our work emphasizes that</w:t>
      </w:r>
      <w:r w:rsidR="004805F4">
        <w:t>,</w:t>
      </w:r>
      <w:r>
        <w:t xml:space="preserve"> for N</w:t>
      </w:r>
      <w:r w:rsidRPr="004805F4">
        <w:rPr>
          <w:vertAlign w:val="subscript"/>
        </w:rPr>
        <w:t>2</w:t>
      </w:r>
      <w:r>
        <w:t>O production, the direct one</w:t>
      </w:r>
      <w:r>
        <w:noBreakHyphen/>
        <w:t>step NH</w:t>
      </w:r>
      <w:r w:rsidRPr="004805F4">
        <w:rPr>
          <w:vertAlign w:val="subscript"/>
        </w:rPr>
        <w:t>3</w:t>
      </w:r>
      <w:r>
        <w:t xml:space="preserve"> oxidation route consistently outperforms the traditional five</w:t>
      </w:r>
      <w:r>
        <w:noBreakHyphen/>
        <w:t>step NH</w:t>
      </w:r>
      <w:r w:rsidRPr="004805F4">
        <w:rPr>
          <w:vertAlign w:val="subscript"/>
        </w:rPr>
        <w:t>4</w:t>
      </w:r>
      <w:r>
        <w:t>NO</w:t>
      </w:r>
      <w:r w:rsidRPr="004805F4">
        <w:rPr>
          <w:vertAlign w:val="subscript"/>
        </w:rPr>
        <w:t>3</w:t>
      </w:r>
      <w:r>
        <w:t xml:space="preserve"> decomposition process, delivering lower production costs and reduced GHG emissions</w:t>
      </w:r>
      <w:r w:rsidR="004805F4">
        <w:t xml:space="preserve"> across both fossil</w:t>
      </w:r>
      <w:r w:rsidR="004805F4">
        <w:noBreakHyphen/>
        <w:t>based and green NH</w:t>
      </w:r>
      <w:r w:rsidR="004805F4" w:rsidRPr="004805F4">
        <w:rPr>
          <w:vertAlign w:val="subscript"/>
        </w:rPr>
        <w:t>3</w:t>
      </w:r>
      <w:r w:rsidR="004805F4">
        <w:t xml:space="preserve"> scenarios. The one</w:t>
      </w:r>
      <w:r w:rsidR="004805F4">
        <w:noBreakHyphen/>
        <w:t>step route offers roughly one</w:t>
      </w:r>
      <w:r w:rsidR="004805F4">
        <w:noBreakHyphen/>
        <w:t>third lower cost, while also lowering emissions by at least 15% under the fossil scenario. These advantages are mainly attributed to streamlined process design, avoiding energy</w:t>
      </w:r>
      <w:r w:rsidR="004805F4">
        <w:noBreakHyphen/>
        <w:t>intensive intermediate steps. Comprehensive, multi</w:t>
      </w:r>
      <w:r w:rsidR="004805F4">
        <w:noBreakHyphen/>
        <w:t>criteria analysis is crucial to ensure that trade</w:t>
      </w:r>
      <w:r w:rsidR="004805F4">
        <w:noBreakHyphen/>
        <w:t>offs do not occur due to improvements in one dimension. Therefore, in this study we complement techno</w:t>
      </w:r>
      <w:r w:rsidR="004805F4">
        <w:noBreakHyphen/>
        <w:t>economic and environmental assessments with a quantitative safety evaluation, which reveals substantial advantages for the one</w:t>
      </w:r>
      <w:r w:rsidR="004805F4">
        <w:noBreakHyphen/>
        <w:t xml:space="preserve">step process in terms of operational risk. These combined benefits, </w:t>
      </w:r>
      <w:r w:rsidR="004805F4">
        <w:rPr>
          <w:i/>
        </w:rPr>
        <w:t>i.e.</w:t>
      </w:r>
      <w:r w:rsidR="004805F4">
        <w:t>, lower cost, reduced emissions, and enhanced safety, highlight the one</w:t>
      </w:r>
      <w:r w:rsidR="004805F4">
        <w:noBreakHyphen/>
        <w:t>step process as a more robust pathway for N</w:t>
      </w:r>
      <w:r w:rsidR="004805F4" w:rsidRPr="004805F4">
        <w:rPr>
          <w:vertAlign w:val="subscript"/>
        </w:rPr>
        <w:t>2</w:t>
      </w:r>
      <w:r w:rsidR="004805F4">
        <w:t>O production.</w:t>
      </w:r>
    </w:p>
    <w:p w14:paraId="546CC9AA" w14:textId="1C7965C6" w:rsidR="004805F4" w:rsidRDefault="004805F4" w:rsidP="004805F4">
      <w:pPr>
        <w:pStyle w:val="RSCB02ArticleText"/>
        <w:ind w:firstLine="284"/>
      </w:pPr>
      <w:r>
        <w:t xml:space="preserve">Benchmarking </w:t>
      </w:r>
      <w:r w:rsidR="0075114F">
        <w:t>one</w:t>
      </w:r>
      <w:r w:rsidR="0075114F">
        <w:noBreakHyphen/>
        <w:t xml:space="preserve">step </w:t>
      </w:r>
      <w:r>
        <w:t>N</w:t>
      </w:r>
      <w:r w:rsidRPr="0075114F">
        <w:rPr>
          <w:vertAlign w:val="subscript"/>
        </w:rPr>
        <w:t>2</w:t>
      </w:r>
      <w:r>
        <w:t>O against H</w:t>
      </w:r>
      <w:r w:rsidRPr="0075114F">
        <w:rPr>
          <w:vertAlign w:val="subscript"/>
        </w:rPr>
        <w:t>2</w:t>
      </w:r>
      <w:r>
        <w:t>O</w:t>
      </w:r>
      <w:r w:rsidRPr="0075114F">
        <w:rPr>
          <w:vertAlign w:val="subscript"/>
        </w:rPr>
        <w:t>2</w:t>
      </w:r>
      <w:r>
        <w:t>, another key oxidant with similarities such as mono</w:t>
      </w:r>
      <w:r>
        <w:noBreakHyphen/>
        <w:t xml:space="preserve">oxygen donor </w:t>
      </w:r>
      <w:r w:rsidR="0075114F">
        <w:t xml:space="preserve">functionality </w:t>
      </w:r>
      <w:r>
        <w:t>and benign by</w:t>
      </w:r>
      <w:r>
        <w:noBreakHyphen/>
        <w:t xml:space="preserve">products, </w:t>
      </w:r>
      <w:r w:rsidR="0075114F">
        <w:t>highlights critical trade</w:t>
      </w:r>
      <w:r w:rsidR="0075114F">
        <w:noBreakHyphen/>
        <w:t xml:space="preserve">offs in cost, environmental impact, and safety metrics. </w:t>
      </w:r>
      <w:r w:rsidR="0075114F">
        <w:lastRenderedPageBreak/>
        <w:t>Under fossil conditions, H</w:t>
      </w:r>
      <w:r w:rsidR="0075114F" w:rsidRPr="0075114F">
        <w:rPr>
          <w:vertAlign w:val="subscript"/>
        </w:rPr>
        <w:t>2</w:t>
      </w:r>
      <w:r w:rsidR="0075114F">
        <w:t>O</w:t>
      </w:r>
      <w:r w:rsidR="0075114F" w:rsidRPr="0075114F">
        <w:rPr>
          <w:vertAlign w:val="subscript"/>
        </w:rPr>
        <w:t>2</w:t>
      </w:r>
      <w:r w:rsidR="0075114F">
        <w:t xml:space="preserve"> produced </w:t>
      </w:r>
      <w:r w:rsidR="0075114F">
        <w:rPr>
          <w:i/>
        </w:rPr>
        <w:t>via</w:t>
      </w:r>
      <w:r w:rsidR="0075114F">
        <w:t xml:space="preserve"> the AO process exhibits significantly higher costs, </w:t>
      </w:r>
      <w:r w:rsidR="0075114F" w:rsidRPr="0075114F">
        <w:rPr>
          <w:i/>
        </w:rPr>
        <w:t>ca</w:t>
      </w:r>
      <w:r w:rsidR="0075114F">
        <w:t>. 2.6 times that of N</w:t>
      </w:r>
      <w:r w:rsidR="0075114F" w:rsidRPr="0075114F">
        <w:rPr>
          <w:vertAlign w:val="subscript"/>
        </w:rPr>
        <w:t>2</w:t>
      </w:r>
      <w:r w:rsidR="0075114F">
        <w:t>O, primarily due to the expensive anthraquinone working solution. In terms of climate change impacts, H</w:t>
      </w:r>
      <w:r w:rsidR="0075114F" w:rsidRPr="0075114F">
        <w:rPr>
          <w:vertAlign w:val="subscript"/>
        </w:rPr>
        <w:t>2</w:t>
      </w:r>
      <w:r w:rsidR="0075114F">
        <w:t>O</w:t>
      </w:r>
      <w:r w:rsidR="0075114F" w:rsidRPr="0075114F">
        <w:rPr>
          <w:vertAlign w:val="subscript"/>
        </w:rPr>
        <w:t>2</w:t>
      </w:r>
      <w:r w:rsidR="0075114F">
        <w:t xml:space="preserve"> outperforms N</w:t>
      </w:r>
      <w:r w:rsidR="0075114F" w:rsidRPr="0075114F">
        <w:rPr>
          <w:vertAlign w:val="subscript"/>
        </w:rPr>
        <w:t>2</w:t>
      </w:r>
      <w:r w:rsidR="0075114F">
        <w:t>O in the fossil scenario (1.3 vs. 2.8 kg CO</w:t>
      </w:r>
      <w:r w:rsidR="0075114F" w:rsidRPr="0075114F">
        <w:rPr>
          <w:vertAlign w:val="subscript"/>
        </w:rPr>
        <w:t>2</w:t>
      </w:r>
      <w:r w:rsidR="0075114F">
        <w:noBreakHyphen/>
        <w:t>eq kg</w:t>
      </w:r>
      <w:r w:rsidR="0075114F" w:rsidRPr="0075114F">
        <w:rPr>
          <w:vertAlign w:val="superscript"/>
        </w:rPr>
        <w:t>–1</w:t>
      </w:r>
      <w:r w:rsidR="0075114F">
        <w:t>), a gap that narrows substantially when green hydrogen from electrolysis is employed. Notably, by 2050, green N</w:t>
      </w:r>
      <w:r w:rsidR="0075114F" w:rsidRPr="0075114F">
        <w:rPr>
          <w:vertAlign w:val="subscript"/>
        </w:rPr>
        <w:t>2</w:t>
      </w:r>
      <w:r w:rsidR="0075114F">
        <w:t>O achieves a lower climate impact than green H</w:t>
      </w:r>
      <w:r w:rsidR="0075114F" w:rsidRPr="0075114F">
        <w:rPr>
          <w:vertAlign w:val="subscript"/>
        </w:rPr>
        <w:t>2</w:t>
      </w:r>
      <w:r w:rsidR="0075114F">
        <w:t>O</w:t>
      </w:r>
      <w:r w:rsidR="0075114F" w:rsidRPr="0075114F">
        <w:rPr>
          <w:vertAlign w:val="subscript"/>
        </w:rPr>
        <w:t>2</w:t>
      </w:r>
      <w:r w:rsidR="0075114F">
        <w:t xml:space="preserve"> (0.3 vs. 0.4 kg CO</w:t>
      </w:r>
      <w:r w:rsidR="0075114F" w:rsidRPr="0075114F">
        <w:rPr>
          <w:vertAlign w:val="subscript"/>
        </w:rPr>
        <w:t>2</w:t>
      </w:r>
      <w:r w:rsidR="0075114F">
        <w:noBreakHyphen/>
        <w:t>eq kg</w:t>
      </w:r>
      <w:r w:rsidR="0075114F" w:rsidRPr="0075114F">
        <w:rPr>
          <w:vertAlign w:val="superscript"/>
        </w:rPr>
        <w:t>–1</w:t>
      </w:r>
      <w:r w:rsidR="0075114F">
        <w:t xml:space="preserve">), reversing the initial trend and underscoring the importance of prospective assessments while evaluating </w:t>
      </w:r>
      <w:r w:rsidR="0071392A">
        <w:t xml:space="preserve">chemical </w:t>
      </w:r>
      <w:r w:rsidR="0075114F">
        <w:t>technologies. From a safety perspective, the one</w:t>
      </w:r>
      <w:r w:rsidR="0075114F">
        <w:noBreakHyphen/>
        <w:t>step N</w:t>
      </w:r>
      <w:r w:rsidR="0075114F" w:rsidRPr="0071392A">
        <w:rPr>
          <w:vertAlign w:val="subscript"/>
        </w:rPr>
        <w:t>2</w:t>
      </w:r>
      <w:r w:rsidR="0075114F">
        <w:t>O process demonstrates a lower hazard potential than that of H</w:t>
      </w:r>
      <w:r w:rsidR="0075114F" w:rsidRPr="0071392A">
        <w:rPr>
          <w:vertAlign w:val="subscript"/>
        </w:rPr>
        <w:t>2</w:t>
      </w:r>
      <w:r w:rsidR="0075114F">
        <w:t>O</w:t>
      </w:r>
      <w:r w:rsidR="0075114F" w:rsidRPr="0071392A">
        <w:rPr>
          <w:vertAlign w:val="subscript"/>
        </w:rPr>
        <w:t>2</w:t>
      </w:r>
      <w:r w:rsidR="0075114F">
        <w:t>. These findings position one</w:t>
      </w:r>
      <w:r w:rsidR="0075114F">
        <w:noBreakHyphen/>
        <w:t>step N</w:t>
      </w:r>
      <w:r w:rsidR="0075114F" w:rsidRPr="0071392A">
        <w:rPr>
          <w:vertAlign w:val="subscript"/>
        </w:rPr>
        <w:t>2</w:t>
      </w:r>
      <w:r w:rsidR="0075114F">
        <w:t>O as a competitive oxidant, particularly under future low</w:t>
      </w:r>
      <w:r w:rsidR="0075114F">
        <w:noBreakHyphen/>
        <w:t>carbon scenarios.</w:t>
      </w:r>
    </w:p>
    <w:p w14:paraId="78420D08" w14:textId="0FA986E4" w:rsidR="00E50258" w:rsidRDefault="00E50258" w:rsidP="004805F4">
      <w:pPr>
        <w:pStyle w:val="RSCB02ArticleText"/>
        <w:ind w:firstLine="284"/>
      </w:pPr>
      <w:r>
        <w:t>The aforementioned advantages of N</w:t>
      </w:r>
      <w:r w:rsidRPr="00E50258">
        <w:rPr>
          <w:vertAlign w:val="subscript"/>
        </w:rPr>
        <w:t>2</w:t>
      </w:r>
      <w:r>
        <w:t>O extend beyond its production to key industrial applications. In phenol synthesis, the direct oxidation of benzene using N</w:t>
      </w:r>
      <w:r w:rsidRPr="00E50258">
        <w:rPr>
          <w:vertAlign w:val="subscript"/>
        </w:rPr>
        <w:t>2</w:t>
      </w:r>
      <w:r>
        <w:t>O emerges as the most economically and environmentally attractive pathway, outperforming both the conventional cumene oxidation process and H</w:t>
      </w:r>
      <w:r w:rsidRPr="00E50258">
        <w:rPr>
          <w:vertAlign w:val="subscript"/>
        </w:rPr>
        <w:t>2</w:t>
      </w:r>
      <w:r>
        <w:t>O</w:t>
      </w:r>
      <w:r w:rsidRPr="00E50258">
        <w:rPr>
          <w:vertAlign w:val="subscript"/>
        </w:rPr>
        <w:t>2</w:t>
      </w:r>
      <w:r>
        <w:noBreakHyphen/>
        <w:t>based direct oxidation of benzene. These findings support the broader potential of N</w:t>
      </w:r>
      <w:r w:rsidRPr="00E50258">
        <w:rPr>
          <w:vertAlign w:val="subscript"/>
        </w:rPr>
        <w:t>2</w:t>
      </w:r>
      <w:r>
        <w:t>O as a scalable green oxidant for selective mono</w:t>
      </w:r>
      <w:r>
        <w:noBreakHyphen/>
        <w:t>oxygenation reactions.</w:t>
      </w:r>
    </w:p>
    <w:p w14:paraId="6D89528F" w14:textId="3929EB9E" w:rsidR="00E50258" w:rsidRPr="00E50258" w:rsidRDefault="0035299B" w:rsidP="004805F4">
      <w:pPr>
        <w:pStyle w:val="RSCB02ArticleText"/>
        <w:ind w:firstLine="284"/>
      </w:pPr>
      <w:r>
        <w:t>Overall</w:t>
      </w:r>
      <w:r w:rsidR="00E50258">
        <w:t>, the methodological framework applied in this work, linking process simulation with techno</w:t>
      </w:r>
      <w:r w:rsidR="00E50258">
        <w:noBreakHyphen/>
        <w:t xml:space="preserve">economic analysis, LCA, and quantitative safety metrics, offers a holistic evaluation of emerging chemical technologies. </w:t>
      </w:r>
      <w:r w:rsidR="009F16F4">
        <w:t>C</w:t>
      </w:r>
      <w:r w:rsidR="00E50258">
        <w:t xml:space="preserve">omprehensive application of this framework </w:t>
      </w:r>
      <w:r w:rsidR="00832ABC">
        <w:t>to</w:t>
      </w:r>
      <w:r w:rsidR="00E50258">
        <w:t xml:space="preserve"> other chemical production systems may uncover pathways that </w:t>
      </w:r>
      <w:r>
        <w:t>yield</w:t>
      </w:r>
      <w:r w:rsidR="00E50258">
        <w:t xml:space="preserve"> </w:t>
      </w:r>
      <w:r w:rsidR="009F16F4">
        <w:t>benefits</w:t>
      </w:r>
      <w:r w:rsidR="00E50258">
        <w:t xml:space="preserve"> </w:t>
      </w:r>
      <w:r w:rsidR="009F16F4">
        <w:t>across</w:t>
      </w:r>
      <w:r w:rsidR="00E50258">
        <w:t xml:space="preserve"> </w:t>
      </w:r>
      <w:r w:rsidR="00832ABC">
        <w:t>economic, environmental, and safety</w:t>
      </w:r>
      <w:r w:rsidR="00E50258">
        <w:t xml:space="preserve"> metrics. </w:t>
      </w:r>
      <w:r w:rsidR="009F16F4">
        <w:t>The results of this study will aid future advancements in the production and use of green oxidants, in line with green chemistry principles such as atom economy, safer chemical processes, and the use of less hazardous synthesis methods.</w:t>
      </w:r>
    </w:p>
    <w:p w14:paraId="466E01EF" w14:textId="6D2CA238" w:rsidR="001925B0" w:rsidRDefault="001925B0" w:rsidP="001925B0">
      <w:pPr>
        <w:pStyle w:val="RSCB04AHeadingSection"/>
      </w:pPr>
      <w:r w:rsidRPr="00C1311B">
        <w:t xml:space="preserve">Author </w:t>
      </w:r>
      <w:r w:rsidR="00DB4B84" w:rsidRPr="00C1311B">
        <w:t>c</w:t>
      </w:r>
      <w:r w:rsidRPr="00C1311B">
        <w:t>ontributions</w:t>
      </w:r>
    </w:p>
    <w:p w14:paraId="24250B56" w14:textId="1AF83B6A" w:rsidR="00BF3CF2" w:rsidRPr="00E07B03" w:rsidRDefault="00BF3CF2" w:rsidP="00A76B20">
      <w:pPr>
        <w:pStyle w:val="RSCB02ArticleText"/>
      </w:pPr>
      <w:r w:rsidRPr="00E147ED">
        <w:t>AN: methodology, visualisation, formal analysis, writing – original draft, writing – review and editing;</w:t>
      </w:r>
      <w:r w:rsidR="00A76B20" w:rsidRPr="00E147ED">
        <w:t xml:space="preserve"> </w:t>
      </w:r>
      <w:r w:rsidR="005B07DB">
        <w:t>GMB</w:t>
      </w:r>
      <w:r w:rsidRPr="00E147ED">
        <w:t xml:space="preserve">: methodology, visualisation, writing – original draft, writing – review and editing; </w:t>
      </w:r>
      <w:r w:rsidR="005B07DB" w:rsidRPr="00E147ED">
        <w:t>GGG: validation, writing – original draft, writing – review and editing, supervision, and project administration</w:t>
      </w:r>
      <w:r w:rsidR="005B07DB">
        <w:t xml:space="preserve">; </w:t>
      </w:r>
      <w:r w:rsidRPr="00E147ED">
        <w:t xml:space="preserve">JPR: conceptualisation, </w:t>
      </w:r>
      <w:r w:rsidR="005B07DB" w:rsidRPr="00E147ED">
        <w:t>validation, writing – original draft, writing – review and editing, supervision, and project administration</w:t>
      </w:r>
      <w:r w:rsidR="005B07DB">
        <w:t>.</w:t>
      </w:r>
    </w:p>
    <w:p w14:paraId="177CDB0E" w14:textId="30DD831C" w:rsidR="00C9557D" w:rsidRDefault="00C9557D" w:rsidP="00C9557D">
      <w:pPr>
        <w:pStyle w:val="RSCB04AHeadingSection"/>
      </w:pPr>
      <w:r>
        <w:t>Conflict</w:t>
      </w:r>
      <w:r w:rsidR="00F05C18">
        <w:t>s</w:t>
      </w:r>
      <w:r>
        <w:t xml:space="preserve"> of interest</w:t>
      </w:r>
    </w:p>
    <w:p w14:paraId="246AAD08" w14:textId="3B5E7692" w:rsidR="00A05364" w:rsidRPr="00A05364" w:rsidRDefault="00CA4863" w:rsidP="00092A52">
      <w:pPr>
        <w:spacing w:line="240" w:lineRule="exact"/>
        <w:jc w:val="both"/>
        <w:rPr>
          <w:rFonts w:cs="Times New Roman"/>
          <w:w w:val="108"/>
          <w:sz w:val="18"/>
          <w:szCs w:val="18"/>
        </w:rPr>
      </w:pPr>
      <w:r>
        <w:rPr>
          <w:rFonts w:cs="Times New Roman"/>
          <w:w w:val="108"/>
          <w:sz w:val="18"/>
          <w:szCs w:val="18"/>
        </w:rPr>
        <w:t>There are no conflicts to declare.</w:t>
      </w:r>
    </w:p>
    <w:p w14:paraId="5A8D9D2F" w14:textId="77777777" w:rsidR="00092A52" w:rsidRDefault="00092A52" w:rsidP="00092A52">
      <w:pPr>
        <w:pStyle w:val="RSCB04AHeadingSection"/>
      </w:pPr>
      <w:r>
        <w:t>Data availability</w:t>
      </w:r>
    </w:p>
    <w:p w14:paraId="0FD990DF" w14:textId="657C7B40" w:rsidR="008B0753" w:rsidRPr="008B0753" w:rsidRDefault="008B0753" w:rsidP="008B0753">
      <w:pPr>
        <w:pStyle w:val="RSCB02ArticleText"/>
        <w:rPr>
          <w:lang w:val="en-US"/>
        </w:rPr>
      </w:pPr>
      <w:r w:rsidRPr="008B0753">
        <w:rPr>
          <w:lang w:val="en-US"/>
        </w:rPr>
        <w:t xml:space="preserve">The data presented in the figures of this paper are publicly available </w:t>
      </w:r>
      <w:r w:rsidRPr="008B0753">
        <w:rPr>
          <w:i/>
          <w:iCs/>
          <w:lang w:val="en-US"/>
        </w:rPr>
        <w:t>via</w:t>
      </w:r>
      <w:r w:rsidRPr="008B0753">
        <w:rPr>
          <w:lang w:val="en-US"/>
        </w:rPr>
        <w:t xml:space="preserve"> Zenodo at </w:t>
      </w:r>
      <w:r w:rsidRPr="002670B6">
        <w:rPr>
          <w:highlight w:val="yellow"/>
          <w:lang w:val="en-US"/>
        </w:rPr>
        <w:t>xxx</w:t>
      </w:r>
      <w:r w:rsidRPr="008B0753">
        <w:rPr>
          <w:lang w:val="en-US"/>
        </w:rPr>
        <w:t> (ref. </w:t>
      </w:r>
      <w:r w:rsidRPr="002670B6">
        <w:rPr>
          <w:highlight w:val="yellow"/>
          <w:lang w:val="en-US"/>
        </w:rPr>
        <w:t>xx</w:t>
      </w:r>
      <w:r w:rsidRPr="008B0753">
        <w:rPr>
          <w:lang w:val="en-US"/>
        </w:rPr>
        <w:t xml:space="preserve">). The background LCI datasets used in this study are available in the </w:t>
      </w:r>
      <w:r>
        <w:rPr>
          <w:lang w:val="en-US"/>
        </w:rPr>
        <w:t>E</w:t>
      </w:r>
      <w:r w:rsidRPr="008B0753">
        <w:rPr>
          <w:lang w:val="en-US"/>
        </w:rPr>
        <w:t>coinvent v3.10 (cut</w:t>
      </w:r>
      <w:r w:rsidRPr="008B0753">
        <w:rPr>
          <w:lang w:val="en-US"/>
        </w:rPr>
        <w:noBreakHyphen/>
        <w:t xml:space="preserve">off system model) database under the </w:t>
      </w:r>
      <w:r w:rsidRPr="008B0753">
        <w:rPr>
          <w:lang w:val="en-US"/>
        </w:rPr>
        <w:t>accessible link (</w:t>
      </w:r>
      <w:hyperlink r:id="rId18" w:history="1">
        <w:r w:rsidRPr="008B0753">
          <w:rPr>
            <w:rStyle w:val="Hyperlink"/>
            <w:lang w:val="en-US"/>
          </w:rPr>
          <w:t>https://ecoinvent.org</w:t>
        </w:r>
      </w:hyperlink>
      <w:r w:rsidRPr="008B0753">
        <w:rPr>
          <w:lang w:val="en-US"/>
        </w:rPr>
        <w:t>). Other supporting data are available from the corresponding authors upon request.</w:t>
      </w:r>
    </w:p>
    <w:p w14:paraId="2B7CDDB1" w14:textId="64E7655A" w:rsidR="00FA2DA2" w:rsidRDefault="00FA2DA2" w:rsidP="00FA2DA2">
      <w:pPr>
        <w:pStyle w:val="RSCB04AHeadingSection"/>
      </w:pPr>
      <w:r>
        <w:t>Acknowledgements</w:t>
      </w:r>
    </w:p>
    <w:p w14:paraId="70519FF5" w14:textId="7B044ACE" w:rsidR="00FA2DA2" w:rsidRDefault="000B0346" w:rsidP="00FA2DA2">
      <w:pPr>
        <w:pStyle w:val="RSCB02ArticleText"/>
      </w:pPr>
      <w:r>
        <w:t>This publication was created as part of NCCR Catalysis (grant number 225147), a National Centre of Competence in Research funded by the Swiss National Science Foundation.</w:t>
      </w:r>
    </w:p>
    <w:p w14:paraId="1892B867" w14:textId="050580DF" w:rsidR="00D010E8" w:rsidRPr="0047645B" w:rsidRDefault="00D80D43" w:rsidP="0047645B">
      <w:pPr>
        <w:spacing w:before="400" w:after="80" w:line="240" w:lineRule="auto"/>
        <w:rPr>
          <w:sz w:val="18"/>
          <w:szCs w:val="18"/>
        </w:rPr>
      </w:pPr>
      <w:r>
        <w:rPr>
          <w:b/>
          <w:sz w:val="24"/>
        </w:rPr>
        <w:t>References</w:t>
      </w:r>
    </w:p>
    <w:p w14:paraId="17CC5278" w14:textId="77777777" w:rsidR="005126D8" w:rsidRPr="005126D8" w:rsidRDefault="002C1B57" w:rsidP="008B0753">
      <w:pPr>
        <w:pStyle w:val="RSCR02References"/>
        <w:numPr>
          <w:ilvl w:val="0"/>
          <w:numId w:val="0"/>
        </w:numPr>
        <w:ind w:left="284" w:hanging="284"/>
      </w:pPr>
      <w:r>
        <w:fldChar w:fldCharType="begin"/>
      </w:r>
      <w:r>
        <w:instrText xml:space="preserve"> ADDIN ZOTERO_BIBL {"uncited":[],"omitted":[],"custom":[]} CSL_BIBLIOGRAPHY </w:instrText>
      </w:r>
      <w:r>
        <w:fldChar w:fldCharType="separate"/>
      </w:r>
      <w:r w:rsidR="005126D8" w:rsidRPr="005126D8">
        <w:t>1</w:t>
      </w:r>
      <w:r w:rsidR="005126D8" w:rsidRPr="005126D8">
        <w:tab/>
        <w:t xml:space="preserve">International Standards Organization, </w:t>
      </w:r>
      <w:r w:rsidR="005126D8" w:rsidRPr="005126D8">
        <w:rPr>
          <w:i/>
          <w:iCs/>
        </w:rPr>
        <w:t>In ISO 14040:2006 Environmental Management--Life Cycle Assessment--Principles and Framework</w:t>
      </w:r>
      <w:r w:rsidR="005126D8" w:rsidRPr="005126D8">
        <w:t>, 2006.</w:t>
      </w:r>
    </w:p>
    <w:p w14:paraId="148494A5" w14:textId="7733FE6E" w:rsidR="005126D8" w:rsidRPr="005126D8" w:rsidRDefault="005126D8" w:rsidP="008B0753">
      <w:pPr>
        <w:pStyle w:val="RSCR02References"/>
        <w:numPr>
          <w:ilvl w:val="0"/>
          <w:numId w:val="0"/>
        </w:numPr>
        <w:ind w:left="284" w:hanging="284"/>
      </w:pPr>
      <w:r w:rsidRPr="005126D8">
        <w:t>2</w:t>
      </w:r>
      <w:r w:rsidRPr="005126D8">
        <w:tab/>
        <w:t>International Standards</w:t>
      </w:r>
      <w:r>
        <w:t xml:space="preserve"> </w:t>
      </w:r>
      <w:r w:rsidRPr="005126D8">
        <w:t xml:space="preserve">Organization, </w:t>
      </w:r>
      <w:r w:rsidRPr="005126D8">
        <w:rPr>
          <w:i/>
          <w:iCs/>
        </w:rPr>
        <w:t>In ISO 14044:2006 Environmental Management--Life Cycle Assessment--Requirements and Guidelines</w:t>
      </w:r>
      <w:r w:rsidRPr="005126D8">
        <w:t>, 2006.</w:t>
      </w:r>
    </w:p>
    <w:p w14:paraId="3D47499F" w14:textId="77777777" w:rsidR="005126D8" w:rsidRPr="005126D8" w:rsidRDefault="005126D8" w:rsidP="008B0753">
      <w:pPr>
        <w:pStyle w:val="RSCR02References"/>
        <w:numPr>
          <w:ilvl w:val="0"/>
          <w:numId w:val="0"/>
        </w:numPr>
        <w:ind w:left="284" w:hanging="284"/>
      </w:pPr>
      <w:r w:rsidRPr="005126D8">
        <w:t>3</w:t>
      </w:r>
      <w:r w:rsidRPr="005126D8">
        <w:tab/>
        <w:t xml:space="preserve">G. Wernet, C. Bauer, B. Steubing, J. Reinhard, E. Moreno-Ruiz and B. Weidema, </w:t>
      </w:r>
      <w:r w:rsidRPr="005126D8">
        <w:rPr>
          <w:i/>
          <w:iCs/>
        </w:rPr>
        <w:t>Int. J. Life Cycle Assess.</w:t>
      </w:r>
      <w:r w:rsidRPr="005126D8">
        <w:t xml:space="preserve">, 2016, </w:t>
      </w:r>
      <w:r w:rsidRPr="005126D8">
        <w:rPr>
          <w:b/>
          <w:bCs/>
        </w:rPr>
        <w:t>21</w:t>
      </w:r>
      <w:r w:rsidRPr="005126D8">
        <w:t>, 1218–1230.</w:t>
      </w:r>
    </w:p>
    <w:p w14:paraId="72E01DC5" w14:textId="77777777" w:rsidR="005126D8" w:rsidRPr="005126D8" w:rsidRDefault="005126D8" w:rsidP="008B0753">
      <w:pPr>
        <w:pStyle w:val="RSCR02References"/>
        <w:numPr>
          <w:ilvl w:val="0"/>
          <w:numId w:val="0"/>
        </w:numPr>
        <w:ind w:left="284" w:hanging="284"/>
      </w:pPr>
      <w:r w:rsidRPr="005126D8">
        <w:t>4</w:t>
      </w:r>
      <w:r w:rsidRPr="005126D8">
        <w:tab/>
        <w:t xml:space="preserve">Intergovernmental Panel on Climate Change (IPCC), Ed., in </w:t>
      </w:r>
      <w:r w:rsidRPr="005126D8">
        <w:rPr>
          <w:i/>
          <w:iCs/>
        </w:rPr>
        <w:t>Climate Change 2022 - Mitigation of Climate Change</w:t>
      </w:r>
      <w:r w:rsidRPr="005126D8">
        <w:t>, Cambridge University Press, 1st edn., 2023, pp. 1727–1790.</w:t>
      </w:r>
    </w:p>
    <w:p w14:paraId="1AE2F393" w14:textId="77777777" w:rsidR="005126D8" w:rsidRPr="005126D8" w:rsidRDefault="005126D8" w:rsidP="008B0753">
      <w:pPr>
        <w:pStyle w:val="RSCR02References"/>
        <w:numPr>
          <w:ilvl w:val="0"/>
          <w:numId w:val="0"/>
        </w:numPr>
        <w:ind w:left="284" w:hanging="284"/>
      </w:pPr>
      <w:r w:rsidRPr="005126D8">
        <w:t>5</w:t>
      </w:r>
      <w:r w:rsidRPr="005126D8">
        <w:tab/>
        <w:t xml:space="preserve">M. A. J. Huijbregts, Z. J. N. Steinmann, P. M. F. Elshout, G. Stam, F. Verones, M. Vieira, M. Zijp, A. Hollander and R. van Zelm, </w:t>
      </w:r>
      <w:r w:rsidRPr="005126D8">
        <w:rPr>
          <w:i/>
          <w:iCs/>
        </w:rPr>
        <w:t>Int. J. Life Cycle Assess.</w:t>
      </w:r>
      <w:r w:rsidRPr="005126D8">
        <w:t xml:space="preserve">, 2017, </w:t>
      </w:r>
      <w:r w:rsidRPr="005126D8">
        <w:rPr>
          <w:b/>
          <w:bCs/>
        </w:rPr>
        <w:t>22</w:t>
      </w:r>
      <w:r w:rsidRPr="005126D8">
        <w:t>, 138–147.</w:t>
      </w:r>
    </w:p>
    <w:p w14:paraId="0FA6FC30" w14:textId="77777777" w:rsidR="005126D8" w:rsidRPr="005126D8" w:rsidRDefault="005126D8" w:rsidP="008B0753">
      <w:pPr>
        <w:pStyle w:val="RSCR02References"/>
        <w:numPr>
          <w:ilvl w:val="0"/>
          <w:numId w:val="0"/>
        </w:numPr>
        <w:ind w:left="284" w:hanging="284"/>
      </w:pPr>
      <w:r w:rsidRPr="005126D8">
        <w:t>6</w:t>
      </w:r>
      <w:r w:rsidRPr="005126D8">
        <w:tab/>
        <w:t xml:space="preserve">R. Sacchi, T. Terlouw, K. Siala, A. Dirnaichner, C. Bauer, B. Cox, C. Mutel, V. Daioglou and G. Luderer, </w:t>
      </w:r>
      <w:r w:rsidRPr="005126D8">
        <w:rPr>
          <w:i/>
          <w:iCs/>
        </w:rPr>
        <w:t>Renew. Sustain. Energy Rev.</w:t>
      </w:r>
      <w:r w:rsidRPr="005126D8">
        <w:t xml:space="preserve">, 2022, </w:t>
      </w:r>
      <w:r w:rsidRPr="005126D8">
        <w:rPr>
          <w:b/>
          <w:bCs/>
        </w:rPr>
        <w:t>160</w:t>
      </w:r>
      <w:r w:rsidRPr="005126D8">
        <w:t>, 112311.</w:t>
      </w:r>
    </w:p>
    <w:p w14:paraId="1425703E" w14:textId="77777777" w:rsidR="005126D8" w:rsidRPr="005126D8" w:rsidRDefault="005126D8" w:rsidP="008B0753">
      <w:pPr>
        <w:pStyle w:val="RSCR02References"/>
        <w:numPr>
          <w:ilvl w:val="0"/>
          <w:numId w:val="0"/>
        </w:numPr>
        <w:ind w:left="284" w:hanging="284"/>
      </w:pPr>
      <w:r w:rsidRPr="005126D8">
        <w:t>7</w:t>
      </w:r>
      <w:r w:rsidRPr="005126D8">
        <w:tab/>
        <w:t xml:space="preserve">American Institute of Chemical Engineers, </w:t>
      </w:r>
      <w:r w:rsidRPr="005126D8">
        <w:rPr>
          <w:i/>
          <w:iCs/>
        </w:rPr>
        <w:t>Dow’s Fire &amp; Explosion Index Hazard Classification Guide</w:t>
      </w:r>
      <w:r w:rsidRPr="005126D8">
        <w:t>, John Wiley &amp; Sons, Inc, Hoboken, 7th ed., 2010.</w:t>
      </w:r>
    </w:p>
    <w:p w14:paraId="7B4FB3D7" w14:textId="77777777" w:rsidR="005126D8" w:rsidRPr="005126D8" w:rsidRDefault="005126D8" w:rsidP="008B0753">
      <w:pPr>
        <w:pStyle w:val="RSCR02References"/>
        <w:numPr>
          <w:ilvl w:val="0"/>
          <w:numId w:val="0"/>
        </w:numPr>
        <w:ind w:left="284" w:hanging="284"/>
      </w:pPr>
      <w:r w:rsidRPr="005126D8">
        <w:t>8</w:t>
      </w:r>
      <w:r w:rsidRPr="005126D8">
        <w:tab/>
        <w:t xml:space="preserve">D. A. Crowl and J. F. Louvar, </w:t>
      </w:r>
      <w:r w:rsidRPr="005126D8">
        <w:rPr>
          <w:i/>
          <w:iCs/>
        </w:rPr>
        <w:t>Chemical process safety: fundamentals with applications</w:t>
      </w:r>
      <w:r w:rsidRPr="005126D8">
        <w:t>, Prentice Hall, Upper Saddle River, NJ, 3rd ed., 2011.</w:t>
      </w:r>
    </w:p>
    <w:p w14:paraId="7B8B6D1E" w14:textId="20B4CB88" w:rsidR="00105FE0" w:rsidRDefault="005126D8" w:rsidP="008B0753">
      <w:pPr>
        <w:pStyle w:val="RSCR02References"/>
        <w:numPr>
          <w:ilvl w:val="0"/>
          <w:numId w:val="0"/>
        </w:numPr>
        <w:ind w:left="284" w:hanging="284"/>
      </w:pPr>
      <w:r w:rsidRPr="005126D8">
        <w:t>9</w:t>
      </w:r>
      <w:r w:rsidRPr="005126D8">
        <w:tab/>
        <w:t xml:space="preserve">A. Nabera, A. José Martín, R. Istrate, J. Pérez-Ramírez and G. Guillén-Gosálbez, </w:t>
      </w:r>
      <w:r w:rsidRPr="005126D8">
        <w:rPr>
          <w:i/>
          <w:iCs/>
        </w:rPr>
        <w:t>Green Chem.</w:t>
      </w:r>
      <w:r w:rsidRPr="005126D8">
        <w:t xml:space="preserve">, 2024, </w:t>
      </w:r>
      <w:r w:rsidRPr="005126D8">
        <w:rPr>
          <w:b/>
          <w:bCs/>
        </w:rPr>
        <w:t>26</w:t>
      </w:r>
      <w:r w:rsidRPr="005126D8">
        <w:t>, 6461–6469.</w:t>
      </w:r>
      <w:r w:rsidR="002C1B57">
        <w:fldChar w:fldCharType="end"/>
      </w:r>
    </w:p>
    <w:sectPr w:rsidR="00105FE0"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BB8A5A" w14:textId="77777777" w:rsidR="0038683C" w:rsidRDefault="0038683C" w:rsidP="00E547DB">
      <w:pPr>
        <w:spacing w:after="0" w:line="240" w:lineRule="auto"/>
      </w:pPr>
      <w:r>
        <w:separator/>
      </w:r>
    </w:p>
    <w:p w14:paraId="41B790E3" w14:textId="77777777" w:rsidR="0038683C" w:rsidRDefault="0038683C"/>
    <w:p w14:paraId="3A3E2769" w14:textId="77777777" w:rsidR="0038683C" w:rsidRDefault="0038683C"/>
    <w:p w14:paraId="7D7AC3E7" w14:textId="77777777" w:rsidR="0038683C" w:rsidRDefault="0038683C"/>
    <w:p w14:paraId="69BA702C" w14:textId="77777777" w:rsidR="0038683C" w:rsidRDefault="0038683C"/>
    <w:p w14:paraId="306E408C" w14:textId="77777777" w:rsidR="0038683C" w:rsidRDefault="0038683C"/>
  </w:endnote>
  <w:endnote w:type="continuationSeparator" w:id="0">
    <w:p w14:paraId="237879B7" w14:textId="77777777" w:rsidR="0038683C" w:rsidRDefault="0038683C" w:rsidP="00E547DB">
      <w:pPr>
        <w:spacing w:after="0" w:line="240" w:lineRule="auto"/>
      </w:pPr>
      <w:r>
        <w:continuationSeparator/>
      </w:r>
    </w:p>
    <w:p w14:paraId="5FE22FDB" w14:textId="77777777" w:rsidR="0038683C" w:rsidRDefault="0038683C"/>
    <w:p w14:paraId="0352BE40" w14:textId="77777777" w:rsidR="0038683C" w:rsidRDefault="0038683C"/>
    <w:p w14:paraId="185960FD" w14:textId="77777777" w:rsidR="0038683C" w:rsidRDefault="0038683C"/>
    <w:p w14:paraId="37EA852E" w14:textId="77777777" w:rsidR="0038683C" w:rsidRDefault="0038683C"/>
    <w:p w14:paraId="3B041A31" w14:textId="77777777" w:rsidR="0038683C" w:rsidRDefault="003868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4D9E4E-CCE2-44C1-BCA5-44AB3BAFAB87}"/>
    <w:embedBold r:id="rId2" w:fontKey="{B0B1EDE8-622C-43AF-B32D-FBA03CA9C7B7}"/>
    <w:embedItalic r:id="rId3" w:fontKey="{9C62746E-3ACC-472C-A58F-39512AEDB0E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21C49784-3C7E-4877-B896-AB579C215EBF}"/>
  </w:font>
  <w:font w:name="Cambria">
    <w:panose1 w:val="02040503050406030204"/>
    <w:charset w:val="00"/>
    <w:family w:val="roman"/>
    <w:pitch w:val="variable"/>
    <w:sig w:usb0="E00006FF" w:usb1="420024FF" w:usb2="02000000" w:usb3="00000000" w:csb0="0000019F" w:csb1="00000000"/>
    <w:embedRegular r:id="rId5" w:fontKey="{4C633C3D-60F8-4C3E-942F-0929659277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7C395" w14:textId="3D3B2CAE" w:rsidR="00E70DCE" w:rsidRPr="006602F1" w:rsidRDefault="00E70DCE"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C567DF">
      <w:rPr>
        <w:i/>
        <w:noProof/>
        <w:spacing w:val="10"/>
        <w:sz w:val="16"/>
        <w:szCs w:val="16"/>
      </w:rPr>
      <w:t>Green</w:t>
    </w:r>
    <w:r w:rsidRPr="006602F1">
      <w:rPr>
        <w:i/>
        <w:noProof/>
        <w:spacing w:val="10"/>
        <w:sz w:val="16"/>
        <w:szCs w:val="16"/>
      </w:rPr>
      <w:t xml:space="preserve"> </w:t>
    </w:r>
    <w:r w:rsidR="00C567DF">
      <w:rPr>
        <w:i/>
        <w:noProof/>
        <w:spacing w:val="10"/>
        <w:sz w:val="16"/>
        <w:szCs w:val="16"/>
      </w:rPr>
      <w:t>Chem</w:t>
    </w:r>
    <w:r w:rsidRPr="006602F1">
      <w:rPr>
        <w:noProof/>
        <w:spacing w:val="10"/>
        <w:sz w:val="16"/>
        <w:szCs w:val="16"/>
      </w:rPr>
      <w:t>., 20</w:t>
    </w:r>
    <w:r w:rsidR="00C567DF">
      <w:rPr>
        <w:noProof/>
        <w:spacing w:val="10"/>
        <w:sz w:val="16"/>
        <w:szCs w:val="16"/>
      </w:rPr>
      <w:t>25</w:t>
    </w:r>
    <w:r w:rsidRPr="006602F1">
      <w:rPr>
        <w:noProof/>
        <w:spacing w:val="10"/>
        <w:sz w:val="16"/>
        <w:szCs w:val="16"/>
      </w:rPr>
      <w:t xml:space="preserve">,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C567DF">
      <w:rPr>
        <w:noProof/>
        <w:spacing w:val="2"/>
        <w:sz w:val="16"/>
        <w:szCs w:val="16"/>
      </w:rPr>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C148E" w14:textId="77777777" w:rsidR="004877C8" w:rsidRPr="006602F1" w:rsidRDefault="00180ABE"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C4DD8" w14:textId="77777777" w:rsidR="00E70DCE" w:rsidRPr="006602F1" w:rsidRDefault="00514CBA"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3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A89A75" w14:textId="77777777" w:rsidR="0038683C" w:rsidRDefault="0038683C" w:rsidP="00E547DB">
      <w:pPr>
        <w:spacing w:after="0" w:line="240" w:lineRule="auto"/>
      </w:pPr>
      <w:r>
        <w:separator/>
      </w:r>
    </w:p>
    <w:p w14:paraId="533A1F5E" w14:textId="77777777" w:rsidR="0038683C" w:rsidRDefault="0038683C"/>
    <w:p w14:paraId="77D24112" w14:textId="77777777" w:rsidR="0038683C" w:rsidRDefault="0038683C"/>
    <w:p w14:paraId="58174D45" w14:textId="77777777" w:rsidR="0038683C" w:rsidRDefault="0038683C"/>
    <w:p w14:paraId="10FC221E" w14:textId="77777777" w:rsidR="0038683C" w:rsidRDefault="0038683C"/>
    <w:p w14:paraId="33B58867" w14:textId="77777777" w:rsidR="0038683C" w:rsidRDefault="0038683C"/>
  </w:footnote>
  <w:footnote w:type="continuationSeparator" w:id="0">
    <w:p w14:paraId="3F0EB80B" w14:textId="77777777" w:rsidR="0038683C" w:rsidRDefault="0038683C" w:rsidP="00E547DB">
      <w:pPr>
        <w:spacing w:after="0" w:line="240" w:lineRule="auto"/>
      </w:pPr>
      <w:r>
        <w:continuationSeparator/>
      </w:r>
    </w:p>
    <w:p w14:paraId="32B75EBB" w14:textId="77777777" w:rsidR="0038683C" w:rsidRDefault="0038683C"/>
    <w:p w14:paraId="3FB9F284" w14:textId="77777777" w:rsidR="0038683C" w:rsidRDefault="0038683C"/>
    <w:p w14:paraId="5B998FD6" w14:textId="77777777" w:rsidR="0038683C" w:rsidRDefault="0038683C"/>
    <w:p w14:paraId="2D2FF570" w14:textId="77777777" w:rsidR="0038683C" w:rsidRDefault="0038683C"/>
    <w:p w14:paraId="23E7845C" w14:textId="77777777" w:rsidR="0038683C" w:rsidRDefault="003868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5D6BB" w14:textId="4ACA9104" w:rsidR="009316A6" w:rsidRPr="00E70DCE" w:rsidRDefault="00514CBA"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2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2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C567DF">
      <w:rPr>
        <w:rFonts w:cstheme="minorHAnsi"/>
        <w:b/>
        <w:color w:val="999999"/>
        <w:sz w:val="20"/>
        <w:szCs w:val="20"/>
      </w:rPr>
      <w:t>PAPER</w:t>
    </w:r>
    <w:r w:rsidR="0052630A" w:rsidRPr="00E70DCE">
      <w:rPr>
        <w:rFonts w:cstheme="minorHAnsi"/>
        <w:color w:val="999999"/>
        <w:sz w:val="20"/>
        <w:szCs w:val="20"/>
      </w:rPr>
      <w:tab/>
    </w:r>
    <w:r w:rsidR="00C567DF">
      <w:rPr>
        <w:rFonts w:cstheme="minorHAnsi"/>
        <w:b/>
        <w:color w:val="999999"/>
        <w:sz w:val="20"/>
        <w:szCs w:val="20"/>
      </w:rPr>
      <w:t>Green Chemistry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8EC0D" w14:textId="77777777" w:rsidR="009316A6" w:rsidRPr="009316A6" w:rsidRDefault="00514CBA"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2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3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7CF2" w14:textId="77777777" w:rsidR="00180ABE" w:rsidRDefault="00514CBA"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3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Header"/>
      <w:shd w:val="clear" w:color="auto" w:fill="FFFFFF" w:themeFill="background1"/>
      <w:tabs>
        <w:tab w:val="clear" w:pos="4513"/>
        <w:tab w:val="clear" w:pos="9026"/>
        <w:tab w:val="right" w:pos="10205"/>
      </w:tabs>
      <w:spacing w:after="240"/>
      <w:rPr>
        <w:b/>
        <w:sz w:val="32"/>
        <w:szCs w:val="32"/>
      </w:rPr>
    </w:pPr>
  </w:p>
  <w:p w14:paraId="419C7B5B" w14:textId="62E546E8" w:rsidR="00180ABE" w:rsidRPr="00180ABE" w:rsidRDefault="00851E7C"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10"/>
  </w:num>
  <w:num w:numId="5">
    <w:abstractNumId w:val="9"/>
  </w:num>
  <w:num w:numId="6">
    <w:abstractNumId w:val="2"/>
  </w:num>
  <w:num w:numId="7">
    <w:abstractNumId w:val="7"/>
  </w:num>
  <w:num w:numId="8">
    <w:abstractNumId w:val="3"/>
  </w:num>
  <w:num w:numId="9">
    <w:abstractNumId w:val="1"/>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stylePaneSortMethod w:val="0000"/>
  <w:defaultTabStop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DAyMbc0tTQwNLcwNzVX0lEKTi0uzszPAykwqQUA+dIlxiwAAAA="/>
  </w:docVars>
  <w:rsids>
    <w:rsidRoot w:val="008125A0"/>
    <w:rsid w:val="00002509"/>
    <w:rsid w:val="00004C3B"/>
    <w:rsid w:val="00005B8A"/>
    <w:rsid w:val="00022D8A"/>
    <w:rsid w:val="0003744F"/>
    <w:rsid w:val="000622D1"/>
    <w:rsid w:val="000629C7"/>
    <w:rsid w:val="00067003"/>
    <w:rsid w:val="00071E41"/>
    <w:rsid w:val="00072166"/>
    <w:rsid w:val="00073639"/>
    <w:rsid w:val="00086CD1"/>
    <w:rsid w:val="00092A52"/>
    <w:rsid w:val="000A2670"/>
    <w:rsid w:val="000B0346"/>
    <w:rsid w:val="000C0A9D"/>
    <w:rsid w:val="000C3F5E"/>
    <w:rsid w:val="000D2FAC"/>
    <w:rsid w:val="000D5891"/>
    <w:rsid w:val="000D6963"/>
    <w:rsid w:val="000E7A32"/>
    <w:rsid w:val="000F0959"/>
    <w:rsid w:val="000F334E"/>
    <w:rsid w:val="000F3A41"/>
    <w:rsid w:val="00105FE0"/>
    <w:rsid w:val="00107EE9"/>
    <w:rsid w:val="00117543"/>
    <w:rsid w:val="00117B99"/>
    <w:rsid w:val="00120227"/>
    <w:rsid w:val="00126027"/>
    <w:rsid w:val="001447F0"/>
    <w:rsid w:val="001508E9"/>
    <w:rsid w:val="001633D9"/>
    <w:rsid w:val="001647A8"/>
    <w:rsid w:val="00172575"/>
    <w:rsid w:val="00180ABE"/>
    <w:rsid w:val="001923AB"/>
    <w:rsid w:val="001925B0"/>
    <w:rsid w:val="00195C52"/>
    <w:rsid w:val="001A3D04"/>
    <w:rsid w:val="001B7B10"/>
    <w:rsid w:val="001C1EB8"/>
    <w:rsid w:val="001F6295"/>
    <w:rsid w:val="00203FF4"/>
    <w:rsid w:val="00206A82"/>
    <w:rsid w:val="00214BEC"/>
    <w:rsid w:val="00226415"/>
    <w:rsid w:val="00237C8A"/>
    <w:rsid w:val="0024022C"/>
    <w:rsid w:val="00240353"/>
    <w:rsid w:val="00241ACD"/>
    <w:rsid w:val="00253551"/>
    <w:rsid w:val="00263F99"/>
    <w:rsid w:val="002670B6"/>
    <w:rsid w:val="00270DD5"/>
    <w:rsid w:val="00271235"/>
    <w:rsid w:val="00272D6F"/>
    <w:rsid w:val="002A3FBD"/>
    <w:rsid w:val="002A5421"/>
    <w:rsid w:val="002A646F"/>
    <w:rsid w:val="002B62B5"/>
    <w:rsid w:val="002C0803"/>
    <w:rsid w:val="002C1B57"/>
    <w:rsid w:val="002C251C"/>
    <w:rsid w:val="002C3D7C"/>
    <w:rsid w:val="002E5B1D"/>
    <w:rsid w:val="002F52C3"/>
    <w:rsid w:val="00305D7D"/>
    <w:rsid w:val="00306462"/>
    <w:rsid w:val="00325A1A"/>
    <w:rsid w:val="00352029"/>
    <w:rsid w:val="0035299B"/>
    <w:rsid w:val="00352AA4"/>
    <w:rsid w:val="00354579"/>
    <w:rsid w:val="00356F00"/>
    <w:rsid w:val="00372F5B"/>
    <w:rsid w:val="00377481"/>
    <w:rsid w:val="00385965"/>
    <w:rsid w:val="0038683C"/>
    <w:rsid w:val="003A3494"/>
    <w:rsid w:val="003A7E95"/>
    <w:rsid w:val="003B739C"/>
    <w:rsid w:val="003C3545"/>
    <w:rsid w:val="003C6313"/>
    <w:rsid w:val="003D4ECA"/>
    <w:rsid w:val="003D6715"/>
    <w:rsid w:val="003E55B2"/>
    <w:rsid w:val="003E611A"/>
    <w:rsid w:val="0043180D"/>
    <w:rsid w:val="004414A5"/>
    <w:rsid w:val="00442B26"/>
    <w:rsid w:val="004437E6"/>
    <w:rsid w:val="0044700B"/>
    <w:rsid w:val="00467171"/>
    <w:rsid w:val="00467C80"/>
    <w:rsid w:val="00474052"/>
    <w:rsid w:val="0047645B"/>
    <w:rsid w:val="004805F4"/>
    <w:rsid w:val="0048532B"/>
    <w:rsid w:val="00485E00"/>
    <w:rsid w:val="004877C8"/>
    <w:rsid w:val="00487E72"/>
    <w:rsid w:val="004901D3"/>
    <w:rsid w:val="00497F8B"/>
    <w:rsid w:val="004B02E4"/>
    <w:rsid w:val="004B5EA4"/>
    <w:rsid w:val="004C531E"/>
    <w:rsid w:val="004C6C90"/>
    <w:rsid w:val="005037CD"/>
    <w:rsid w:val="00504795"/>
    <w:rsid w:val="005126D8"/>
    <w:rsid w:val="00514CBA"/>
    <w:rsid w:val="00523C36"/>
    <w:rsid w:val="0052630A"/>
    <w:rsid w:val="0053177A"/>
    <w:rsid w:val="00533EA1"/>
    <w:rsid w:val="005771C3"/>
    <w:rsid w:val="00577B54"/>
    <w:rsid w:val="00580CDB"/>
    <w:rsid w:val="00590F6D"/>
    <w:rsid w:val="00592025"/>
    <w:rsid w:val="005A16AA"/>
    <w:rsid w:val="005A31AA"/>
    <w:rsid w:val="005A5A6D"/>
    <w:rsid w:val="005A5ED7"/>
    <w:rsid w:val="005B07DB"/>
    <w:rsid w:val="005C1A41"/>
    <w:rsid w:val="005C4565"/>
    <w:rsid w:val="005D25B1"/>
    <w:rsid w:val="005E05CD"/>
    <w:rsid w:val="005E2B83"/>
    <w:rsid w:val="005E4710"/>
    <w:rsid w:val="0060627E"/>
    <w:rsid w:val="0061572F"/>
    <w:rsid w:val="00616D34"/>
    <w:rsid w:val="006249E2"/>
    <w:rsid w:val="00631441"/>
    <w:rsid w:val="00641030"/>
    <w:rsid w:val="006440AC"/>
    <w:rsid w:val="00645B76"/>
    <w:rsid w:val="00645D52"/>
    <w:rsid w:val="0065133B"/>
    <w:rsid w:val="006556AC"/>
    <w:rsid w:val="006602F1"/>
    <w:rsid w:val="00670ED4"/>
    <w:rsid w:val="00672928"/>
    <w:rsid w:val="00674A86"/>
    <w:rsid w:val="00680134"/>
    <w:rsid w:val="006A3CCC"/>
    <w:rsid w:val="006A69C8"/>
    <w:rsid w:val="006B218D"/>
    <w:rsid w:val="006B7526"/>
    <w:rsid w:val="006D6163"/>
    <w:rsid w:val="006E58B1"/>
    <w:rsid w:val="006E5E93"/>
    <w:rsid w:val="006F01C4"/>
    <w:rsid w:val="006F071C"/>
    <w:rsid w:val="006F487B"/>
    <w:rsid w:val="006F740B"/>
    <w:rsid w:val="00704255"/>
    <w:rsid w:val="0071392A"/>
    <w:rsid w:val="007223B9"/>
    <w:rsid w:val="00744A41"/>
    <w:rsid w:val="0075114F"/>
    <w:rsid w:val="007556B8"/>
    <w:rsid w:val="00767085"/>
    <w:rsid w:val="00780A41"/>
    <w:rsid w:val="00794787"/>
    <w:rsid w:val="00796412"/>
    <w:rsid w:val="007A35E3"/>
    <w:rsid w:val="007A37D8"/>
    <w:rsid w:val="007A4704"/>
    <w:rsid w:val="007B43FE"/>
    <w:rsid w:val="007C3D03"/>
    <w:rsid w:val="007C428B"/>
    <w:rsid w:val="007D1EFA"/>
    <w:rsid w:val="007D5FE4"/>
    <w:rsid w:val="007E0CFD"/>
    <w:rsid w:val="008125A0"/>
    <w:rsid w:val="008148E3"/>
    <w:rsid w:val="00820B49"/>
    <w:rsid w:val="00832766"/>
    <w:rsid w:val="00832ABC"/>
    <w:rsid w:val="00851E7C"/>
    <w:rsid w:val="008560DE"/>
    <w:rsid w:val="00870D5C"/>
    <w:rsid w:val="00882BA9"/>
    <w:rsid w:val="0088525A"/>
    <w:rsid w:val="008879D1"/>
    <w:rsid w:val="008A0D60"/>
    <w:rsid w:val="008B0753"/>
    <w:rsid w:val="008B2F2E"/>
    <w:rsid w:val="008C1387"/>
    <w:rsid w:val="008C3C9D"/>
    <w:rsid w:val="008C682F"/>
    <w:rsid w:val="008E509B"/>
    <w:rsid w:val="008F4811"/>
    <w:rsid w:val="008F525A"/>
    <w:rsid w:val="009026D4"/>
    <w:rsid w:val="00907F49"/>
    <w:rsid w:val="00910956"/>
    <w:rsid w:val="009250AC"/>
    <w:rsid w:val="0092763E"/>
    <w:rsid w:val="009316A6"/>
    <w:rsid w:val="00936114"/>
    <w:rsid w:val="009400E9"/>
    <w:rsid w:val="00941037"/>
    <w:rsid w:val="00946830"/>
    <w:rsid w:val="00962779"/>
    <w:rsid w:val="009654EC"/>
    <w:rsid w:val="00971AB1"/>
    <w:rsid w:val="00987D89"/>
    <w:rsid w:val="009918D9"/>
    <w:rsid w:val="00992998"/>
    <w:rsid w:val="009A392D"/>
    <w:rsid w:val="009D17C3"/>
    <w:rsid w:val="009D3329"/>
    <w:rsid w:val="009D368B"/>
    <w:rsid w:val="009D47C2"/>
    <w:rsid w:val="009E51F8"/>
    <w:rsid w:val="009E6AEB"/>
    <w:rsid w:val="009F16F4"/>
    <w:rsid w:val="009F2649"/>
    <w:rsid w:val="009F58F6"/>
    <w:rsid w:val="00A05364"/>
    <w:rsid w:val="00A074D7"/>
    <w:rsid w:val="00A17D23"/>
    <w:rsid w:val="00A208E1"/>
    <w:rsid w:val="00A521AB"/>
    <w:rsid w:val="00A56CD0"/>
    <w:rsid w:val="00A61D3E"/>
    <w:rsid w:val="00A66C59"/>
    <w:rsid w:val="00A7643E"/>
    <w:rsid w:val="00A76B20"/>
    <w:rsid w:val="00A83D7C"/>
    <w:rsid w:val="00A9649E"/>
    <w:rsid w:val="00AA1341"/>
    <w:rsid w:val="00AA5ED4"/>
    <w:rsid w:val="00AB11C0"/>
    <w:rsid w:val="00AB16D0"/>
    <w:rsid w:val="00AB2C1B"/>
    <w:rsid w:val="00AB30BE"/>
    <w:rsid w:val="00AC3BF2"/>
    <w:rsid w:val="00AD5483"/>
    <w:rsid w:val="00AE1160"/>
    <w:rsid w:val="00AF0249"/>
    <w:rsid w:val="00AF142D"/>
    <w:rsid w:val="00AF150F"/>
    <w:rsid w:val="00AF4737"/>
    <w:rsid w:val="00B0470A"/>
    <w:rsid w:val="00B05209"/>
    <w:rsid w:val="00B144BD"/>
    <w:rsid w:val="00B178FB"/>
    <w:rsid w:val="00B2364D"/>
    <w:rsid w:val="00B33479"/>
    <w:rsid w:val="00B526E2"/>
    <w:rsid w:val="00B53582"/>
    <w:rsid w:val="00B6239D"/>
    <w:rsid w:val="00B67630"/>
    <w:rsid w:val="00B70B18"/>
    <w:rsid w:val="00B722DE"/>
    <w:rsid w:val="00B80DDB"/>
    <w:rsid w:val="00B81EE1"/>
    <w:rsid w:val="00B9392D"/>
    <w:rsid w:val="00BA1EA6"/>
    <w:rsid w:val="00BA42DD"/>
    <w:rsid w:val="00BA761E"/>
    <w:rsid w:val="00BB3FBE"/>
    <w:rsid w:val="00BC603D"/>
    <w:rsid w:val="00BD0A68"/>
    <w:rsid w:val="00BD1F97"/>
    <w:rsid w:val="00BE543B"/>
    <w:rsid w:val="00BF3CF2"/>
    <w:rsid w:val="00C03CE1"/>
    <w:rsid w:val="00C124B4"/>
    <w:rsid w:val="00C1311B"/>
    <w:rsid w:val="00C25571"/>
    <w:rsid w:val="00C3016F"/>
    <w:rsid w:val="00C31922"/>
    <w:rsid w:val="00C32EDF"/>
    <w:rsid w:val="00C405FD"/>
    <w:rsid w:val="00C42573"/>
    <w:rsid w:val="00C471DD"/>
    <w:rsid w:val="00C5024A"/>
    <w:rsid w:val="00C567DF"/>
    <w:rsid w:val="00C57107"/>
    <w:rsid w:val="00C62C2D"/>
    <w:rsid w:val="00C663DE"/>
    <w:rsid w:val="00C75C2D"/>
    <w:rsid w:val="00C76C50"/>
    <w:rsid w:val="00C9227C"/>
    <w:rsid w:val="00C9557D"/>
    <w:rsid w:val="00CA2740"/>
    <w:rsid w:val="00CA4863"/>
    <w:rsid w:val="00CB3379"/>
    <w:rsid w:val="00CC12E6"/>
    <w:rsid w:val="00CC1670"/>
    <w:rsid w:val="00CC2E25"/>
    <w:rsid w:val="00CC7C64"/>
    <w:rsid w:val="00CD0B47"/>
    <w:rsid w:val="00CE4307"/>
    <w:rsid w:val="00CF5F1A"/>
    <w:rsid w:val="00D010E8"/>
    <w:rsid w:val="00D02C04"/>
    <w:rsid w:val="00D138E8"/>
    <w:rsid w:val="00D20259"/>
    <w:rsid w:val="00D208BA"/>
    <w:rsid w:val="00D20D76"/>
    <w:rsid w:val="00D21668"/>
    <w:rsid w:val="00D216BC"/>
    <w:rsid w:val="00D27283"/>
    <w:rsid w:val="00D34C48"/>
    <w:rsid w:val="00D42F8F"/>
    <w:rsid w:val="00D45ADF"/>
    <w:rsid w:val="00D55E28"/>
    <w:rsid w:val="00D709EB"/>
    <w:rsid w:val="00D748E2"/>
    <w:rsid w:val="00D768E0"/>
    <w:rsid w:val="00D80D43"/>
    <w:rsid w:val="00DA07F1"/>
    <w:rsid w:val="00DB013B"/>
    <w:rsid w:val="00DB0B0B"/>
    <w:rsid w:val="00DB4B84"/>
    <w:rsid w:val="00DD06F4"/>
    <w:rsid w:val="00DD500F"/>
    <w:rsid w:val="00DF53E4"/>
    <w:rsid w:val="00E00393"/>
    <w:rsid w:val="00E147ED"/>
    <w:rsid w:val="00E2136E"/>
    <w:rsid w:val="00E25AF8"/>
    <w:rsid w:val="00E31A6A"/>
    <w:rsid w:val="00E31F8F"/>
    <w:rsid w:val="00E46BDF"/>
    <w:rsid w:val="00E50258"/>
    <w:rsid w:val="00E547DB"/>
    <w:rsid w:val="00E555BF"/>
    <w:rsid w:val="00E61949"/>
    <w:rsid w:val="00E70DCE"/>
    <w:rsid w:val="00E75EF7"/>
    <w:rsid w:val="00E76B7A"/>
    <w:rsid w:val="00E80A4D"/>
    <w:rsid w:val="00E87276"/>
    <w:rsid w:val="00EA446A"/>
    <w:rsid w:val="00EA7DC1"/>
    <w:rsid w:val="00EB5BA2"/>
    <w:rsid w:val="00EB5C28"/>
    <w:rsid w:val="00EC6884"/>
    <w:rsid w:val="00EE3AFB"/>
    <w:rsid w:val="00EF0D19"/>
    <w:rsid w:val="00EF1577"/>
    <w:rsid w:val="00EF6BD4"/>
    <w:rsid w:val="00F0114A"/>
    <w:rsid w:val="00F02A47"/>
    <w:rsid w:val="00F05C18"/>
    <w:rsid w:val="00F070C1"/>
    <w:rsid w:val="00F124A9"/>
    <w:rsid w:val="00F157DD"/>
    <w:rsid w:val="00F15F90"/>
    <w:rsid w:val="00F21101"/>
    <w:rsid w:val="00F21465"/>
    <w:rsid w:val="00F35614"/>
    <w:rsid w:val="00F46A20"/>
    <w:rsid w:val="00F6065C"/>
    <w:rsid w:val="00F61EB1"/>
    <w:rsid w:val="00F62C8B"/>
    <w:rsid w:val="00F802D4"/>
    <w:rsid w:val="00F91982"/>
    <w:rsid w:val="00FA2DA2"/>
    <w:rsid w:val="00FA311A"/>
    <w:rsid w:val="00FB16A8"/>
    <w:rsid w:val="00FC1AAD"/>
    <w:rsid w:val="00FE0FE8"/>
    <w:rsid w:val="00FE50A5"/>
    <w:rsid w:val="00FF56AA"/>
    <w:rsid w:val="00FF60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F15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styleId="CommentReference">
    <w:name w:val="annotation reference"/>
    <w:basedOn w:val="DefaultParagraphFont"/>
    <w:uiPriority w:val="99"/>
    <w:semiHidden/>
    <w:unhideWhenUsed/>
    <w:rsid w:val="0060627E"/>
    <w:rPr>
      <w:sz w:val="16"/>
      <w:szCs w:val="16"/>
    </w:rPr>
  </w:style>
  <w:style w:type="paragraph" w:styleId="CommentText">
    <w:name w:val="annotation text"/>
    <w:basedOn w:val="Normal"/>
    <w:link w:val="CommentTextChar"/>
    <w:uiPriority w:val="99"/>
    <w:semiHidden/>
    <w:unhideWhenUsed/>
    <w:rsid w:val="0060627E"/>
    <w:pPr>
      <w:spacing w:line="240" w:lineRule="auto"/>
    </w:pPr>
    <w:rPr>
      <w:sz w:val="20"/>
      <w:szCs w:val="20"/>
    </w:rPr>
  </w:style>
  <w:style w:type="character" w:customStyle="1" w:styleId="CommentTextChar">
    <w:name w:val="Comment Text Char"/>
    <w:basedOn w:val="DefaultParagraphFont"/>
    <w:link w:val="CommentText"/>
    <w:uiPriority w:val="99"/>
    <w:semiHidden/>
    <w:rsid w:val="0060627E"/>
    <w:rPr>
      <w:sz w:val="20"/>
      <w:szCs w:val="20"/>
    </w:rPr>
  </w:style>
  <w:style w:type="paragraph" w:styleId="CommentSubject">
    <w:name w:val="annotation subject"/>
    <w:basedOn w:val="CommentText"/>
    <w:next w:val="CommentText"/>
    <w:link w:val="CommentSubjectChar"/>
    <w:uiPriority w:val="99"/>
    <w:semiHidden/>
    <w:unhideWhenUsed/>
    <w:rsid w:val="0060627E"/>
    <w:rPr>
      <w:b/>
      <w:bCs/>
    </w:rPr>
  </w:style>
  <w:style w:type="character" w:customStyle="1" w:styleId="CommentSubjectChar">
    <w:name w:val="Comment Subject Char"/>
    <w:basedOn w:val="CommentTextChar"/>
    <w:link w:val="CommentSubject"/>
    <w:uiPriority w:val="99"/>
    <w:semiHidden/>
    <w:rsid w:val="0060627E"/>
    <w:rPr>
      <w:b/>
      <w:bCs/>
      <w:sz w:val="20"/>
      <w:szCs w:val="20"/>
    </w:rPr>
  </w:style>
  <w:style w:type="character" w:styleId="UnresolvedMention">
    <w:name w:val="Unresolved Mention"/>
    <w:basedOn w:val="DefaultParagraphFont"/>
    <w:uiPriority w:val="99"/>
    <w:semiHidden/>
    <w:unhideWhenUsed/>
    <w:rsid w:val="007C428B"/>
    <w:rPr>
      <w:color w:val="605E5C"/>
      <w:shd w:val="clear" w:color="auto" w:fill="E1DFDD"/>
    </w:rPr>
  </w:style>
  <w:style w:type="paragraph" w:styleId="Bibliography">
    <w:name w:val="Bibliography"/>
    <w:basedOn w:val="Normal"/>
    <w:next w:val="Normal"/>
    <w:uiPriority w:val="37"/>
    <w:unhideWhenUsed/>
    <w:rsid w:val="007B43FE"/>
    <w:pPr>
      <w:tabs>
        <w:tab w:val="left" w:pos="144"/>
      </w:tabs>
      <w:spacing w:after="0" w:line="240" w:lineRule="auto"/>
      <w:ind w:left="144" w:hanging="14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gonzalo.guillen.gosalbez@chem.ethz.ch" TargetMode="External"/><Relationship Id="rId13" Type="http://schemas.openxmlformats.org/officeDocument/2006/relationships/header" Target="header2.xml"/><Relationship Id="rId18" Type="http://schemas.openxmlformats.org/officeDocument/2006/relationships/hyperlink" Target="https://ecoinvent.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pr@chem.ethz.c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gonzalo.guillen.gosalbez@chem.ethz.c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pr@chem.ethz.ch"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377B7-D2EA-4912-A595-28555888F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5219</Words>
  <Characters>29749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34899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Nabera  Abhinandan</cp:lastModifiedBy>
  <cp:revision>117</cp:revision>
  <cp:lastPrinted>2025-08-03T15:18:00Z</cp:lastPrinted>
  <dcterms:created xsi:type="dcterms:W3CDTF">2024-05-16T11:06:00Z</dcterms:created>
  <dcterms:modified xsi:type="dcterms:W3CDTF">2025-08-06T12:14:00Z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id="5RiS9j4p"/&gt;&lt;style id="http://www.zotero.org/styles/green-chemistry"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