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D8F50" w14:textId="2B476F71" w:rsidR="00242359" w:rsidRPr="006322A6" w:rsidRDefault="00EE5071" w:rsidP="00B03396">
      <w:pPr>
        <w:spacing w:line="360" w:lineRule="auto"/>
        <w:jc w:val="center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noProof/>
          <w:sz w:val="20"/>
          <w:szCs w:val="20"/>
          <w:lang w:val="en-GB"/>
        </w:rPr>
        <w:drawing>
          <wp:inline distT="0" distB="0" distL="0" distR="0" wp14:anchorId="6E8B19B7" wp14:editId="3866CD9B">
            <wp:extent cx="2884938" cy="513589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02507211501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4938" cy="5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DF55" w14:textId="0D498AC1" w:rsidR="006D27DB" w:rsidRPr="00865A4A" w:rsidRDefault="006D27DB" w:rsidP="006D27DB">
      <w:pPr>
        <w:spacing w:line="360" w:lineRule="auto"/>
        <w:jc w:val="both"/>
        <w:rPr>
          <w:rFonts w:ascii="Arial" w:hAnsi="Arial" w:cs="Arial"/>
          <w:bCs/>
          <w:sz w:val="20"/>
          <w:szCs w:val="20"/>
          <w:lang w:val="en-GB"/>
        </w:rPr>
      </w:pPr>
      <w:r w:rsidRPr="00865A4A">
        <w:rPr>
          <w:rFonts w:ascii="Arial" w:hAnsi="Arial" w:cs="Arial"/>
          <w:b/>
          <w:sz w:val="20"/>
          <w:szCs w:val="20"/>
          <w:lang w:val="en-GB"/>
        </w:rPr>
        <w:t>Fig. 1</w:t>
      </w:r>
      <w:r w:rsidR="008A750D" w:rsidRPr="00865A4A">
        <w:rPr>
          <w:rFonts w:ascii="Arial" w:hAnsi="Arial" w:cs="Arial"/>
          <w:sz w:val="20"/>
          <w:szCs w:val="20"/>
          <w:lang w:val="en-GB"/>
        </w:rPr>
        <w:t> </w:t>
      </w:r>
      <w:r w:rsidR="00865A4A" w:rsidRPr="00865A4A">
        <w:rPr>
          <w:rFonts w:ascii="Arial" w:hAnsi="Arial" w:cs="Arial"/>
          <w:sz w:val="20"/>
          <w:szCs w:val="20"/>
          <w:lang w:val="en-GB"/>
        </w:rPr>
        <w:t>Outline of the analysis</w:t>
      </w:r>
      <w:r w:rsidR="005A35EC" w:rsidRPr="00865A4A">
        <w:rPr>
          <w:rFonts w:ascii="Arial" w:hAnsi="Arial" w:cs="Arial"/>
          <w:sz w:val="20"/>
          <w:szCs w:val="20"/>
          <w:lang w:val="en-GB"/>
        </w:rPr>
        <w:t xml:space="preserve">. </w:t>
      </w:r>
      <w:r w:rsidR="00865A4A" w:rsidRPr="00865A4A">
        <w:rPr>
          <w:rFonts w:ascii="Arial" w:hAnsi="Arial" w:cs="Arial"/>
          <w:sz w:val="20"/>
          <w:szCs w:val="20"/>
        </w:rPr>
        <w:t>First, we compare the five</w:t>
      </w:r>
      <w:r w:rsidR="009C0C97">
        <w:rPr>
          <w:rFonts w:ascii="Arial" w:hAnsi="Arial" w:cs="Arial"/>
          <w:sz w:val="20"/>
          <w:szCs w:val="20"/>
        </w:rPr>
        <w:noBreakHyphen/>
      </w:r>
      <w:r w:rsidR="00865A4A" w:rsidRPr="00865A4A">
        <w:rPr>
          <w:rFonts w:ascii="Arial" w:hAnsi="Arial" w:cs="Arial"/>
          <w:sz w:val="20"/>
          <w:szCs w:val="20"/>
        </w:rPr>
        <w:t>step and one</w:t>
      </w:r>
      <w:r w:rsidR="009C0C97">
        <w:rPr>
          <w:rFonts w:ascii="Arial" w:hAnsi="Arial" w:cs="Arial"/>
          <w:sz w:val="20"/>
          <w:szCs w:val="20"/>
        </w:rPr>
        <w:noBreakHyphen/>
      </w:r>
      <w:r w:rsidR="00865A4A" w:rsidRPr="00865A4A">
        <w:rPr>
          <w:rFonts w:ascii="Arial" w:hAnsi="Arial" w:cs="Arial"/>
          <w:sz w:val="20"/>
          <w:szCs w:val="20"/>
        </w:rPr>
        <w:t>step N</w:t>
      </w:r>
      <w:r w:rsidR="00865A4A" w:rsidRPr="00865A4A">
        <w:rPr>
          <w:rFonts w:ascii="Arial" w:hAnsi="Arial" w:cs="Arial"/>
          <w:sz w:val="20"/>
          <w:szCs w:val="20"/>
          <w:vertAlign w:val="subscript"/>
        </w:rPr>
        <w:t>2</w:t>
      </w:r>
      <w:r w:rsidR="00865A4A" w:rsidRPr="00865A4A">
        <w:rPr>
          <w:rFonts w:ascii="Arial" w:hAnsi="Arial" w:cs="Arial"/>
          <w:sz w:val="20"/>
          <w:szCs w:val="20"/>
        </w:rPr>
        <w:t>O production routes using economic, environmental, and safety metrics (</w:t>
      </w:r>
      <w:r w:rsidR="00865A4A" w:rsidRPr="00865A4A">
        <w:rPr>
          <w:rFonts w:ascii="Arial" w:hAnsi="Arial" w:cs="Arial"/>
          <w:b/>
          <w:sz w:val="20"/>
          <w:szCs w:val="20"/>
        </w:rPr>
        <w:t>Fig. 2</w:t>
      </w:r>
      <w:r w:rsidR="00865A4A" w:rsidRPr="00865A4A">
        <w:rPr>
          <w:rFonts w:ascii="Arial" w:hAnsi="Arial" w:cs="Arial"/>
          <w:sz w:val="20"/>
          <w:szCs w:val="20"/>
        </w:rPr>
        <w:t xml:space="preserve"> and </w:t>
      </w:r>
      <w:r w:rsidR="00865A4A" w:rsidRPr="007C6BB5">
        <w:rPr>
          <w:rFonts w:ascii="Arial" w:hAnsi="Arial" w:cs="Arial"/>
          <w:b/>
          <w:sz w:val="20"/>
          <w:szCs w:val="20"/>
        </w:rPr>
        <w:t>Table 1</w:t>
      </w:r>
      <w:r w:rsidR="00865A4A" w:rsidRPr="00865A4A">
        <w:rPr>
          <w:rFonts w:ascii="Arial" w:hAnsi="Arial" w:cs="Arial"/>
          <w:sz w:val="20"/>
          <w:szCs w:val="20"/>
        </w:rPr>
        <w:t xml:space="preserve">). </w:t>
      </w:r>
      <w:r w:rsidR="00A15C40">
        <w:rPr>
          <w:rFonts w:ascii="Arial" w:hAnsi="Arial" w:cs="Arial"/>
          <w:sz w:val="20"/>
          <w:szCs w:val="20"/>
        </w:rPr>
        <w:t>In the same analysis, we show how emissions can be further reduced using green NH</w:t>
      </w:r>
      <w:r w:rsidR="00A15C40" w:rsidRPr="00A15C40">
        <w:rPr>
          <w:rFonts w:ascii="Arial" w:hAnsi="Arial" w:cs="Arial"/>
          <w:sz w:val="20"/>
          <w:szCs w:val="20"/>
          <w:vertAlign w:val="subscript"/>
        </w:rPr>
        <w:t>3</w:t>
      </w:r>
      <w:r w:rsidR="00A15C40">
        <w:rPr>
          <w:rFonts w:ascii="Arial" w:hAnsi="Arial" w:cs="Arial"/>
          <w:sz w:val="20"/>
          <w:szCs w:val="20"/>
        </w:rPr>
        <w:t xml:space="preserve">, </w:t>
      </w:r>
      <w:r w:rsidR="00A15C40" w:rsidRPr="00A15C40">
        <w:rPr>
          <w:rFonts w:ascii="Arial" w:hAnsi="Arial" w:cs="Arial"/>
          <w:i/>
          <w:sz w:val="20"/>
          <w:szCs w:val="20"/>
        </w:rPr>
        <w:t>i.e.</w:t>
      </w:r>
      <w:r w:rsidR="00A15C40">
        <w:rPr>
          <w:rFonts w:ascii="Arial" w:hAnsi="Arial" w:cs="Arial"/>
          <w:sz w:val="20"/>
          <w:szCs w:val="20"/>
        </w:rPr>
        <w:t>, NH</w:t>
      </w:r>
      <w:r w:rsidR="00A15C40" w:rsidRPr="00A15C40">
        <w:rPr>
          <w:rFonts w:ascii="Arial" w:hAnsi="Arial" w:cs="Arial"/>
          <w:sz w:val="20"/>
          <w:szCs w:val="20"/>
          <w:vertAlign w:val="subscript"/>
        </w:rPr>
        <w:t>3</w:t>
      </w:r>
      <w:r w:rsidR="00A15C40">
        <w:rPr>
          <w:rFonts w:ascii="Arial" w:hAnsi="Arial" w:cs="Arial"/>
          <w:sz w:val="20"/>
          <w:szCs w:val="20"/>
        </w:rPr>
        <w:t xml:space="preserve"> produced </w:t>
      </w:r>
      <w:r w:rsidR="00A15C40" w:rsidRPr="00A15C40">
        <w:rPr>
          <w:rFonts w:ascii="Arial" w:hAnsi="Arial" w:cs="Arial"/>
          <w:i/>
          <w:sz w:val="20"/>
          <w:szCs w:val="20"/>
        </w:rPr>
        <w:t>via</w:t>
      </w:r>
      <w:r w:rsidR="00A15C40">
        <w:rPr>
          <w:rFonts w:ascii="Arial" w:hAnsi="Arial" w:cs="Arial"/>
          <w:sz w:val="20"/>
          <w:szCs w:val="20"/>
        </w:rPr>
        <w:t xml:space="preserve"> water electrolysis powered by clean electricity. </w:t>
      </w:r>
      <w:r w:rsidR="00865A4A" w:rsidRPr="00A15C40">
        <w:rPr>
          <w:rFonts w:ascii="Arial" w:hAnsi="Arial" w:cs="Arial"/>
          <w:sz w:val="20"/>
          <w:szCs w:val="20"/>
        </w:rPr>
        <w:t>Next</w:t>
      </w:r>
      <w:r w:rsidR="00865A4A" w:rsidRPr="00865A4A">
        <w:rPr>
          <w:rFonts w:ascii="Arial" w:hAnsi="Arial" w:cs="Arial"/>
          <w:sz w:val="20"/>
          <w:szCs w:val="20"/>
        </w:rPr>
        <w:t>, we extend our analysis to compare N</w:t>
      </w:r>
      <w:r w:rsidR="00865A4A" w:rsidRPr="00865A4A">
        <w:rPr>
          <w:rFonts w:ascii="Arial" w:hAnsi="Arial" w:cs="Arial"/>
          <w:sz w:val="20"/>
          <w:szCs w:val="20"/>
          <w:vertAlign w:val="subscript"/>
        </w:rPr>
        <w:t>2</w:t>
      </w:r>
      <w:r w:rsidR="00865A4A" w:rsidRPr="00865A4A">
        <w:rPr>
          <w:rFonts w:ascii="Arial" w:hAnsi="Arial" w:cs="Arial"/>
          <w:sz w:val="20"/>
          <w:szCs w:val="20"/>
        </w:rPr>
        <w:t>O with H</w:t>
      </w:r>
      <w:r w:rsidR="00865A4A" w:rsidRPr="00865A4A">
        <w:rPr>
          <w:rFonts w:ascii="Arial" w:hAnsi="Arial" w:cs="Arial"/>
          <w:sz w:val="20"/>
          <w:szCs w:val="20"/>
          <w:vertAlign w:val="subscript"/>
        </w:rPr>
        <w:t>2</w:t>
      </w:r>
      <w:r w:rsidR="00865A4A" w:rsidRPr="00865A4A">
        <w:rPr>
          <w:rFonts w:ascii="Arial" w:hAnsi="Arial" w:cs="Arial"/>
          <w:sz w:val="20"/>
          <w:szCs w:val="20"/>
        </w:rPr>
        <w:t>O</w:t>
      </w:r>
      <w:r w:rsidR="00865A4A" w:rsidRPr="00865A4A">
        <w:rPr>
          <w:rFonts w:ascii="Arial" w:hAnsi="Arial" w:cs="Arial"/>
          <w:sz w:val="20"/>
          <w:szCs w:val="20"/>
          <w:vertAlign w:val="subscript"/>
        </w:rPr>
        <w:t>2</w:t>
      </w:r>
      <w:r w:rsidR="009C0C97">
        <w:rPr>
          <w:rFonts w:ascii="Arial" w:hAnsi="Arial" w:cs="Arial"/>
          <w:sz w:val="20"/>
          <w:szCs w:val="20"/>
        </w:rPr>
        <w:t xml:space="preserve">, </w:t>
      </w:r>
      <w:r w:rsidR="00865A4A" w:rsidRPr="00865A4A">
        <w:rPr>
          <w:rFonts w:ascii="Arial" w:hAnsi="Arial" w:cs="Arial"/>
          <w:sz w:val="20"/>
          <w:szCs w:val="20"/>
        </w:rPr>
        <w:t>another mono</w:t>
      </w:r>
      <w:r w:rsidR="009C0C97">
        <w:rPr>
          <w:rFonts w:ascii="Arial" w:hAnsi="Arial" w:cs="Arial"/>
          <w:sz w:val="20"/>
          <w:szCs w:val="20"/>
        </w:rPr>
        <w:noBreakHyphen/>
      </w:r>
      <w:r w:rsidR="00865A4A" w:rsidRPr="00865A4A">
        <w:rPr>
          <w:rFonts w:ascii="Arial" w:hAnsi="Arial" w:cs="Arial"/>
          <w:sz w:val="20"/>
          <w:szCs w:val="20"/>
        </w:rPr>
        <w:t>oxygen donor with benign by</w:t>
      </w:r>
      <w:r w:rsidR="00865A4A">
        <w:rPr>
          <w:rFonts w:ascii="Arial" w:hAnsi="Arial" w:cs="Arial"/>
          <w:sz w:val="20"/>
          <w:szCs w:val="20"/>
        </w:rPr>
        <w:noBreakHyphen/>
      </w:r>
      <w:r w:rsidR="00865A4A" w:rsidRPr="00865A4A">
        <w:rPr>
          <w:rFonts w:ascii="Arial" w:hAnsi="Arial" w:cs="Arial"/>
          <w:sz w:val="20"/>
          <w:szCs w:val="20"/>
        </w:rPr>
        <w:t>products</w:t>
      </w:r>
      <w:r w:rsidR="00865A4A">
        <w:rPr>
          <w:rFonts w:ascii="Arial" w:hAnsi="Arial" w:cs="Arial"/>
          <w:sz w:val="20"/>
          <w:szCs w:val="20"/>
        </w:rPr>
        <w:t xml:space="preserve">, </w:t>
      </w:r>
      <w:r w:rsidR="00865A4A" w:rsidRPr="00865A4A">
        <w:rPr>
          <w:rFonts w:ascii="Arial" w:hAnsi="Arial" w:cs="Arial"/>
          <w:sz w:val="20"/>
          <w:szCs w:val="20"/>
        </w:rPr>
        <w:t>again in terms of cost, environmental impact, and safety metrics (</w:t>
      </w:r>
      <w:r w:rsidR="00865A4A" w:rsidRPr="00865A4A">
        <w:rPr>
          <w:rFonts w:ascii="Arial" w:hAnsi="Arial" w:cs="Arial"/>
          <w:b/>
          <w:sz w:val="20"/>
          <w:szCs w:val="20"/>
        </w:rPr>
        <w:t>Figs. 3</w:t>
      </w:r>
      <w:r w:rsidR="00865A4A" w:rsidRPr="00865A4A">
        <w:rPr>
          <w:rFonts w:ascii="Arial" w:hAnsi="Arial" w:cs="Arial"/>
          <w:sz w:val="20"/>
          <w:szCs w:val="20"/>
        </w:rPr>
        <w:t xml:space="preserve"> and </w:t>
      </w:r>
      <w:r w:rsidR="00865A4A" w:rsidRPr="00865A4A">
        <w:rPr>
          <w:rFonts w:ascii="Arial" w:hAnsi="Arial" w:cs="Arial"/>
          <w:b/>
          <w:sz w:val="20"/>
          <w:szCs w:val="20"/>
        </w:rPr>
        <w:t>4</w:t>
      </w:r>
      <w:r w:rsidR="00865A4A" w:rsidRPr="00865A4A">
        <w:rPr>
          <w:rFonts w:ascii="Arial" w:hAnsi="Arial" w:cs="Arial"/>
          <w:sz w:val="20"/>
          <w:szCs w:val="20"/>
        </w:rPr>
        <w:t xml:space="preserve">, and </w:t>
      </w:r>
      <w:r w:rsidR="00865A4A" w:rsidRPr="00865A4A">
        <w:rPr>
          <w:rFonts w:ascii="Arial" w:hAnsi="Arial" w:cs="Arial"/>
          <w:b/>
          <w:sz w:val="20"/>
          <w:szCs w:val="20"/>
        </w:rPr>
        <w:t>Table 2</w:t>
      </w:r>
      <w:r w:rsidR="00865A4A" w:rsidRPr="00865A4A">
        <w:rPr>
          <w:rFonts w:ascii="Arial" w:hAnsi="Arial" w:cs="Arial"/>
          <w:sz w:val="20"/>
          <w:szCs w:val="20"/>
        </w:rPr>
        <w:t>). Finally, we explore key applications for N</w:t>
      </w:r>
      <w:r w:rsidR="00865A4A" w:rsidRPr="00865A4A">
        <w:rPr>
          <w:rFonts w:ascii="Arial" w:hAnsi="Arial" w:cs="Arial"/>
          <w:sz w:val="20"/>
          <w:szCs w:val="20"/>
          <w:vertAlign w:val="subscript"/>
        </w:rPr>
        <w:t>2</w:t>
      </w:r>
      <w:r w:rsidR="00865A4A" w:rsidRPr="00865A4A">
        <w:rPr>
          <w:rFonts w:ascii="Arial" w:hAnsi="Arial" w:cs="Arial"/>
          <w:sz w:val="20"/>
          <w:szCs w:val="20"/>
        </w:rPr>
        <w:t>O, such as the direct production of phenol from benzene oxidation, and compare this route with both the direct oxidation of benzene using H</w:t>
      </w:r>
      <w:r w:rsidR="00865A4A" w:rsidRPr="00865A4A">
        <w:rPr>
          <w:rFonts w:ascii="Arial" w:hAnsi="Arial" w:cs="Arial"/>
          <w:sz w:val="20"/>
          <w:szCs w:val="20"/>
          <w:vertAlign w:val="subscript"/>
        </w:rPr>
        <w:t>2</w:t>
      </w:r>
      <w:r w:rsidR="00865A4A" w:rsidRPr="00865A4A">
        <w:rPr>
          <w:rFonts w:ascii="Arial" w:hAnsi="Arial" w:cs="Arial"/>
          <w:sz w:val="20"/>
          <w:szCs w:val="20"/>
        </w:rPr>
        <w:t>O</w:t>
      </w:r>
      <w:r w:rsidR="00865A4A" w:rsidRPr="00865A4A">
        <w:rPr>
          <w:rFonts w:ascii="Arial" w:hAnsi="Arial" w:cs="Arial"/>
          <w:sz w:val="20"/>
          <w:szCs w:val="20"/>
          <w:vertAlign w:val="subscript"/>
        </w:rPr>
        <w:t>2</w:t>
      </w:r>
      <w:r w:rsidR="00865A4A" w:rsidRPr="00865A4A">
        <w:rPr>
          <w:rFonts w:ascii="Arial" w:hAnsi="Arial" w:cs="Arial"/>
          <w:sz w:val="20"/>
          <w:szCs w:val="20"/>
        </w:rPr>
        <w:t xml:space="preserve"> and the traditional cumene</w:t>
      </w:r>
      <w:r w:rsidR="00865A4A">
        <w:rPr>
          <w:rFonts w:ascii="Arial" w:hAnsi="Arial" w:cs="Arial"/>
          <w:sz w:val="20"/>
          <w:szCs w:val="20"/>
        </w:rPr>
        <w:noBreakHyphen/>
      </w:r>
      <w:r w:rsidR="00865A4A" w:rsidRPr="00865A4A">
        <w:rPr>
          <w:rFonts w:ascii="Arial" w:hAnsi="Arial" w:cs="Arial"/>
          <w:sz w:val="20"/>
          <w:szCs w:val="20"/>
        </w:rPr>
        <w:t>based process for phenol production (</w:t>
      </w:r>
      <w:r w:rsidR="00865A4A" w:rsidRPr="00336AC2">
        <w:rPr>
          <w:rFonts w:ascii="Arial" w:hAnsi="Arial" w:cs="Arial"/>
          <w:b/>
          <w:sz w:val="20"/>
          <w:szCs w:val="20"/>
        </w:rPr>
        <w:t>Fig. 5</w:t>
      </w:r>
      <w:r w:rsidR="00865A4A" w:rsidRPr="00865A4A">
        <w:rPr>
          <w:rFonts w:ascii="Arial" w:hAnsi="Arial" w:cs="Arial"/>
          <w:sz w:val="20"/>
          <w:szCs w:val="20"/>
        </w:rPr>
        <w:t>)</w:t>
      </w:r>
      <w:r w:rsidR="00865A4A" w:rsidRPr="00865A4A">
        <w:rPr>
          <w:rFonts w:ascii="Arial" w:hAnsi="Arial" w:cs="Arial"/>
          <w:bCs/>
          <w:sz w:val="20"/>
          <w:szCs w:val="20"/>
          <w:lang w:val="en-GB"/>
        </w:rPr>
        <w:t>.</w:t>
      </w:r>
      <w:r w:rsidR="00DF1A6E" w:rsidRPr="00865A4A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DF1A6E" w:rsidRPr="004A2196">
        <w:rPr>
          <w:rFonts w:ascii="Arial" w:hAnsi="Arial" w:cs="Arial"/>
          <w:bCs/>
          <w:sz w:val="20"/>
          <w:szCs w:val="20"/>
          <w:vertAlign w:val="superscript"/>
          <w:lang w:val="en-GB"/>
        </w:rPr>
        <w:t>a</w:t>
      </w:r>
      <w:r w:rsidR="00615BCC">
        <w:rPr>
          <w:rFonts w:ascii="Arial" w:hAnsi="Arial" w:cs="Arial"/>
          <w:bCs/>
          <w:sz w:val="20"/>
          <w:szCs w:val="20"/>
          <w:lang w:val="en-GB"/>
        </w:rPr>
        <w:t>The reaction of NO</w:t>
      </w:r>
      <w:r w:rsidR="00615BCC" w:rsidRPr="00292741">
        <w:rPr>
          <w:rFonts w:ascii="Arial" w:hAnsi="Arial" w:cs="Arial"/>
          <w:bCs/>
          <w:sz w:val="20"/>
          <w:szCs w:val="20"/>
          <w:vertAlign w:val="subscript"/>
          <w:lang w:val="en-GB"/>
        </w:rPr>
        <w:t>2</w:t>
      </w:r>
      <w:r w:rsidR="00615BCC">
        <w:rPr>
          <w:rFonts w:ascii="Arial" w:hAnsi="Arial" w:cs="Arial"/>
          <w:bCs/>
          <w:sz w:val="20"/>
          <w:szCs w:val="20"/>
          <w:lang w:val="en-GB"/>
        </w:rPr>
        <w:t xml:space="preserve"> with water to produce HNO</w:t>
      </w:r>
      <w:r w:rsidR="00615BCC" w:rsidRPr="00292741">
        <w:rPr>
          <w:rFonts w:ascii="Arial" w:hAnsi="Arial" w:cs="Arial"/>
          <w:bCs/>
          <w:sz w:val="20"/>
          <w:szCs w:val="20"/>
          <w:vertAlign w:val="subscript"/>
          <w:lang w:val="en-GB"/>
        </w:rPr>
        <w:t>3</w:t>
      </w:r>
      <w:r w:rsidR="00615BCC">
        <w:rPr>
          <w:rFonts w:ascii="Arial" w:hAnsi="Arial" w:cs="Arial"/>
          <w:bCs/>
          <w:sz w:val="20"/>
          <w:szCs w:val="20"/>
          <w:lang w:val="en-GB"/>
        </w:rPr>
        <w:t xml:space="preserve"> is depicted here as a simplified representation of nitrogen oxides absorption; in reality, NO</w:t>
      </w:r>
      <w:r w:rsidR="00615BCC" w:rsidRPr="00292741">
        <w:rPr>
          <w:rFonts w:ascii="Arial" w:hAnsi="Arial" w:cs="Arial"/>
          <w:bCs/>
          <w:sz w:val="20"/>
          <w:szCs w:val="20"/>
          <w:vertAlign w:val="subscript"/>
          <w:lang w:val="en-GB"/>
        </w:rPr>
        <w:t>2</w:t>
      </w:r>
      <w:r w:rsidR="00615BCC">
        <w:rPr>
          <w:rFonts w:ascii="Arial" w:hAnsi="Arial" w:cs="Arial"/>
          <w:bCs/>
          <w:sz w:val="20"/>
          <w:szCs w:val="20"/>
          <w:lang w:val="en-GB"/>
        </w:rPr>
        <w:t xml:space="preserve"> forms N</w:t>
      </w:r>
      <w:r w:rsidR="00615BCC" w:rsidRPr="00292741">
        <w:rPr>
          <w:rFonts w:ascii="Arial" w:hAnsi="Arial" w:cs="Arial"/>
          <w:bCs/>
          <w:sz w:val="20"/>
          <w:szCs w:val="20"/>
          <w:vertAlign w:val="subscript"/>
          <w:lang w:val="en-GB"/>
        </w:rPr>
        <w:t>2</w:t>
      </w:r>
      <w:r w:rsidR="00615BCC">
        <w:rPr>
          <w:rFonts w:ascii="Arial" w:hAnsi="Arial" w:cs="Arial"/>
          <w:bCs/>
          <w:sz w:val="20"/>
          <w:szCs w:val="20"/>
          <w:lang w:val="en-GB"/>
        </w:rPr>
        <w:t>O</w:t>
      </w:r>
      <w:r w:rsidR="00615BCC" w:rsidRPr="00292741">
        <w:rPr>
          <w:rFonts w:ascii="Arial" w:hAnsi="Arial" w:cs="Arial"/>
          <w:bCs/>
          <w:sz w:val="20"/>
          <w:szCs w:val="20"/>
          <w:vertAlign w:val="subscript"/>
          <w:lang w:val="en-GB"/>
        </w:rPr>
        <w:t>4</w:t>
      </w:r>
      <w:r w:rsidR="00615BCC">
        <w:rPr>
          <w:rFonts w:ascii="Arial" w:hAnsi="Arial" w:cs="Arial"/>
          <w:bCs/>
          <w:sz w:val="20"/>
          <w:szCs w:val="20"/>
          <w:lang w:val="en-GB"/>
        </w:rPr>
        <w:t xml:space="preserve">, which </w:t>
      </w:r>
      <w:r w:rsidR="00292741">
        <w:rPr>
          <w:rFonts w:ascii="Arial" w:hAnsi="Arial" w:cs="Arial"/>
          <w:bCs/>
          <w:sz w:val="20"/>
          <w:szCs w:val="20"/>
          <w:lang w:val="en-GB"/>
        </w:rPr>
        <w:t>hydrolyses</w:t>
      </w:r>
      <w:r w:rsidR="00615BCC">
        <w:rPr>
          <w:rFonts w:ascii="Arial" w:hAnsi="Arial" w:cs="Arial"/>
          <w:bCs/>
          <w:sz w:val="20"/>
          <w:szCs w:val="20"/>
          <w:lang w:val="en-GB"/>
        </w:rPr>
        <w:t xml:space="preserve"> to HNO</w:t>
      </w:r>
      <w:r w:rsidR="00615BCC" w:rsidRPr="00292741">
        <w:rPr>
          <w:rFonts w:ascii="Arial" w:hAnsi="Arial" w:cs="Arial"/>
          <w:bCs/>
          <w:sz w:val="20"/>
          <w:szCs w:val="20"/>
          <w:vertAlign w:val="subscript"/>
          <w:lang w:val="en-GB"/>
        </w:rPr>
        <w:t>3</w:t>
      </w:r>
      <w:r w:rsidR="00615BCC">
        <w:rPr>
          <w:rFonts w:ascii="Arial" w:hAnsi="Arial" w:cs="Arial"/>
          <w:bCs/>
          <w:sz w:val="20"/>
          <w:szCs w:val="20"/>
          <w:lang w:val="en-GB"/>
        </w:rPr>
        <w:t xml:space="preserve"> and NO</w:t>
      </w:r>
      <w:r w:rsidR="00DF1A6E" w:rsidRPr="00865A4A">
        <w:rPr>
          <w:rFonts w:ascii="Arial" w:hAnsi="Arial" w:cs="Arial"/>
          <w:bCs/>
          <w:sz w:val="20"/>
          <w:szCs w:val="20"/>
          <w:lang w:val="en-GB"/>
        </w:rPr>
        <w:t>.</w:t>
      </w:r>
    </w:p>
    <w:p w14:paraId="79D11A9E" w14:textId="77777777" w:rsidR="00DE182F" w:rsidRPr="006322A6" w:rsidRDefault="002F1A80" w:rsidP="00B03396">
      <w:pPr>
        <w:spacing w:after="0" w:line="360" w:lineRule="auto"/>
        <w:jc w:val="center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noProof/>
          <w:sz w:val="20"/>
          <w:szCs w:val="20"/>
          <w:lang w:val="en-GB"/>
        </w:rPr>
        <w:lastRenderedPageBreak/>
        <w:drawing>
          <wp:inline distT="0" distB="0" distL="0" distR="0" wp14:anchorId="6E6CD7A7" wp14:editId="065D1F7E">
            <wp:extent cx="5724576" cy="307784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_step_vs_5_step_ra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76" cy="307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1EA0" w14:textId="6FF7F6BB" w:rsidR="00684913" w:rsidRPr="006322A6" w:rsidRDefault="00684913" w:rsidP="00684913">
      <w:pPr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b/>
          <w:sz w:val="20"/>
          <w:szCs w:val="20"/>
          <w:lang w:val="en-GB"/>
        </w:rPr>
        <w:t>Fig. 2</w:t>
      </w:r>
      <w:r w:rsidR="008A750D" w:rsidRPr="006322A6">
        <w:rPr>
          <w:rFonts w:ascii="Arial" w:hAnsi="Arial" w:cs="Arial"/>
          <w:sz w:val="20"/>
          <w:szCs w:val="20"/>
          <w:lang w:val="en-GB"/>
        </w:rPr>
        <w:t> </w:t>
      </w:r>
      <w:r w:rsidRPr="006322A6">
        <w:rPr>
          <w:rFonts w:ascii="Arial" w:hAnsi="Arial" w:cs="Arial"/>
          <w:b/>
          <w:sz w:val="20"/>
          <w:szCs w:val="20"/>
          <w:lang w:val="en-GB"/>
        </w:rPr>
        <w:t>(</w:t>
      </w:r>
      <w:r w:rsidRPr="006322A6">
        <w:rPr>
          <w:rFonts w:ascii="Arial" w:hAnsi="Arial" w:cs="Arial"/>
          <w:b/>
          <w:bCs/>
          <w:sz w:val="20"/>
          <w:szCs w:val="20"/>
          <w:lang w:val="en-GB"/>
        </w:rPr>
        <w:t>a)</w:t>
      </w:r>
      <w:r w:rsidRPr="006322A6">
        <w:rPr>
          <w:rFonts w:ascii="Arial" w:hAnsi="Arial" w:cs="Arial"/>
          <w:bCs/>
          <w:sz w:val="20"/>
          <w:szCs w:val="20"/>
          <w:lang w:val="en-GB"/>
        </w:rPr>
        <w:t> 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Production costs and </w:t>
      </w:r>
      <w:r w:rsidRPr="006322A6">
        <w:rPr>
          <w:rFonts w:ascii="Arial" w:hAnsi="Arial" w:cs="Arial"/>
          <w:b/>
          <w:sz w:val="20"/>
          <w:szCs w:val="20"/>
          <w:lang w:val="en-GB"/>
        </w:rPr>
        <w:t>(b)</w:t>
      </w:r>
      <w:r w:rsidRPr="006322A6">
        <w:rPr>
          <w:rFonts w:ascii="Arial" w:hAnsi="Arial" w:cs="Arial"/>
          <w:sz w:val="20"/>
          <w:szCs w:val="20"/>
          <w:lang w:val="en-GB"/>
        </w:rPr>
        <w:t> climate change impacts per kg of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O produced using two technologies: </w:t>
      </w:r>
      <w:r w:rsidR="00027B9B" w:rsidRPr="006322A6">
        <w:rPr>
          <w:rFonts w:ascii="Arial" w:hAnsi="Arial" w:cs="Arial"/>
          <w:sz w:val="20"/>
          <w:szCs w:val="20"/>
          <w:lang w:val="en-GB"/>
        </w:rPr>
        <w:t>one</w:t>
      </w:r>
      <w:r w:rsidR="003B1CE7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 xml:space="preserve">step </w:t>
      </w:r>
      <w:r w:rsidR="003317D5" w:rsidRPr="006322A6">
        <w:rPr>
          <w:rFonts w:ascii="Arial" w:hAnsi="Arial" w:cs="Arial"/>
          <w:sz w:val="20"/>
          <w:szCs w:val="20"/>
          <w:lang w:val="en-GB"/>
        </w:rPr>
        <w:t>NH</w:t>
      </w:r>
      <w:r w:rsidR="003317D5" w:rsidRPr="006322A6">
        <w:rPr>
          <w:rFonts w:ascii="Arial" w:hAnsi="Arial" w:cs="Arial"/>
          <w:sz w:val="20"/>
          <w:szCs w:val="20"/>
          <w:vertAlign w:val="subscript"/>
          <w:lang w:val="en-GB"/>
        </w:rPr>
        <w:t>3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oxidation and </w:t>
      </w:r>
      <w:r w:rsidR="00027B9B" w:rsidRPr="006322A6">
        <w:rPr>
          <w:rFonts w:ascii="Arial" w:hAnsi="Arial" w:cs="Arial"/>
          <w:sz w:val="20"/>
          <w:szCs w:val="20"/>
          <w:lang w:val="en-GB"/>
        </w:rPr>
        <w:t>five</w:t>
      </w:r>
      <w:r w:rsidR="00545E5B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 xml:space="preserve">step thermal decomposition of </w:t>
      </w:r>
      <w:r w:rsidR="003317D5" w:rsidRPr="006322A6">
        <w:rPr>
          <w:rFonts w:ascii="Arial" w:hAnsi="Arial" w:cs="Arial"/>
          <w:sz w:val="20"/>
          <w:szCs w:val="20"/>
          <w:lang w:val="en-GB"/>
        </w:rPr>
        <w:t>NH</w:t>
      </w:r>
      <w:r w:rsidR="003317D5" w:rsidRPr="006322A6">
        <w:rPr>
          <w:rFonts w:ascii="Arial" w:hAnsi="Arial" w:cs="Arial"/>
          <w:sz w:val="20"/>
          <w:szCs w:val="20"/>
          <w:vertAlign w:val="subscript"/>
          <w:lang w:val="en-GB"/>
        </w:rPr>
        <w:t>4</w:t>
      </w:r>
      <w:r w:rsidR="003317D5" w:rsidRPr="006322A6">
        <w:rPr>
          <w:rFonts w:ascii="Arial" w:hAnsi="Arial" w:cs="Arial"/>
          <w:sz w:val="20"/>
          <w:szCs w:val="20"/>
          <w:lang w:val="en-GB"/>
        </w:rPr>
        <w:t>NO</w:t>
      </w:r>
      <w:r w:rsidR="003317D5" w:rsidRPr="006322A6">
        <w:rPr>
          <w:rFonts w:ascii="Arial" w:hAnsi="Arial" w:cs="Arial"/>
          <w:sz w:val="20"/>
          <w:szCs w:val="20"/>
          <w:vertAlign w:val="subscript"/>
          <w:lang w:val="en-GB"/>
        </w:rPr>
        <w:t>3</w:t>
      </w:r>
      <w:r w:rsidRPr="006322A6">
        <w:rPr>
          <w:rFonts w:ascii="Arial" w:hAnsi="Arial" w:cs="Arial"/>
          <w:sz w:val="20"/>
          <w:szCs w:val="20"/>
          <w:lang w:val="en-GB"/>
        </w:rPr>
        <w:t>. The analysis includes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O production </w:t>
      </w:r>
      <w:r w:rsidRPr="007A63A1">
        <w:rPr>
          <w:rFonts w:ascii="Arial" w:hAnsi="Arial" w:cs="Arial"/>
          <w:i/>
          <w:sz w:val="20"/>
          <w:szCs w:val="20"/>
          <w:lang w:val="en-GB"/>
        </w:rPr>
        <w:t>via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both fossil</w:t>
      </w:r>
      <w:r w:rsidRPr="006322A6">
        <w:rPr>
          <w:rFonts w:ascii="Arial" w:eastAsiaTheme="minorEastAsia" w:hAnsi="Arial" w:cs="Arial"/>
          <w:bCs/>
          <w:sz w:val="20"/>
          <w:szCs w:val="20"/>
          <w:lang w:val="en-GB" w:eastAsia="zh-CN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 xml:space="preserve">based </w:t>
      </w:r>
      <w:r w:rsidR="009A0B84" w:rsidRPr="006322A6">
        <w:rPr>
          <w:rFonts w:ascii="Arial" w:hAnsi="Arial" w:cs="Arial"/>
          <w:sz w:val="20"/>
          <w:szCs w:val="20"/>
          <w:lang w:val="en-GB"/>
        </w:rPr>
        <w:t>NH</w:t>
      </w:r>
      <w:r w:rsidR="009A0B84" w:rsidRPr="006322A6">
        <w:rPr>
          <w:rFonts w:ascii="Arial" w:hAnsi="Arial" w:cs="Arial"/>
          <w:sz w:val="20"/>
          <w:szCs w:val="20"/>
          <w:vertAlign w:val="subscript"/>
          <w:lang w:val="en-GB"/>
        </w:rPr>
        <w:t>3</w:t>
      </w:r>
      <w:r w:rsidR="009A0B84" w:rsidRPr="006322A6">
        <w:rPr>
          <w:rFonts w:ascii="Arial" w:hAnsi="Arial" w:cs="Arial"/>
          <w:sz w:val="20"/>
          <w:szCs w:val="20"/>
          <w:lang w:val="en-GB"/>
        </w:rPr>
        <w:t xml:space="preserve"> 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(derived from natural gas) and green </w:t>
      </w:r>
      <w:r w:rsidR="00486730" w:rsidRPr="006322A6">
        <w:rPr>
          <w:rFonts w:ascii="Arial" w:hAnsi="Arial" w:cs="Arial"/>
          <w:sz w:val="20"/>
          <w:szCs w:val="20"/>
          <w:lang w:val="en-GB"/>
        </w:rPr>
        <w:t>NH</w:t>
      </w:r>
      <w:r w:rsidR="00486730" w:rsidRPr="006322A6">
        <w:rPr>
          <w:rFonts w:ascii="Arial" w:hAnsi="Arial" w:cs="Arial"/>
          <w:sz w:val="20"/>
          <w:szCs w:val="20"/>
          <w:vertAlign w:val="subscript"/>
          <w:lang w:val="en-GB"/>
        </w:rPr>
        <w:t>3</w:t>
      </w:r>
      <w:r w:rsidR="00486730" w:rsidRPr="006322A6">
        <w:rPr>
          <w:rFonts w:ascii="Arial" w:hAnsi="Arial" w:cs="Arial"/>
          <w:sz w:val="20"/>
          <w:szCs w:val="20"/>
          <w:lang w:val="en-GB"/>
        </w:rPr>
        <w:t xml:space="preserve"> 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(produced </w:t>
      </w:r>
      <w:r w:rsidRPr="007A63A1">
        <w:rPr>
          <w:rFonts w:ascii="Arial" w:hAnsi="Arial" w:cs="Arial"/>
          <w:i/>
          <w:sz w:val="20"/>
          <w:szCs w:val="20"/>
          <w:lang w:val="en-GB"/>
        </w:rPr>
        <w:t>via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the electrolytic </w:t>
      </w:r>
      <w:r w:rsidR="001A28BD" w:rsidRPr="006322A6">
        <w:rPr>
          <w:rFonts w:ascii="Arial" w:hAnsi="Arial" w:cs="Arial"/>
          <w:sz w:val="20"/>
          <w:szCs w:val="20"/>
          <w:lang w:val="en-GB"/>
        </w:rPr>
        <w:t>H</w:t>
      </w:r>
      <w:r w:rsidR="001A28BD"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="003B1CE7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based Haber</w:t>
      </w:r>
      <w:r w:rsidR="00545E5B" w:rsidRPr="006322A6">
        <w:rPr>
          <w:rFonts w:ascii="Arial" w:eastAsiaTheme="minorEastAsia" w:hAnsi="Arial" w:cs="Arial"/>
          <w:bCs/>
          <w:sz w:val="20"/>
          <w:szCs w:val="20"/>
          <w:lang w:val="en-GB" w:eastAsia="zh-CN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 xml:space="preserve">Bosch process). Future projections for 2050 are </w:t>
      </w:r>
      <w:r w:rsidR="00B75A3C" w:rsidRPr="006322A6">
        <w:rPr>
          <w:rFonts w:ascii="Arial" w:hAnsi="Arial" w:cs="Arial"/>
          <w:sz w:val="20"/>
          <w:szCs w:val="20"/>
          <w:lang w:val="en-GB"/>
        </w:rPr>
        <w:t>highlighted for both the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production costs and climate change impacts across all technologies.</w:t>
      </w:r>
    </w:p>
    <w:p w14:paraId="545ECA73" w14:textId="7C83DDF4" w:rsidR="00684913" w:rsidRPr="006322A6" w:rsidRDefault="00684913" w:rsidP="0068491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sz w:val="20"/>
          <w:szCs w:val="20"/>
          <w:lang w:val="en-GB"/>
        </w:rPr>
        <w:t xml:space="preserve">The </w:t>
      </w:r>
      <w:r w:rsidR="00027B9B" w:rsidRPr="006322A6">
        <w:rPr>
          <w:rFonts w:ascii="Arial" w:hAnsi="Arial" w:cs="Arial"/>
          <w:sz w:val="20"/>
          <w:szCs w:val="20"/>
          <w:lang w:val="en-GB"/>
        </w:rPr>
        <w:t>one</w:t>
      </w:r>
      <w:r w:rsidRPr="006322A6">
        <w:rPr>
          <w:rFonts w:ascii="Arial" w:eastAsiaTheme="minorEastAsia" w:hAnsi="Arial" w:cs="Arial"/>
          <w:bCs/>
          <w:sz w:val="20"/>
          <w:szCs w:val="20"/>
          <w:lang w:val="en-GB" w:eastAsia="zh-CN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 xml:space="preserve">step direct oxidation of </w:t>
      </w:r>
      <w:r w:rsidR="003D57F8" w:rsidRPr="006322A6">
        <w:rPr>
          <w:rFonts w:ascii="Arial" w:hAnsi="Arial" w:cs="Arial"/>
          <w:sz w:val="20"/>
          <w:szCs w:val="20"/>
          <w:lang w:val="en-GB"/>
        </w:rPr>
        <w:t>NH</w:t>
      </w:r>
      <w:r w:rsidR="003D57F8" w:rsidRPr="006322A6">
        <w:rPr>
          <w:rFonts w:ascii="Arial" w:hAnsi="Arial" w:cs="Arial"/>
          <w:sz w:val="20"/>
          <w:szCs w:val="20"/>
          <w:vertAlign w:val="subscript"/>
          <w:lang w:val="en-GB"/>
        </w:rPr>
        <w:t>3</w:t>
      </w:r>
      <w:r w:rsidR="003D57F8" w:rsidRPr="006322A6">
        <w:rPr>
          <w:rFonts w:ascii="Arial" w:hAnsi="Arial" w:cs="Arial"/>
          <w:sz w:val="20"/>
          <w:szCs w:val="20"/>
          <w:lang w:val="en-GB"/>
        </w:rPr>
        <w:t xml:space="preserve"> </w:t>
      </w:r>
      <w:r w:rsidRPr="006322A6">
        <w:rPr>
          <w:rFonts w:ascii="Arial" w:hAnsi="Arial" w:cs="Arial"/>
          <w:sz w:val="20"/>
          <w:szCs w:val="20"/>
          <w:lang w:val="en-GB"/>
        </w:rPr>
        <w:t>to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O performs better than the conventional </w:t>
      </w:r>
      <w:r w:rsidR="00027B9B" w:rsidRPr="006322A6">
        <w:rPr>
          <w:rFonts w:ascii="Arial" w:hAnsi="Arial" w:cs="Arial"/>
          <w:sz w:val="20"/>
          <w:szCs w:val="20"/>
          <w:lang w:val="en-GB"/>
        </w:rPr>
        <w:t>five</w:t>
      </w:r>
      <w:r w:rsidRPr="006322A6">
        <w:rPr>
          <w:rFonts w:ascii="Arial" w:eastAsiaTheme="minorEastAsia" w:hAnsi="Arial" w:cs="Arial"/>
          <w:bCs/>
          <w:sz w:val="20"/>
          <w:szCs w:val="20"/>
          <w:lang w:val="en-GB" w:eastAsia="zh-CN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 xml:space="preserve">step process of </w:t>
      </w:r>
      <w:r w:rsidR="003E1C85" w:rsidRPr="006322A6">
        <w:rPr>
          <w:rFonts w:ascii="Arial" w:hAnsi="Arial" w:cs="Arial"/>
          <w:sz w:val="20"/>
          <w:szCs w:val="20"/>
          <w:lang w:val="en-GB"/>
        </w:rPr>
        <w:t>NH</w:t>
      </w:r>
      <w:r w:rsidR="003E1C85" w:rsidRPr="006322A6">
        <w:rPr>
          <w:rFonts w:ascii="Arial" w:hAnsi="Arial" w:cs="Arial"/>
          <w:sz w:val="20"/>
          <w:szCs w:val="20"/>
          <w:vertAlign w:val="subscript"/>
          <w:lang w:val="en-GB"/>
        </w:rPr>
        <w:t>3</w:t>
      </w:r>
      <w:r w:rsidR="003E1C85" w:rsidRPr="006322A6">
        <w:rPr>
          <w:rFonts w:ascii="Arial" w:hAnsi="Arial" w:cs="Arial"/>
          <w:sz w:val="20"/>
          <w:szCs w:val="20"/>
          <w:lang w:val="en-GB"/>
        </w:rPr>
        <w:t xml:space="preserve"> </w:t>
      </w:r>
      <w:r w:rsidRPr="006322A6">
        <w:rPr>
          <w:rFonts w:ascii="Arial" w:hAnsi="Arial" w:cs="Arial"/>
          <w:sz w:val="20"/>
          <w:szCs w:val="20"/>
          <w:lang w:val="en-GB"/>
        </w:rPr>
        <w:t>to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O </w:t>
      </w:r>
      <w:r w:rsidRPr="007A63A1">
        <w:rPr>
          <w:rFonts w:ascii="Arial" w:hAnsi="Arial" w:cs="Arial"/>
          <w:i/>
          <w:sz w:val="20"/>
          <w:szCs w:val="20"/>
          <w:lang w:val="en-GB"/>
        </w:rPr>
        <w:t>via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</w:t>
      </w:r>
      <w:r w:rsidR="00C34A65" w:rsidRPr="006322A6">
        <w:rPr>
          <w:rFonts w:ascii="Arial" w:hAnsi="Arial" w:cs="Arial"/>
          <w:sz w:val="20"/>
          <w:szCs w:val="20"/>
          <w:lang w:val="en-GB"/>
        </w:rPr>
        <w:t>NH</w:t>
      </w:r>
      <w:r w:rsidR="00C34A65" w:rsidRPr="006322A6">
        <w:rPr>
          <w:rFonts w:ascii="Arial" w:hAnsi="Arial" w:cs="Arial"/>
          <w:sz w:val="20"/>
          <w:szCs w:val="20"/>
          <w:vertAlign w:val="subscript"/>
          <w:lang w:val="en-GB"/>
        </w:rPr>
        <w:t>4</w:t>
      </w:r>
      <w:r w:rsidR="00C34A65" w:rsidRPr="006322A6">
        <w:rPr>
          <w:rFonts w:ascii="Arial" w:hAnsi="Arial" w:cs="Arial"/>
          <w:sz w:val="20"/>
          <w:szCs w:val="20"/>
          <w:lang w:val="en-GB"/>
        </w:rPr>
        <w:t>NO</w:t>
      </w:r>
      <w:r w:rsidR="00C34A65" w:rsidRPr="006322A6">
        <w:rPr>
          <w:rFonts w:ascii="Arial" w:hAnsi="Arial" w:cs="Arial"/>
          <w:sz w:val="20"/>
          <w:szCs w:val="20"/>
          <w:vertAlign w:val="subscript"/>
          <w:lang w:val="en-GB"/>
        </w:rPr>
        <w:t>3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decomposition in terms of both production costs and climate change impacts.</w:t>
      </w:r>
    </w:p>
    <w:p w14:paraId="53896DF3" w14:textId="481FEAF5" w:rsidR="00684913" w:rsidRPr="006322A6" w:rsidRDefault="002027A2" w:rsidP="00966D8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sz w:val="20"/>
          <w:szCs w:val="20"/>
          <w:lang w:val="en-GB"/>
        </w:rPr>
        <w:t>NH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3</w:t>
      </w:r>
      <w:r w:rsidR="00684913" w:rsidRPr="006322A6">
        <w:rPr>
          <w:rFonts w:ascii="Arial" w:hAnsi="Arial" w:cs="Arial"/>
          <w:sz w:val="20"/>
          <w:szCs w:val="20"/>
          <w:lang w:val="en-GB"/>
        </w:rPr>
        <w:t xml:space="preserve"> is the main contributing factor to both production costs and climate change impacts. However, CAPEX contributes more to production costs, and electricity contributes more to climate change impacts in the </w:t>
      </w:r>
      <w:r w:rsidR="00027B9B" w:rsidRPr="006322A6">
        <w:rPr>
          <w:rFonts w:ascii="Arial" w:hAnsi="Arial" w:cs="Arial"/>
          <w:sz w:val="20"/>
          <w:szCs w:val="20"/>
          <w:lang w:val="en-GB"/>
        </w:rPr>
        <w:t>five</w:t>
      </w:r>
      <w:r w:rsidR="00684913" w:rsidRPr="006322A6">
        <w:rPr>
          <w:rFonts w:ascii="Arial" w:eastAsiaTheme="minorEastAsia" w:hAnsi="Arial" w:cs="Arial"/>
          <w:bCs/>
          <w:sz w:val="20"/>
          <w:szCs w:val="20"/>
          <w:lang w:val="en-GB" w:eastAsia="zh-CN"/>
        </w:rPr>
        <w:noBreakHyphen/>
      </w:r>
      <w:r w:rsidR="00684913" w:rsidRPr="006322A6">
        <w:rPr>
          <w:rFonts w:ascii="Arial" w:hAnsi="Arial" w:cs="Arial"/>
          <w:sz w:val="20"/>
          <w:szCs w:val="20"/>
          <w:lang w:val="en-GB"/>
        </w:rPr>
        <w:t xml:space="preserve">step process compared to the </w:t>
      </w:r>
      <w:r w:rsidR="00027B9B" w:rsidRPr="006322A6">
        <w:rPr>
          <w:rFonts w:ascii="Arial" w:hAnsi="Arial" w:cs="Arial"/>
          <w:sz w:val="20"/>
          <w:szCs w:val="20"/>
          <w:lang w:val="en-GB"/>
        </w:rPr>
        <w:t>one</w:t>
      </w:r>
      <w:r w:rsidR="00684913" w:rsidRPr="006322A6">
        <w:rPr>
          <w:rFonts w:ascii="Arial" w:eastAsiaTheme="minorEastAsia" w:hAnsi="Arial" w:cs="Arial"/>
          <w:bCs/>
          <w:sz w:val="20"/>
          <w:szCs w:val="20"/>
          <w:lang w:val="en-GB" w:eastAsia="zh-CN"/>
        </w:rPr>
        <w:noBreakHyphen/>
      </w:r>
      <w:r w:rsidR="00684913" w:rsidRPr="006322A6">
        <w:rPr>
          <w:rFonts w:ascii="Arial" w:hAnsi="Arial" w:cs="Arial"/>
          <w:sz w:val="20"/>
          <w:szCs w:val="20"/>
          <w:lang w:val="en-GB"/>
        </w:rPr>
        <w:t>step direct oxidation technology.</w:t>
      </w:r>
    </w:p>
    <w:p w14:paraId="5A4BEAC1" w14:textId="77777777" w:rsidR="002F1A80" w:rsidRPr="006322A6" w:rsidRDefault="002F1A80" w:rsidP="00C07F23">
      <w:pPr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sz w:val="20"/>
          <w:szCs w:val="20"/>
          <w:lang w:val="en-GB"/>
        </w:rPr>
        <w:br w:type="page"/>
      </w:r>
    </w:p>
    <w:p w14:paraId="2D79C209" w14:textId="5538BE4B" w:rsidR="00BB5698" w:rsidRPr="006322A6" w:rsidRDefault="00BB5698" w:rsidP="00C07F23">
      <w:pPr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b/>
          <w:sz w:val="20"/>
          <w:szCs w:val="20"/>
          <w:lang w:val="en-GB"/>
        </w:rPr>
        <w:lastRenderedPageBreak/>
        <w:t>Table 1</w:t>
      </w:r>
      <w:r w:rsidR="008A750D" w:rsidRPr="006322A6">
        <w:rPr>
          <w:rFonts w:ascii="Arial" w:hAnsi="Arial" w:cs="Arial"/>
          <w:sz w:val="20"/>
          <w:szCs w:val="20"/>
          <w:lang w:val="en-GB"/>
        </w:rPr>
        <w:t> </w:t>
      </w:r>
      <w:r w:rsidR="00AD0470" w:rsidRPr="006322A6">
        <w:rPr>
          <w:rFonts w:ascii="Arial" w:hAnsi="Arial" w:cs="Arial"/>
          <w:sz w:val="20"/>
          <w:szCs w:val="20"/>
          <w:lang w:val="en-GB"/>
        </w:rPr>
        <w:t>Risk assessment metrics for the one</w:t>
      </w:r>
      <w:r w:rsidR="00AD0470" w:rsidRPr="006322A6">
        <w:rPr>
          <w:rFonts w:ascii="Arial" w:hAnsi="Arial" w:cs="Arial"/>
          <w:sz w:val="20"/>
          <w:szCs w:val="20"/>
          <w:lang w:val="en-GB"/>
        </w:rPr>
        <w:noBreakHyphen/>
        <w:t>step and five</w:t>
      </w:r>
      <w:r w:rsidR="00AD0470" w:rsidRPr="006322A6">
        <w:rPr>
          <w:rFonts w:ascii="Arial" w:hAnsi="Arial" w:cs="Arial"/>
          <w:sz w:val="20"/>
          <w:szCs w:val="20"/>
          <w:lang w:val="en-GB"/>
        </w:rPr>
        <w:noBreakHyphen/>
        <w:t>step N</w:t>
      </w:r>
      <w:r w:rsidR="00AD0470"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="00AD0470" w:rsidRPr="006322A6">
        <w:rPr>
          <w:rFonts w:ascii="Arial" w:hAnsi="Arial" w:cs="Arial"/>
          <w:sz w:val="20"/>
          <w:szCs w:val="20"/>
          <w:lang w:val="en-GB"/>
        </w:rPr>
        <w:t>O production routes are evaluated using the Dow Fire and Explosion Index and the TNT equivalency framework, highlighting the estimate financial and operational impacts.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1440"/>
        <w:gridCol w:w="1440"/>
      </w:tblGrid>
      <w:tr w:rsidR="00632EDA" w:rsidRPr="006322A6" w14:paraId="0D1142C1" w14:textId="77777777" w:rsidTr="00591E4A">
        <w:trPr>
          <w:trHeight w:hRule="exact" w:val="360"/>
          <w:jc w:val="center"/>
        </w:trPr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159788" w14:textId="77777777" w:rsidR="00632EDA" w:rsidRPr="006322A6" w:rsidRDefault="00632EDA" w:rsidP="00591E4A">
            <w:pPr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>Metric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30217" w14:textId="1A1272A0" w:rsidR="00632EDA" w:rsidRPr="006322A6" w:rsidRDefault="004C2D05" w:rsidP="00591E4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>1</w:t>
            </w:r>
            <w:r w:rsidR="00545E5B"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noBreakHyphen/>
            </w:r>
            <w:r w:rsidR="00632EDA"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>step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4035A" w14:textId="0E0DCD95" w:rsidR="00632EDA" w:rsidRPr="006322A6" w:rsidRDefault="004C2D05" w:rsidP="00591E4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>5</w:t>
            </w:r>
            <w:r w:rsidR="00545E5B"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noBreakHyphen/>
            </w:r>
            <w:r w:rsidR="00632EDA"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>step</w:t>
            </w:r>
          </w:p>
        </w:tc>
      </w:tr>
      <w:tr w:rsidR="00B95A94" w:rsidRPr="006322A6" w14:paraId="53807AD9" w14:textId="77777777" w:rsidTr="00591E4A">
        <w:trPr>
          <w:trHeight w:hRule="exact" w:val="360"/>
          <w:jc w:val="center"/>
        </w:trPr>
        <w:tc>
          <w:tcPr>
            <w:tcW w:w="5040" w:type="dxa"/>
            <w:vAlign w:val="center"/>
          </w:tcPr>
          <w:p w14:paraId="6A3A9C49" w14:textId="344742B2" w:rsidR="00B95A94" w:rsidRPr="006322A6" w:rsidRDefault="00B95A94" w:rsidP="00591E4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Dow Fire </w:t>
            </w:r>
            <w:r w:rsidR="00511E2B"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>and</w:t>
            </w:r>
            <w:r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Explosion Index</w:t>
            </w:r>
          </w:p>
        </w:tc>
        <w:tc>
          <w:tcPr>
            <w:tcW w:w="1440" w:type="dxa"/>
            <w:vAlign w:val="center"/>
          </w:tcPr>
          <w:p w14:paraId="658A82DF" w14:textId="23C1EB15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440" w:type="dxa"/>
            <w:vAlign w:val="center"/>
          </w:tcPr>
          <w:p w14:paraId="0DCB8380" w14:textId="5E8808AE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B95A94" w:rsidRPr="006322A6" w14:paraId="58333017" w14:textId="77777777" w:rsidTr="00591E4A">
        <w:trPr>
          <w:trHeight w:hRule="exact" w:val="360"/>
          <w:jc w:val="center"/>
        </w:trPr>
        <w:tc>
          <w:tcPr>
            <w:tcW w:w="5040" w:type="dxa"/>
            <w:vAlign w:val="center"/>
          </w:tcPr>
          <w:p w14:paraId="175A971A" w14:textId="588DF260" w:rsidR="00B95A94" w:rsidRPr="006322A6" w:rsidRDefault="00B95A94" w:rsidP="00591E4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Fire and explosion index</w:t>
            </w:r>
          </w:p>
        </w:tc>
        <w:tc>
          <w:tcPr>
            <w:tcW w:w="1440" w:type="dxa"/>
            <w:vAlign w:val="center"/>
          </w:tcPr>
          <w:p w14:paraId="0963708E" w14:textId="58983C98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47</w:t>
            </w:r>
          </w:p>
        </w:tc>
        <w:tc>
          <w:tcPr>
            <w:tcW w:w="1440" w:type="dxa"/>
            <w:vAlign w:val="center"/>
          </w:tcPr>
          <w:p w14:paraId="46E19C3A" w14:textId="63596663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238</w:t>
            </w:r>
          </w:p>
        </w:tc>
      </w:tr>
      <w:tr w:rsidR="00B95A94" w:rsidRPr="006322A6" w14:paraId="2ED8C807" w14:textId="77777777" w:rsidTr="00591E4A">
        <w:trPr>
          <w:trHeight w:hRule="exact" w:val="360"/>
          <w:jc w:val="center"/>
        </w:trPr>
        <w:tc>
          <w:tcPr>
            <w:tcW w:w="5040" w:type="dxa"/>
            <w:vAlign w:val="center"/>
          </w:tcPr>
          <w:p w14:paraId="02F5BD43" w14:textId="77777777" w:rsidR="00B95A94" w:rsidRPr="006322A6" w:rsidRDefault="00B95A94" w:rsidP="00591E4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Degree of hazard</w:t>
            </w:r>
          </w:p>
        </w:tc>
        <w:tc>
          <w:tcPr>
            <w:tcW w:w="1440" w:type="dxa"/>
            <w:shd w:val="clear" w:color="auto" w:fill="A8D08D" w:themeFill="accent6" w:themeFillTint="99"/>
            <w:vAlign w:val="center"/>
          </w:tcPr>
          <w:p w14:paraId="286A726E" w14:textId="77777777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Light</w:t>
            </w:r>
          </w:p>
        </w:tc>
        <w:tc>
          <w:tcPr>
            <w:tcW w:w="1440" w:type="dxa"/>
            <w:shd w:val="clear" w:color="auto" w:fill="F3786B"/>
            <w:vAlign w:val="center"/>
          </w:tcPr>
          <w:p w14:paraId="16B4BD8F" w14:textId="77777777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Severe</w:t>
            </w:r>
          </w:p>
        </w:tc>
      </w:tr>
      <w:tr w:rsidR="00B95A94" w:rsidRPr="006322A6" w14:paraId="00C880E2" w14:textId="77777777" w:rsidTr="00591E4A">
        <w:trPr>
          <w:trHeight w:hRule="exact" w:val="360"/>
          <w:jc w:val="center"/>
        </w:trPr>
        <w:tc>
          <w:tcPr>
            <w:tcW w:w="5040" w:type="dxa"/>
            <w:vAlign w:val="center"/>
          </w:tcPr>
          <w:p w14:paraId="4D7E8D68" w14:textId="77777777" w:rsidR="00B95A94" w:rsidRPr="006322A6" w:rsidRDefault="00B95A94" w:rsidP="00591E4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Radius of exposure (m)</w:t>
            </w:r>
          </w:p>
        </w:tc>
        <w:tc>
          <w:tcPr>
            <w:tcW w:w="1440" w:type="dxa"/>
            <w:vAlign w:val="center"/>
          </w:tcPr>
          <w:p w14:paraId="0B03B8F5" w14:textId="77777777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12</w:t>
            </w:r>
          </w:p>
        </w:tc>
        <w:tc>
          <w:tcPr>
            <w:tcW w:w="1440" w:type="dxa"/>
            <w:vAlign w:val="center"/>
          </w:tcPr>
          <w:p w14:paraId="28DB513E" w14:textId="77777777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61</w:t>
            </w:r>
          </w:p>
        </w:tc>
      </w:tr>
      <w:tr w:rsidR="00B95A94" w:rsidRPr="006322A6" w14:paraId="582F8D98" w14:textId="77777777" w:rsidTr="00591E4A">
        <w:trPr>
          <w:trHeight w:hRule="exact" w:val="360"/>
          <w:jc w:val="center"/>
        </w:trPr>
        <w:tc>
          <w:tcPr>
            <w:tcW w:w="5040" w:type="dxa"/>
            <w:vAlign w:val="center"/>
          </w:tcPr>
          <w:p w14:paraId="27050AE9" w14:textId="77777777" w:rsidR="00B95A94" w:rsidRPr="006322A6" w:rsidRDefault="00B95A94" w:rsidP="00591E4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Area of exposure (m</w:t>
            </w:r>
            <w:r w:rsidRPr="006322A6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2</w:t>
            </w: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)</w:t>
            </w:r>
          </w:p>
        </w:tc>
        <w:tc>
          <w:tcPr>
            <w:tcW w:w="1440" w:type="dxa"/>
            <w:vAlign w:val="center"/>
          </w:tcPr>
          <w:p w14:paraId="078057F4" w14:textId="77777777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464</w:t>
            </w:r>
          </w:p>
        </w:tc>
        <w:tc>
          <w:tcPr>
            <w:tcW w:w="1440" w:type="dxa"/>
            <w:vAlign w:val="center"/>
          </w:tcPr>
          <w:p w14:paraId="61BAD94F" w14:textId="77777777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11678</w:t>
            </w:r>
          </w:p>
        </w:tc>
      </w:tr>
      <w:tr w:rsidR="00B95A94" w:rsidRPr="006322A6" w14:paraId="2E4B72A2" w14:textId="77777777" w:rsidTr="00591E4A">
        <w:trPr>
          <w:trHeight w:hRule="exact" w:val="360"/>
          <w:jc w:val="center"/>
        </w:trPr>
        <w:tc>
          <w:tcPr>
            <w:tcW w:w="5040" w:type="dxa"/>
            <w:vAlign w:val="center"/>
          </w:tcPr>
          <w:p w14:paraId="3357D2F1" w14:textId="77777777" w:rsidR="00B95A94" w:rsidRPr="006322A6" w:rsidRDefault="00B95A94" w:rsidP="00591E4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Maximum probable property damage (million USD)</w:t>
            </w:r>
          </w:p>
        </w:tc>
        <w:tc>
          <w:tcPr>
            <w:tcW w:w="1440" w:type="dxa"/>
            <w:vAlign w:val="center"/>
          </w:tcPr>
          <w:p w14:paraId="4B442F68" w14:textId="77777777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2</w:t>
            </w:r>
          </w:p>
        </w:tc>
        <w:tc>
          <w:tcPr>
            <w:tcW w:w="1440" w:type="dxa"/>
            <w:vAlign w:val="center"/>
          </w:tcPr>
          <w:p w14:paraId="11DB8A0B" w14:textId="77777777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32</w:t>
            </w:r>
          </w:p>
        </w:tc>
      </w:tr>
      <w:tr w:rsidR="00B95A94" w:rsidRPr="006322A6" w14:paraId="401E85F1" w14:textId="77777777" w:rsidTr="00591E4A">
        <w:trPr>
          <w:trHeight w:hRule="exact" w:val="360"/>
          <w:jc w:val="center"/>
        </w:trPr>
        <w:tc>
          <w:tcPr>
            <w:tcW w:w="5040" w:type="dxa"/>
            <w:vAlign w:val="center"/>
          </w:tcPr>
          <w:p w14:paraId="1F7971E4" w14:textId="77777777" w:rsidR="00B95A94" w:rsidRPr="006322A6" w:rsidRDefault="00B95A94" w:rsidP="00591E4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Maximum probable days outage</w:t>
            </w:r>
          </w:p>
        </w:tc>
        <w:tc>
          <w:tcPr>
            <w:tcW w:w="1440" w:type="dxa"/>
            <w:vAlign w:val="center"/>
          </w:tcPr>
          <w:p w14:paraId="111304C8" w14:textId="77777777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28</w:t>
            </w:r>
          </w:p>
        </w:tc>
        <w:tc>
          <w:tcPr>
            <w:tcW w:w="1440" w:type="dxa"/>
            <w:vAlign w:val="center"/>
          </w:tcPr>
          <w:p w14:paraId="21AB350A" w14:textId="77777777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166</w:t>
            </w:r>
          </w:p>
        </w:tc>
      </w:tr>
      <w:tr w:rsidR="00B95A94" w:rsidRPr="006322A6" w14:paraId="3C6405EC" w14:textId="77777777" w:rsidTr="00591E4A">
        <w:trPr>
          <w:trHeight w:hRule="exact" w:val="360"/>
          <w:jc w:val="center"/>
        </w:trPr>
        <w:tc>
          <w:tcPr>
            <w:tcW w:w="5040" w:type="dxa"/>
            <w:vAlign w:val="center"/>
          </w:tcPr>
          <w:p w14:paraId="50CDEF0A" w14:textId="585A28E5" w:rsidR="00B95A94" w:rsidRPr="006322A6" w:rsidRDefault="00B95A94" w:rsidP="00591E4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Business interruption (million USD)</w:t>
            </w:r>
          </w:p>
        </w:tc>
        <w:tc>
          <w:tcPr>
            <w:tcW w:w="1440" w:type="dxa"/>
            <w:vAlign w:val="center"/>
          </w:tcPr>
          <w:p w14:paraId="075824E8" w14:textId="15DFCD1C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11</w:t>
            </w:r>
          </w:p>
        </w:tc>
        <w:tc>
          <w:tcPr>
            <w:tcW w:w="1440" w:type="dxa"/>
            <w:vAlign w:val="center"/>
          </w:tcPr>
          <w:p w14:paraId="5B8C9CB0" w14:textId="45CC5E93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89</w:t>
            </w:r>
          </w:p>
        </w:tc>
      </w:tr>
      <w:tr w:rsidR="00B95A94" w:rsidRPr="006322A6" w14:paraId="64F6E1C4" w14:textId="77777777" w:rsidTr="00591E4A">
        <w:trPr>
          <w:trHeight w:hRule="exact" w:val="360"/>
          <w:jc w:val="center"/>
        </w:trPr>
        <w:tc>
          <w:tcPr>
            <w:tcW w:w="5040" w:type="dxa"/>
            <w:vAlign w:val="center"/>
          </w:tcPr>
          <w:p w14:paraId="73A8A140" w14:textId="687A046F" w:rsidR="00B95A94" w:rsidRPr="006322A6" w:rsidRDefault="00B95A94" w:rsidP="00591E4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>Trinitrotoluene (TNT) equivalency</w:t>
            </w:r>
          </w:p>
        </w:tc>
        <w:tc>
          <w:tcPr>
            <w:tcW w:w="1440" w:type="dxa"/>
            <w:vAlign w:val="center"/>
          </w:tcPr>
          <w:p w14:paraId="273EFEA6" w14:textId="2C09018C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440" w:type="dxa"/>
            <w:vAlign w:val="center"/>
          </w:tcPr>
          <w:p w14:paraId="36BBFD72" w14:textId="708D2EEC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B95A94" w:rsidRPr="006322A6" w14:paraId="575CABC1" w14:textId="77777777" w:rsidTr="00A76474">
        <w:trPr>
          <w:trHeight w:hRule="exact" w:val="360"/>
          <w:jc w:val="center"/>
        </w:trPr>
        <w:tc>
          <w:tcPr>
            <w:tcW w:w="5040" w:type="dxa"/>
            <w:vAlign w:val="center"/>
          </w:tcPr>
          <w:p w14:paraId="4B22CFCC" w14:textId="631EB302" w:rsidR="00B95A94" w:rsidRPr="006322A6" w:rsidRDefault="00B95A94" w:rsidP="00591E4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Equivalent mass of TNT (kg)</w:t>
            </w:r>
          </w:p>
        </w:tc>
        <w:tc>
          <w:tcPr>
            <w:tcW w:w="1440" w:type="dxa"/>
            <w:shd w:val="clear" w:color="auto" w:fill="A8D08D" w:themeFill="accent6" w:themeFillTint="99"/>
            <w:vAlign w:val="center"/>
          </w:tcPr>
          <w:p w14:paraId="118A949D" w14:textId="2BC63296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6008</w:t>
            </w:r>
          </w:p>
        </w:tc>
        <w:tc>
          <w:tcPr>
            <w:tcW w:w="1440" w:type="dxa"/>
            <w:shd w:val="clear" w:color="auto" w:fill="F3786B"/>
            <w:vAlign w:val="center"/>
          </w:tcPr>
          <w:p w14:paraId="0C73F3CD" w14:textId="6D8F7CAE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30727</w:t>
            </w:r>
          </w:p>
        </w:tc>
      </w:tr>
      <w:tr w:rsidR="00B95A94" w:rsidRPr="006322A6" w14:paraId="3BC8EA7C" w14:textId="77777777" w:rsidTr="00591E4A">
        <w:trPr>
          <w:trHeight w:hRule="exact" w:val="360"/>
          <w:jc w:val="center"/>
        </w:trPr>
        <w:tc>
          <w:tcPr>
            <w:tcW w:w="5040" w:type="dxa"/>
            <w:vAlign w:val="center"/>
          </w:tcPr>
          <w:p w14:paraId="292A26E7" w14:textId="572D2A0E" w:rsidR="00B95A94" w:rsidRPr="006322A6" w:rsidRDefault="00B95A94" w:rsidP="00591E4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Overpressure (kPa)</w:t>
            </w:r>
          </w:p>
        </w:tc>
        <w:tc>
          <w:tcPr>
            <w:tcW w:w="1440" w:type="dxa"/>
            <w:vAlign w:val="center"/>
          </w:tcPr>
          <w:p w14:paraId="51233A98" w14:textId="7AB34F12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49</w:t>
            </w:r>
          </w:p>
        </w:tc>
        <w:tc>
          <w:tcPr>
            <w:tcW w:w="1440" w:type="dxa"/>
            <w:vAlign w:val="center"/>
          </w:tcPr>
          <w:p w14:paraId="4F8BA86B" w14:textId="4BED6CA2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142</w:t>
            </w:r>
          </w:p>
        </w:tc>
      </w:tr>
      <w:tr w:rsidR="00B95A94" w:rsidRPr="006322A6" w14:paraId="590511A9" w14:textId="77777777" w:rsidTr="00A76474">
        <w:trPr>
          <w:trHeight w:hRule="exact" w:val="360"/>
          <w:jc w:val="center"/>
        </w:trPr>
        <w:tc>
          <w:tcPr>
            <w:tcW w:w="5040" w:type="dxa"/>
            <w:vAlign w:val="center"/>
          </w:tcPr>
          <w:p w14:paraId="30B6C80E" w14:textId="6E6D6FDF" w:rsidR="00B95A94" w:rsidRPr="006322A6" w:rsidRDefault="00B95A94" w:rsidP="00591E4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Number of deaths due to lung haemorrhage</w:t>
            </w:r>
          </w:p>
        </w:tc>
        <w:tc>
          <w:tcPr>
            <w:tcW w:w="1440" w:type="dxa"/>
            <w:shd w:val="clear" w:color="auto" w:fill="A8D08D" w:themeFill="accent6" w:themeFillTint="99"/>
            <w:vAlign w:val="center"/>
          </w:tcPr>
          <w:p w14:paraId="6F25869E" w14:textId="7769A2DD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0</w:t>
            </w:r>
          </w:p>
        </w:tc>
        <w:tc>
          <w:tcPr>
            <w:tcW w:w="1440" w:type="dxa"/>
            <w:shd w:val="clear" w:color="auto" w:fill="F3786B"/>
            <w:vAlign w:val="center"/>
          </w:tcPr>
          <w:p w14:paraId="0DAA4AD2" w14:textId="2A99E502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5</w:t>
            </w:r>
          </w:p>
        </w:tc>
      </w:tr>
      <w:tr w:rsidR="00B95A94" w:rsidRPr="006322A6" w14:paraId="1F2476C8" w14:textId="77777777" w:rsidTr="00591E4A">
        <w:trPr>
          <w:trHeight w:hRule="exact" w:val="360"/>
          <w:jc w:val="center"/>
        </w:trPr>
        <w:tc>
          <w:tcPr>
            <w:tcW w:w="5040" w:type="dxa"/>
            <w:vAlign w:val="center"/>
          </w:tcPr>
          <w:p w14:paraId="16B09959" w14:textId="6CF346C7" w:rsidR="00B95A94" w:rsidRPr="006322A6" w:rsidRDefault="00B95A94" w:rsidP="00591E4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Number of eardrum ruptures</w:t>
            </w:r>
          </w:p>
        </w:tc>
        <w:tc>
          <w:tcPr>
            <w:tcW w:w="1440" w:type="dxa"/>
            <w:vAlign w:val="center"/>
          </w:tcPr>
          <w:p w14:paraId="0FF7A568" w14:textId="4BEF4451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1</w:t>
            </w:r>
          </w:p>
        </w:tc>
        <w:tc>
          <w:tcPr>
            <w:tcW w:w="1440" w:type="dxa"/>
            <w:vAlign w:val="center"/>
          </w:tcPr>
          <w:p w14:paraId="2A91317E" w14:textId="351CB35D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3</w:t>
            </w:r>
          </w:p>
        </w:tc>
      </w:tr>
      <w:tr w:rsidR="00B95A94" w:rsidRPr="006322A6" w14:paraId="1541C360" w14:textId="77777777" w:rsidTr="00591E4A">
        <w:trPr>
          <w:trHeight w:hRule="exact" w:val="360"/>
          <w:jc w:val="center"/>
        </w:trPr>
        <w:tc>
          <w:tcPr>
            <w:tcW w:w="5040" w:type="dxa"/>
            <w:tcBorders>
              <w:bottom w:val="single" w:sz="4" w:space="0" w:color="auto"/>
            </w:tcBorders>
            <w:vAlign w:val="center"/>
          </w:tcPr>
          <w:p w14:paraId="447BEE81" w14:textId="2919CBC1" w:rsidR="00B95A94" w:rsidRPr="006322A6" w:rsidRDefault="00B95A94" w:rsidP="00591E4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Maximum distance at which projectiles can land (m)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179A287" w14:textId="5DAA8434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1920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25D02D1" w14:textId="719E979A" w:rsidR="00B95A94" w:rsidRPr="006322A6" w:rsidRDefault="00B95A94" w:rsidP="00591E4A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2737</w:t>
            </w:r>
          </w:p>
        </w:tc>
      </w:tr>
    </w:tbl>
    <w:p w14:paraId="5B32A0B3" w14:textId="77777777" w:rsidR="00DF27D0" w:rsidRPr="006322A6" w:rsidRDefault="00DF27D0" w:rsidP="00C07F23">
      <w:pPr>
        <w:spacing w:line="360" w:lineRule="auto"/>
        <w:rPr>
          <w:rFonts w:ascii="Arial" w:hAnsi="Arial" w:cs="Arial"/>
          <w:b/>
          <w:sz w:val="20"/>
          <w:szCs w:val="20"/>
          <w:lang w:val="en-GB"/>
        </w:rPr>
      </w:pPr>
      <w:r w:rsidRPr="006322A6">
        <w:rPr>
          <w:rFonts w:ascii="Arial" w:hAnsi="Arial" w:cs="Arial"/>
          <w:b/>
          <w:sz w:val="20"/>
          <w:szCs w:val="20"/>
          <w:lang w:val="en-GB"/>
        </w:rPr>
        <w:br w:type="page"/>
      </w:r>
    </w:p>
    <w:p w14:paraId="31BC85B6" w14:textId="77777777" w:rsidR="002F1A80" w:rsidRPr="006322A6" w:rsidRDefault="002F1A80" w:rsidP="00B03396">
      <w:pPr>
        <w:spacing w:after="0" w:line="360" w:lineRule="auto"/>
        <w:jc w:val="center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noProof/>
          <w:sz w:val="20"/>
          <w:szCs w:val="20"/>
          <w:lang w:val="en-GB"/>
        </w:rPr>
        <w:lastRenderedPageBreak/>
        <w:drawing>
          <wp:inline distT="0" distB="0" distL="0" distR="0" wp14:anchorId="109721DA" wp14:editId="7EE4D3AD">
            <wp:extent cx="5726134" cy="3078682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itrous_oxide_vs_hydrogen_peroxide_ra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6134" cy="307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71B5" w14:textId="5EED267C" w:rsidR="00D21E3D" w:rsidRPr="006322A6" w:rsidRDefault="00D21E3D" w:rsidP="00D21E3D">
      <w:pPr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b/>
          <w:sz w:val="20"/>
          <w:szCs w:val="20"/>
          <w:lang w:val="en-GB"/>
        </w:rPr>
        <w:t>Fig. 3</w:t>
      </w:r>
      <w:r w:rsidR="008A750D" w:rsidRPr="006322A6">
        <w:rPr>
          <w:rFonts w:ascii="Arial" w:hAnsi="Arial" w:cs="Arial"/>
          <w:sz w:val="20"/>
          <w:szCs w:val="20"/>
          <w:lang w:val="en-GB"/>
        </w:rPr>
        <w:t> </w:t>
      </w:r>
      <w:r w:rsidRPr="006322A6">
        <w:rPr>
          <w:rFonts w:ascii="Arial" w:hAnsi="Arial" w:cs="Arial"/>
          <w:b/>
          <w:sz w:val="20"/>
          <w:szCs w:val="20"/>
          <w:lang w:val="en-GB"/>
        </w:rPr>
        <w:t>(</w:t>
      </w:r>
      <w:r w:rsidRPr="006322A6">
        <w:rPr>
          <w:rFonts w:ascii="Arial" w:hAnsi="Arial" w:cs="Arial"/>
          <w:b/>
          <w:bCs/>
          <w:sz w:val="20"/>
          <w:szCs w:val="20"/>
          <w:lang w:val="en-GB"/>
        </w:rPr>
        <w:t>a)</w:t>
      </w:r>
      <w:r w:rsidRPr="006322A6">
        <w:rPr>
          <w:rFonts w:ascii="Arial" w:hAnsi="Arial" w:cs="Arial"/>
          <w:bCs/>
          <w:sz w:val="20"/>
          <w:szCs w:val="20"/>
          <w:lang w:val="en-GB"/>
        </w:rPr>
        <w:t> 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Production costs and </w:t>
      </w:r>
      <w:r w:rsidRPr="006322A6">
        <w:rPr>
          <w:rFonts w:ascii="Arial" w:hAnsi="Arial" w:cs="Arial"/>
          <w:b/>
          <w:sz w:val="20"/>
          <w:szCs w:val="20"/>
          <w:lang w:val="en-GB"/>
        </w:rPr>
        <w:t>(b)</w:t>
      </w:r>
      <w:r w:rsidRPr="006322A6">
        <w:rPr>
          <w:rFonts w:ascii="Arial" w:hAnsi="Arial" w:cs="Arial"/>
          <w:sz w:val="20"/>
          <w:szCs w:val="20"/>
          <w:lang w:val="en-GB"/>
        </w:rPr>
        <w:t> climate change impacts per kg of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 and H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. For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O production, the </w:t>
      </w:r>
      <w:r w:rsidR="001972A1" w:rsidRPr="006322A6">
        <w:rPr>
          <w:rFonts w:ascii="Arial" w:hAnsi="Arial" w:cs="Arial"/>
          <w:sz w:val="20"/>
          <w:szCs w:val="20"/>
          <w:lang w:val="en-GB"/>
        </w:rPr>
        <w:t>one</w:t>
      </w:r>
      <w:r w:rsidRPr="006322A6">
        <w:rPr>
          <w:rFonts w:ascii="Arial" w:eastAsiaTheme="minorEastAsia" w:hAnsi="Arial" w:cs="Arial"/>
          <w:bCs/>
          <w:sz w:val="20"/>
          <w:szCs w:val="20"/>
          <w:lang w:val="en-GB" w:eastAsia="zh-CN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 xml:space="preserve">step process using </w:t>
      </w:r>
      <w:r w:rsidR="002027A2" w:rsidRPr="006322A6">
        <w:rPr>
          <w:rFonts w:ascii="Arial" w:hAnsi="Arial" w:cs="Arial"/>
          <w:sz w:val="20"/>
          <w:szCs w:val="20"/>
          <w:lang w:val="en-GB"/>
        </w:rPr>
        <w:t>NH</w:t>
      </w:r>
      <w:r w:rsidR="002027A2" w:rsidRPr="006322A6">
        <w:rPr>
          <w:rFonts w:ascii="Arial" w:hAnsi="Arial" w:cs="Arial"/>
          <w:sz w:val="20"/>
          <w:szCs w:val="20"/>
          <w:vertAlign w:val="subscript"/>
          <w:lang w:val="en-GB"/>
        </w:rPr>
        <w:t>3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derived from either natural gas (fossil</w:t>
      </w:r>
      <w:r w:rsidR="00545E5B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 xml:space="preserve">based) or the electrolytic </w:t>
      </w:r>
      <w:r w:rsidR="00FF41B6" w:rsidRPr="006322A6">
        <w:rPr>
          <w:rFonts w:ascii="Arial" w:hAnsi="Arial" w:cs="Arial"/>
          <w:sz w:val="20"/>
          <w:szCs w:val="20"/>
          <w:lang w:val="en-GB"/>
        </w:rPr>
        <w:t>H</w:t>
      </w:r>
      <w:r w:rsidR="00FF41B6"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="00545E5B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based Haber</w:t>
      </w:r>
      <w:r w:rsidRPr="006322A6">
        <w:rPr>
          <w:rFonts w:ascii="Arial" w:eastAsiaTheme="minorEastAsia" w:hAnsi="Arial" w:cs="Arial"/>
          <w:bCs/>
          <w:sz w:val="20"/>
          <w:szCs w:val="20"/>
          <w:lang w:val="en-GB" w:eastAsia="zh-CN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Bosch process (green) is shown. Similarly, the anthraquinone process for H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production, utilizing </w:t>
      </w:r>
      <w:r w:rsidR="00FF41B6" w:rsidRPr="006322A6">
        <w:rPr>
          <w:rFonts w:ascii="Arial" w:hAnsi="Arial" w:cs="Arial"/>
          <w:sz w:val="20"/>
          <w:szCs w:val="20"/>
          <w:lang w:val="en-GB"/>
        </w:rPr>
        <w:t>H</w:t>
      </w:r>
      <w:r w:rsidR="00FF41B6"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from either natural gas reforming or electrolytic sources, is presented. Future projections </w:t>
      </w:r>
      <w:r w:rsidR="00D103AA" w:rsidRPr="006322A6">
        <w:rPr>
          <w:rFonts w:ascii="Arial" w:hAnsi="Arial" w:cs="Arial"/>
          <w:sz w:val="20"/>
          <w:szCs w:val="20"/>
          <w:lang w:val="en-GB"/>
        </w:rPr>
        <w:t>by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2050 </w:t>
      </w:r>
      <w:r w:rsidR="00D103AA" w:rsidRPr="006322A6">
        <w:rPr>
          <w:rFonts w:ascii="Arial" w:hAnsi="Arial" w:cs="Arial"/>
          <w:sz w:val="20"/>
          <w:szCs w:val="20"/>
          <w:lang w:val="en-GB"/>
        </w:rPr>
        <w:t>for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production costs and climate change impacts </w:t>
      </w:r>
      <w:r w:rsidR="00D103AA" w:rsidRPr="006322A6">
        <w:rPr>
          <w:rFonts w:ascii="Arial" w:hAnsi="Arial" w:cs="Arial"/>
          <w:sz w:val="20"/>
          <w:szCs w:val="20"/>
          <w:lang w:val="en-GB"/>
        </w:rPr>
        <w:t>across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all technologies are indicated.</w:t>
      </w:r>
    </w:p>
    <w:p w14:paraId="63B0F761" w14:textId="094DDB12" w:rsidR="00D21E3D" w:rsidRPr="006322A6" w:rsidRDefault="00C64ECB" w:rsidP="00D21E3D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sz w:val="20"/>
          <w:szCs w:val="20"/>
          <w:lang w:val="en-GB"/>
        </w:rPr>
        <w:t>Hydrogen peroxide (</w:t>
      </w:r>
      <w:r w:rsidR="00D21E3D" w:rsidRPr="006322A6">
        <w:rPr>
          <w:rFonts w:ascii="Arial" w:hAnsi="Arial" w:cs="Arial"/>
          <w:sz w:val="20"/>
          <w:szCs w:val="20"/>
          <w:lang w:val="en-GB"/>
        </w:rPr>
        <w:t>H</w:t>
      </w:r>
      <w:r w:rsidR="00D21E3D"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="00D21E3D" w:rsidRPr="006322A6">
        <w:rPr>
          <w:rFonts w:ascii="Arial" w:hAnsi="Arial" w:cs="Arial"/>
          <w:sz w:val="20"/>
          <w:szCs w:val="20"/>
          <w:lang w:val="en-GB"/>
        </w:rPr>
        <w:t>O</w:t>
      </w:r>
      <w:r w:rsidR="00D21E3D"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bookmarkStart w:id="0" w:name="_GoBack"/>
      <w:bookmarkEnd w:id="0"/>
      <w:r w:rsidRPr="006322A6">
        <w:rPr>
          <w:rFonts w:ascii="Arial" w:hAnsi="Arial" w:cs="Arial"/>
          <w:sz w:val="20"/>
          <w:szCs w:val="20"/>
          <w:lang w:val="en-GB"/>
        </w:rPr>
        <w:t>)</w:t>
      </w:r>
      <w:r w:rsidR="00D21E3D" w:rsidRPr="006322A6">
        <w:rPr>
          <w:rFonts w:ascii="Arial" w:hAnsi="Arial" w:cs="Arial"/>
          <w:sz w:val="20"/>
          <w:szCs w:val="20"/>
          <w:lang w:val="en-GB"/>
        </w:rPr>
        <w:t xml:space="preserve"> is significantly more expensive than N</w:t>
      </w:r>
      <w:r w:rsidR="00D21E3D"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="00D21E3D" w:rsidRPr="006322A6">
        <w:rPr>
          <w:rFonts w:ascii="Arial" w:hAnsi="Arial" w:cs="Arial"/>
          <w:sz w:val="20"/>
          <w:szCs w:val="20"/>
          <w:lang w:val="en-GB"/>
        </w:rPr>
        <w:t>O alternatives (2.6 times in the fossil scenario and 1.7 times in the green scenario) due to the costly anthraquinone working solution required for the process.</w:t>
      </w:r>
    </w:p>
    <w:p w14:paraId="170F4126" w14:textId="32B0026B" w:rsidR="00D21E3D" w:rsidRPr="006322A6" w:rsidRDefault="00D21E3D" w:rsidP="00D21E3D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sz w:val="20"/>
          <w:szCs w:val="20"/>
          <w:lang w:val="en-GB"/>
        </w:rPr>
        <w:t>Regarding climate change impacts, in the fossil scenario,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O has an impact of </w:t>
      </w:r>
      <w:r w:rsidRPr="006322A6">
        <w:rPr>
          <w:rFonts w:ascii="Arial" w:hAnsi="Arial" w:cs="Arial"/>
          <w:sz w:val="20"/>
          <w:szCs w:val="20"/>
          <w:lang w:val="en-GB"/>
        </w:rPr>
        <w:br/>
        <w:t>2.8 kg CO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eastAsiaTheme="minorEastAsia" w:hAnsi="Arial" w:cs="Arial"/>
          <w:bCs/>
          <w:sz w:val="20"/>
          <w:szCs w:val="20"/>
          <w:lang w:val="en-GB" w:eastAsia="zh-CN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eq kg</w:t>
      </w:r>
      <w:r w:rsidRPr="006322A6">
        <w:rPr>
          <w:rFonts w:ascii="Arial" w:hAnsi="Arial" w:cs="Arial"/>
          <w:sz w:val="20"/>
          <w:szCs w:val="20"/>
          <w:vertAlign w:val="superscript"/>
          <w:lang w:val="en-GB"/>
        </w:rPr>
        <w:t>–1</w:t>
      </w:r>
      <w:r w:rsidRPr="006322A6">
        <w:rPr>
          <w:rFonts w:ascii="Arial" w:hAnsi="Arial" w:cs="Arial"/>
          <w:sz w:val="20"/>
          <w:szCs w:val="20"/>
          <w:lang w:val="en-GB"/>
        </w:rPr>
        <w:t>, compared to H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’s impact of 1.3 kg CO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eastAsiaTheme="minorEastAsia" w:hAnsi="Arial" w:cs="Arial"/>
          <w:bCs/>
          <w:sz w:val="20"/>
          <w:szCs w:val="20"/>
          <w:lang w:val="en-GB" w:eastAsia="zh-CN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eq kg</w:t>
      </w:r>
      <w:r w:rsidRPr="006322A6">
        <w:rPr>
          <w:rFonts w:ascii="Arial" w:hAnsi="Arial" w:cs="Arial"/>
          <w:sz w:val="20"/>
          <w:szCs w:val="20"/>
          <w:vertAlign w:val="superscript"/>
          <w:lang w:val="en-GB"/>
        </w:rPr>
        <w:t>–1</w:t>
      </w:r>
      <w:r w:rsidRPr="006322A6">
        <w:rPr>
          <w:rFonts w:ascii="Arial" w:hAnsi="Arial" w:cs="Arial"/>
          <w:sz w:val="20"/>
          <w:szCs w:val="20"/>
          <w:lang w:val="en-GB"/>
        </w:rPr>
        <w:t>. In the green scenario, these impacts decrease to 0.7 kg CO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eastAsiaTheme="minorEastAsia" w:hAnsi="Arial" w:cs="Arial"/>
          <w:bCs/>
          <w:sz w:val="20"/>
          <w:szCs w:val="20"/>
          <w:lang w:val="en-GB" w:eastAsia="zh-CN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eq kg</w:t>
      </w:r>
      <w:r w:rsidRPr="006322A6">
        <w:rPr>
          <w:rFonts w:ascii="Arial" w:hAnsi="Arial" w:cs="Arial"/>
          <w:sz w:val="20"/>
          <w:szCs w:val="20"/>
          <w:vertAlign w:val="superscript"/>
          <w:lang w:val="en-GB"/>
        </w:rPr>
        <w:t>–1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for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 and 0.5 kg CO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eastAsiaTheme="minorEastAsia" w:hAnsi="Arial" w:cs="Arial"/>
          <w:bCs/>
          <w:sz w:val="20"/>
          <w:szCs w:val="20"/>
          <w:lang w:val="en-GB" w:eastAsia="zh-CN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eq kg</w:t>
      </w:r>
      <w:r w:rsidRPr="006322A6">
        <w:rPr>
          <w:rFonts w:ascii="Arial" w:hAnsi="Arial" w:cs="Arial"/>
          <w:sz w:val="20"/>
          <w:szCs w:val="20"/>
          <w:vertAlign w:val="superscript"/>
          <w:lang w:val="en-GB"/>
        </w:rPr>
        <w:t>–1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for H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. The </w:t>
      </w:r>
      <w:r w:rsidR="005B6B3A" w:rsidRPr="006322A6">
        <w:rPr>
          <w:rFonts w:ascii="Arial" w:hAnsi="Arial" w:cs="Arial"/>
          <w:sz w:val="20"/>
          <w:szCs w:val="20"/>
          <w:lang w:val="en-GB"/>
        </w:rPr>
        <w:t xml:space="preserve">fossil </w:t>
      </w:r>
      <w:r w:rsidRPr="006322A6">
        <w:rPr>
          <w:rFonts w:ascii="Arial" w:hAnsi="Arial" w:cs="Arial"/>
          <w:sz w:val="20"/>
          <w:szCs w:val="20"/>
          <w:lang w:val="en-GB"/>
        </w:rPr>
        <w:t>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 production process exhibits significantly higher impacts than H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production, primarily due to the </w:t>
      </w:r>
      <w:r w:rsidR="00FF7642" w:rsidRPr="006322A6">
        <w:rPr>
          <w:rFonts w:ascii="Arial" w:hAnsi="Arial" w:cs="Arial"/>
          <w:sz w:val="20"/>
          <w:szCs w:val="20"/>
          <w:lang w:val="en-GB"/>
        </w:rPr>
        <w:t>hydrogen (</w:t>
      </w:r>
      <w:r w:rsidR="00FF41B6" w:rsidRPr="006322A6">
        <w:rPr>
          <w:rFonts w:ascii="Arial" w:hAnsi="Arial" w:cs="Arial"/>
          <w:sz w:val="20"/>
          <w:szCs w:val="20"/>
          <w:lang w:val="en-GB"/>
        </w:rPr>
        <w:t>H</w:t>
      </w:r>
      <w:r w:rsidR="00FF41B6"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="00FF7642" w:rsidRPr="006322A6">
        <w:rPr>
          <w:rFonts w:ascii="Arial" w:hAnsi="Arial" w:cs="Arial"/>
          <w:sz w:val="20"/>
          <w:szCs w:val="20"/>
          <w:lang w:val="en-GB"/>
        </w:rPr>
        <w:t>)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required (2.3 times more in the case of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 than in H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).</w:t>
      </w:r>
    </w:p>
    <w:p w14:paraId="3F42FA6A" w14:textId="77777777" w:rsidR="00D21E3D" w:rsidRPr="006322A6" w:rsidRDefault="00D21E3D" w:rsidP="005933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sz w:val="20"/>
          <w:szCs w:val="20"/>
          <w:lang w:val="en-GB"/>
        </w:rPr>
        <w:t>In the future, as electricity becomes highly decarbonized, the impacts of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 in the green scenario decrease to 0.3 kg CO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eastAsiaTheme="minorEastAsia" w:hAnsi="Arial" w:cs="Arial"/>
          <w:bCs/>
          <w:sz w:val="20"/>
          <w:szCs w:val="20"/>
          <w:lang w:val="en-GB" w:eastAsia="zh-CN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eq kg</w:t>
      </w:r>
      <w:r w:rsidRPr="006322A6">
        <w:rPr>
          <w:rFonts w:ascii="Arial" w:hAnsi="Arial" w:cs="Arial"/>
          <w:sz w:val="20"/>
          <w:szCs w:val="20"/>
          <w:vertAlign w:val="superscript"/>
          <w:lang w:val="en-GB"/>
        </w:rPr>
        <w:t>–1</w:t>
      </w:r>
      <w:r w:rsidRPr="006322A6">
        <w:rPr>
          <w:rFonts w:ascii="Arial" w:hAnsi="Arial" w:cs="Arial"/>
          <w:sz w:val="20"/>
          <w:szCs w:val="20"/>
          <w:lang w:val="en-GB"/>
        </w:rPr>
        <w:t>, while H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remains at 0.4 kg CO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eastAsiaTheme="minorEastAsia" w:hAnsi="Arial" w:cs="Arial"/>
          <w:bCs/>
          <w:sz w:val="20"/>
          <w:szCs w:val="20"/>
          <w:lang w:val="en-GB" w:eastAsia="zh-CN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eq kg</w:t>
      </w:r>
      <w:r w:rsidRPr="006322A6">
        <w:rPr>
          <w:rFonts w:ascii="Arial" w:hAnsi="Arial" w:cs="Arial"/>
          <w:sz w:val="20"/>
          <w:szCs w:val="20"/>
          <w:vertAlign w:val="superscript"/>
          <w:lang w:val="en-GB"/>
        </w:rPr>
        <w:t>–1</w:t>
      </w:r>
      <w:r w:rsidRPr="006322A6">
        <w:rPr>
          <w:rFonts w:ascii="Arial" w:hAnsi="Arial" w:cs="Arial"/>
          <w:sz w:val="20"/>
          <w:szCs w:val="20"/>
          <w:lang w:val="en-GB"/>
        </w:rPr>
        <w:t>.</w:t>
      </w:r>
    </w:p>
    <w:p w14:paraId="078D8369" w14:textId="77777777" w:rsidR="002F1A80" w:rsidRPr="006322A6" w:rsidRDefault="002F1A80" w:rsidP="00C07F23">
      <w:pPr>
        <w:spacing w:line="360" w:lineRule="auto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sz w:val="20"/>
          <w:szCs w:val="20"/>
          <w:lang w:val="en-GB"/>
        </w:rPr>
        <w:br w:type="page"/>
      </w:r>
    </w:p>
    <w:p w14:paraId="5AF710E2" w14:textId="77777777" w:rsidR="002F1A80" w:rsidRPr="006322A6" w:rsidRDefault="002F1A80" w:rsidP="00B03396">
      <w:pPr>
        <w:spacing w:after="0" w:line="360" w:lineRule="auto"/>
        <w:jc w:val="center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noProof/>
          <w:sz w:val="20"/>
          <w:szCs w:val="20"/>
          <w:lang w:val="en-GB"/>
        </w:rPr>
        <w:lastRenderedPageBreak/>
        <w:drawing>
          <wp:inline distT="0" distB="0" distL="0" distR="0" wp14:anchorId="725067FC" wp14:editId="17DF782D">
            <wp:extent cx="3374905" cy="36074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end_ra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4905" cy="360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A1B7" w14:textId="76E1F6DB" w:rsidR="00606F2F" w:rsidRPr="006322A6" w:rsidRDefault="00606F2F" w:rsidP="00606F2F">
      <w:pPr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b/>
          <w:sz w:val="20"/>
          <w:szCs w:val="20"/>
          <w:lang w:val="en-GB"/>
        </w:rPr>
        <w:t>Fig. 4</w:t>
      </w:r>
      <w:r w:rsidR="008A750D" w:rsidRPr="006322A6">
        <w:rPr>
          <w:rFonts w:ascii="Arial" w:hAnsi="Arial" w:cs="Arial"/>
          <w:sz w:val="20"/>
          <w:szCs w:val="20"/>
          <w:lang w:val="en-GB"/>
        </w:rPr>
        <w:t> </w:t>
      </w:r>
      <w:r w:rsidRPr="006322A6">
        <w:rPr>
          <w:rFonts w:ascii="Arial" w:hAnsi="Arial" w:cs="Arial"/>
          <w:sz w:val="20"/>
          <w:szCs w:val="20"/>
          <w:lang w:val="en-GB"/>
        </w:rPr>
        <w:t>Production costs of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 and H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are compared under the condition of having the same carbon footprint. To match the climate change impact of fossil</w:t>
      </w:r>
      <w:r w:rsidR="00545E5B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based H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, a blend of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O—comprising 28% fossil</w:t>
      </w:r>
      <w:r w:rsidR="00545E5B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 xml:space="preserve">derived and 72% green </w:t>
      </w:r>
      <w:r w:rsidR="004C0D5E" w:rsidRPr="006322A6">
        <w:rPr>
          <w:rFonts w:ascii="Arial" w:hAnsi="Arial" w:cs="Arial"/>
          <w:sz w:val="20"/>
          <w:szCs w:val="20"/>
          <w:lang w:val="en-GB"/>
        </w:rPr>
        <w:t>NH</w:t>
      </w:r>
      <w:r w:rsidR="004C0D5E" w:rsidRPr="006322A6">
        <w:rPr>
          <w:rFonts w:ascii="Arial" w:hAnsi="Arial" w:cs="Arial"/>
          <w:sz w:val="20"/>
          <w:szCs w:val="20"/>
          <w:vertAlign w:val="subscript"/>
          <w:lang w:val="en-GB"/>
        </w:rPr>
        <w:t>3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(see </w:t>
      </w:r>
      <w:r w:rsidRPr="006322A6">
        <w:rPr>
          <w:rFonts w:ascii="Arial" w:hAnsi="Arial" w:cs="Arial"/>
          <w:b/>
          <w:sz w:val="20"/>
          <w:szCs w:val="20"/>
          <w:lang w:val="en-GB"/>
        </w:rPr>
        <w:t>Fig. 3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)—is utilized. By 2050, projections </w:t>
      </w:r>
      <w:r w:rsidR="007A3E02" w:rsidRPr="006322A6">
        <w:rPr>
          <w:rFonts w:ascii="Arial" w:hAnsi="Arial" w:cs="Arial"/>
          <w:sz w:val="20"/>
          <w:szCs w:val="20"/>
          <w:lang w:val="en-GB"/>
        </w:rPr>
        <w:t>indicate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potential reductions in production costs</w:t>
      </w:r>
      <w:r w:rsidR="00FA7B10" w:rsidRPr="006322A6">
        <w:rPr>
          <w:rFonts w:ascii="Arial" w:hAnsi="Arial" w:cs="Arial"/>
          <w:sz w:val="20"/>
          <w:szCs w:val="20"/>
          <w:lang w:val="en-GB"/>
        </w:rPr>
        <w:t xml:space="preserve"> for N</w:t>
      </w:r>
      <w:r w:rsidR="00FA7B10"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="00FA7B10" w:rsidRPr="006322A6">
        <w:rPr>
          <w:rFonts w:ascii="Arial" w:hAnsi="Arial" w:cs="Arial"/>
          <w:sz w:val="20"/>
          <w:szCs w:val="20"/>
          <w:lang w:val="en-GB"/>
        </w:rPr>
        <w:t>O</w:t>
      </w:r>
      <w:r w:rsidRPr="006322A6">
        <w:rPr>
          <w:rFonts w:ascii="Arial" w:hAnsi="Arial" w:cs="Arial"/>
          <w:sz w:val="20"/>
          <w:szCs w:val="20"/>
          <w:lang w:val="en-GB"/>
        </w:rPr>
        <w:t>.</w:t>
      </w:r>
    </w:p>
    <w:p w14:paraId="30FBCDBC" w14:textId="0F9A67E9" w:rsidR="00606F2F" w:rsidRPr="006322A6" w:rsidRDefault="00606F2F" w:rsidP="0059336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sz w:val="20"/>
          <w:szCs w:val="20"/>
          <w:lang w:val="en-GB"/>
        </w:rPr>
        <w:t xml:space="preserve">A blending scenario between fossil and green </w:t>
      </w:r>
      <w:r w:rsidR="002027A2" w:rsidRPr="006322A6">
        <w:rPr>
          <w:rFonts w:ascii="Arial" w:hAnsi="Arial" w:cs="Arial"/>
          <w:sz w:val="20"/>
          <w:szCs w:val="20"/>
          <w:lang w:val="en-GB"/>
        </w:rPr>
        <w:t>NH</w:t>
      </w:r>
      <w:r w:rsidR="002027A2" w:rsidRPr="006322A6">
        <w:rPr>
          <w:rFonts w:ascii="Arial" w:hAnsi="Arial" w:cs="Arial"/>
          <w:sz w:val="20"/>
          <w:szCs w:val="20"/>
          <w:vertAlign w:val="subscript"/>
          <w:lang w:val="en-GB"/>
        </w:rPr>
        <w:t>3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for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O production suggests that, at a blend ratio of 28% fossil and 72% green </w:t>
      </w:r>
      <w:r w:rsidR="002027A2" w:rsidRPr="006322A6">
        <w:rPr>
          <w:rFonts w:ascii="Arial" w:hAnsi="Arial" w:cs="Arial"/>
          <w:sz w:val="20"/>
          <w:szCs w:val="20"/>
          <w:lang w:val="en-GB"/>
        </w:rPr>
        <w:t>NH</w:t>
      </w:r>
      <w:r w:rsidR="002027A2" w:rsidRPr="006322A6">
        <w:rPr>
          <w:rFonts w:ascii="Arial" w:hAnsi="Arial" w:cs="Arial"/>
          <w:sz w:val="20"/>
          <w:szCs w:val="20"/>
          <w:vertAlign w:val="subscript"/>
          <w:lang w:val="en-GB"/>
        </w:rPr>
        <w:t>3</w:t>
      </w:r>
      <w:r w:rsidRPr="006322A6">
        <w:rPr>
          <w:rFonts w:ascii="Arial" w:hAnsi="Arial" w:cs="Arial"/>
          <w:sz w:val="20"/>
          <w:szCs w:val="20"/>
          <w:lang w:val="en-GB"/>
        </w:rPr>
        <w:t>, the carbon footprint of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 production can match that of fossil</w:t>
      </w:r>
      <w:r w:rsidR="00545E5B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based H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production at a 38% lower production cost.</w:t>
      </w:r>
    </w:p>
    <w:p w14:paraId="4710807C" w14:textId="54B14224" w:rsidR="002F1A80" w:rsidRPr="006322A6" w:rsidRDefault="002F1A80" w:rsidP="00C07F23">
      <w:pPr>
        <w:spacing w:line="360" w:lineRule="auto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sz w:val="20"/>
          <w:szCs w:val="20"/>
          <w:lang w:val="en-GB"/>
        </w:rPr>
        <w:br w:type="page"/>
      </w:r>
    </w:p>
    <w:p w14:paraId="40C8E298" w14:textId="7BC94C37" w:rsidR="007F227F" w:rsidRPr="006322A6" w:rsidRDefault="007F227F" w:rsidP="007F227F">
      <w:pPr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b/>
          <w:sz w:val="20"/>
          <w:szCs w:val="20"/>
          <w:lang w:val="en-GB"/>
        </w:rPr>
        <w:lastRenderedPageBreak/>
        <w:t>Table 2</w:t>
      </w:r>
      <w:r w:rsidR="008A750D" w:rsidRPr="006322A6">
        <w:rPr>
          <w:rFonts w:ascii="Arial" w:hAnsi="Arial" w:cs="Arial"/>
          <w:sz w:val="20"/>
          <w:szCs w:val="20"/>
          <w:lang w:val="en-GB"/>
        </w:rPr>
        <w:t> Risk assessment metrics for one</w:t>
      </w:r>
      <w:r w:rsidR="008A750D" w:rsidRPr="006322A6">
        <w:rPr>
          <w:rFonts w:ascii="Arial" w:hAnsi="Arial" w:cs="Arial"/>
          <w:sz w:val="20"/>
          <w:szCs w:val="20"/>
          <w:lang w:val="en-GB"/>
        </w:rPr>
        <w:noBreakHyphen/>
        <w:t>step N</w:t>
      </w:r>
      <w:r w:rsidR="008A750D"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="008A750D" w:rsidRPr="006322A6">
        <w:rPr>
          <w:rFonts w:ascii="Arial" w:hAnsi="Arial" w:cs="Arial"/>
          <w:sz w:val="20"/>
          <w:szCs w:val="20"/>
          <w:lang w:val="en-GB"/>
        </w:rPr>
        <w:t>O production compared to H</w:t>
      </w:r>
      <w:r w:rsidR="008A750D"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="008A750D" w:rsidRPr="006322A6">
        <w:rPr>
          <w:rFonts w:ascii="Arial" w:hAnsi="Arial" w:cs="Arial"/>
          <w:sz w:val="20"/>
          <w:szCs w:val="20"/>
          <w:lang w:val="en-GB"/>
        </w:rPr>
        <w:t>O</w:t>
      </w:r>
      <w:r w:rsidR="008A750D"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="008A750D" w:rsidRPr="006322A6">
        <w:rPr>
          <w:rFonts w:ascii="Arial" w:hAnsi="Arial" w:cs="Arial"/>
          <w:sz w:val="20"/>
          <w:szCs w:val="20"/>
          <w:lang w:val="en-GB"/>
        </w:rPr>
        <w:t xml:space="preserve"> production </w:t>
      </w:r>
      <w:r w:rsidR="008A750D" w:rsidRPr="007A63A1">
        <w:rPr>
          <w:rFonts w:ascii="Arial" w:hAnsi="Arial" w:cs="Arial"/>
          <w:i/>
          <w:sz w:val="20"/>
          <w:szCs w:val="20"/>
          <w:lang w:val="en-GB"/>
        </w:rPr>
        <w:t>via</w:t>
      </w:r>
      <w:r w:rsidR="008A750D" w:rsidRPr="006322A6">
        <w:rPr>
          <w:rFonts w:ascii="Arial" w:hAnsi="Arial" w:cs="Arial"/>
          <w:sz w:val="20"/>
          <w:szCs w:val="20"/>
          <w:lang w:val="en-GB"/>
        </w:rPr>
        <w:t xml:space="preserve"> the conventional anthraquinone process are evaluated using the Dow Fire and Explosion Index and the TNT equivalency framework, highlighting the estimate financial and operational impacts.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1440"/>
        <w:gridCol w:w="1440"/>
      </w:tblGrid>
      <w:tr w:rsidR="007F227F" w:rsidRPr="006322A6" w14:paraId="725317AF" w14:textId="77777777" w:rsidTr="00235372">
        <w:trPr>
          <w:trHeight w:val="358"/>
          <w:jc w:val="center"/>
        </w:trPr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A9C5B2" w14:textId="77777777" w:rsidR="007F227F" w:rsidRPr="006322A6" w:rsidRDefault="007F227F" w:rsidP="00235372">
            <w:pPr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>Metric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122DC3" w14:textId="465F67DC" w:rsidR="007F227F" w:rsidRPr="006322A6" w:rsidRDefault="00844B6C" w:rsidP="0023537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>N</w:t>
            </w:r>
            <w:r w:rsidRPr="006322A6">
              <w:rPr>
                <w:rFonts w:ascii="Arial" w:hAnsi="Arial" w:cs="Arial"/>
                <w:b/>
                <w:sz w:val="20"/>
                <w:szCs w:val="20"/>
                <w:vertAlign w:val="subscript"/>
                <w:lang w:val="en-GB"/>
              </w:rPr>
              <w:t>2</w:t>
            </w:r>
            <w:r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>O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723B21" w14:textId="3E229F5E" w:rsidR="007F227F" w:rsidRPr="006322A6" w:rsidRDefault="00844B6C" w:rsidP="0023537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>H</w:t>
            </w:r>
            <w:r w:rsidRPr="006322A6">
              <w:rPr>
                <w:rFonts w:ascii="Arial" w:hAnsi="Arial" w:cs="Arial"/>
                <w:b/>
                <w:sz w:val="20"/>
                <w:szCs w:val="20"/>
                <w:vertAlign w:val="subscript"/>
                <w:lang w:val="en-GB"/>
              </w:rPr>
              <w:t>2</w:t>
            </w:r>
            <w:r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>O</w:t>
            </w:r>
            <w:r w:rsidRPr="006322A6">
              <w:rPr>
                <w:rFonts w:ascii="Arial" w:hAnsi="Arial" w:cs="Arial"/>
                <w:b/>
                <w:sz w:val="20"/>
                <w:szCs w:val="20"/>
                <w:vertAlign w:val="subscript"/>
                <w:lang w:val="en-GB"/>
              </w:rPr>
              <w:t>2</w:t>
            </w:r>
          </w:p>
        </w:tc>
      </w:tr>
      <w:tr w:rsidR="00235372" w:rsidRPr="006322A6" w14:paraId="02CD2616" w14:textId="77777777" w:rsidTr="00235372">
        <w:trPr>
          <w:trHeight w:val="358"/>
          <w:jc w:val="center"/>
        </w:trPr>
        <w:tc>
          <w:tcPr>
            <w:tcW w:w="5040" w:type="dxa"/>
            <w:vAlign w:val="center"/>
          </w:tcPr>
          <w:p w14:paraId="79B2F296" w14:textId="3922F4B4" w:rsidR="00235372" w:rsidRPr="006322A6" w:rsidRDefault="00235372" w:rsidP="0023537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Dow Fire </w:t>
            </w:r>
            <w:r w:rsidR="00511E2B"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>and</w:t>
            </w:r>
            <w:r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Explosion Index</w:t>
            </w:r>
          </w:p>
        </w:tc>
        <w:tc>
          <w:tcPr>
            <w:tcW w:w="1440" w:type="dxa"/>
            <w:vAlign w:val="center"/>
          </w:tcPr>
          <w:p w14:paraId="61115B7A" w14:textId="67C295EB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440" w:type="dxa"/>
            <w:vAlign w:val="center"/>
          </w:tcPr>
          <w:p w14:paraId="71EF423E" w14:textId="3C8F7D31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235372" w:rsidRPr="006322A6" w14:paraId="65676207" w14:textId="77777777" w:rsidTr="00235372">
        <w:trPr>
          <w:trHeight w:val="358"/>
          <w:jc w:val="center"/>
        </w:trPr>
        <w:tc>
          <w:tcPr>
            <w:tcW w:w="5040" w:type="dxa"/>
            <w:vAlign w:val="center"/>
          </w:tcPr>
          <w:p w14:paraId="2F89EE3D" w14:textId="16D8826D" w:rsidR="00235372" w:rsidRPr="006322A6" w:rsidRDefault="00235372" w:rsidP="0023537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Fire and explosion index</w:t>
            </w:r>
          </w:p>
        </w:tc>
        <w:tc>
          <w:tcPr>
            <w:tcW w:w="1440" w:type="dxa"/>
            <w:vAlign w:val="center"/>
          </w:tcPr>
          <w:p w14:paraId="598575F2" w14:textId="0B103AE9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47</w:t>
            </w:r>
          </w:p>
        </w:tc>
        <w:tc>
          <w:tcPr>
            <w:tcW w:w="1440" w:type="dxa"/>
            <w:vAlign w:val="center"/>
          </w:tcPr>
          <w:p w14:paraId="700AB24F" w14:textId="08B0AFAD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111</w:t>
            </w:r>
          </w:p>
        </w:tc>
      </w:tr>
      <w:tr w:rsidR="00235372" w:rsidRPr="006322A6" w14:paraId="57E34355" w14:textId="77777777" w:rsidTr="00235372">
        <w:trPr>
          <w:trHeight w:val="358"/>
          <w:jc w:val="center"/>
        </w:trPr>
        <w:tc>
          <w:tcPr>
            <w:tcW w:w="5040" w:type="dxa"/>
            <w:vAlign w:val="center"/>
          </w:tcPr>
          <w:p w14:paraId="133ABA4A" w14:textId="77777777" w:rsidR="00235372" w:rsidRPr="006322A6" w:rsidRDefault="00235372" w:rsidP="0023537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Degree of hazard</w:t>
            </w:r>
          </w:p>
        </w:tc>
        <w:tc>
          <w:tcPr>
            <w:tcW w:w="1440" w:type="dxa"/>
            <w:shd w:val="clear" w:color="auto" w:fill="A8D08D" w:themeFill="accent6" w:themeFillTint="99"/>
            <w:vAlign w:val="center"/>
          </w:tcPr>
          <w:p w14:paraId="4F096760" w14:textId="77777777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Light</w:t>
            </w:r>
          </w:p>
        </w:tc>
        <w:tc>
          <w:tcPr>
            <w:tcW w:w="1440" w:type="dxa"/>
            <w:shd w:val="clear" w:color="auto" w:fill="F3786B"/>
            <w:vAlign w:val="center"/>
          </w:tcPr>
          <w:p w14:paraId="36CFAB16" w14:textId="024FA3A5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Intermediate</w:t>
            </w:r>
          </w:p>
        </w:tc>
      </w:tr>
      <w:tr w:rsidR="00235372" w:rsidRPr="006322A6" w14:paraId="4A206036" w14:textId="77777777" w:rsidTr="00235372">
        <w:trPr>
          <w:trHeight w:val="358"/>
          <w:jc w:val="center"/>
        </w:trPr>
        <w:tc>
          <w:tcPr>
            <w:tcW w:w="5040" w:type="dxa"/>
            <w:vAlign w:val="center"/>
          </w:tcPr>
          <w:p w14:paraId="449AF3A3" w14:textId="77777777" w:rsidR="00235372" w:rsidRPr="006322A6" w:rsidRDefault="00235372" w:rsidP="0023537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Radius of exposure (m)</w:t>
            </w:r>
          </w:p>
        </w:tc>
        <w:tc>
          <w:tcPr>
            <w:tcW w:w="1440" w:type="dxa"/>
            <w:vAlign w:val="center"/>
          </w:tcPr>
          <w:p w14:paraId="0781934D" w14:textId="77777777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12</w:t>
            </w:r>
          </w:p>
        </w:tc>
        <w:tc>
          <w:tcPr>
            <w:tcW w:w="1440" w:type="dxa"/>
            <w:vAlign w:val="center"/>
          </w:tcPr>
          <w:p w14:paraId="10FCB7B5" w14:textId="7A1A1103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28</w:t>
            </w:r>
          </w:p>
        </w:tc>
      </w:tr>
      <w:tr w:rsidR="00235372" w:rsidRPr="006322A6" w14:paraId="47D7D26D" w14:textId="77777777" w:rsidTr="00235372">
        <w:trPr>
          <w:trHeight w:val="358"/>
          <w:jc w:val="center"/>
        </w:trPr>
        <w:tc>
          <w:tcPr>
            <w:tcW w:w="5040" w:type="dxa"/>
            <w:vAlign w:val="center"/>
          </w:tcPr>
          <w:p w14:paraId="5717E011" w14:textId="77777777" w:rsidR="00235372" w:rsidRPr="006322A6" w:rsidRDefault="00235372" w:rsidP="0023537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Area of exposure (m</w:t>
            </w:r>
            <w:r w:rsidRPr="006322A6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2</w:t>
            </w: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)</w:t>
            </w:r>
          </w:p>
        </w:tc>
        <w:tc>
          <w:tcPr>
            <w:tcW w:w="1440" w:type="dxa"/>
            <w:vAlign w:val="center"/>
          </w:tcPr>
          <w:p w14:paraId="49FBCDF5" w14:textId="77777777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464</w:t>
            </w:r>
          </w:p>
        </w:tc>
        <w:tc>
          <w:tcPr>
            <w:tcW w:w="1440" w:type="dxa"/>
            <w:vAlign w:val="center"/>
          </w:tcPr>
          <w:p w14:paraId="5C190B6A" w14:textId="457FE02A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2546</w:t>
            </w:r>
          </w:p>
        </w:tc>
      </w:tr>
      <w:tr w:rsidR="00235372" w:rsidRPr="006322A6" w14:paraId="7CF82F01" w14:textId="77777777" w:rsidTr="00235372">
        <w:trPr>
          <w:trHeight w:val="358"/>
          <w:jc w:val="center"/>
        </w:trPr>
        <w:tc>
          <w:tcPr>
            <w:tcW w:w="5040" w:type="dxa"/>
            <w:vAlign w:val="center"/>
          </w:tcPr>
          <w:p w14:paraId="3DB06F2C" w14:textId="77777777" w:rsidR="00235372" w:rsidRPr="006322A6" w:rsidRDefault="00235372" w:rsidP="0023537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Maximum probable property damage (million USD)</w:t>
            </w:r>
          </w:p>
        </w:tc>
        <w:tc>
          <w:tcPr>
            <w:tcW w:w="1440" w:type="dxa"/>
            <w:vAlign w:val="center"/>
          </w:tcPr>
          <w:p w14:paraId="34A5C114" w14:textId="77777777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2</w:t>
            </w:r>
          </w:p>
        </w:tc>
        <w:tc>
          <w:tcPr>
            <w:tcW w:w="1440" w:type="dxa"/>
            <w:vAlign w:val="center"/>
          </w:tcPr>
          <w:p w14:paraId="55ECEACA" w14:textId="64AB4656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2</w:t>
            </w:r>
          </w:p>
        </w:tc>
      </w:tr>
      <w:tr w:rsidR="00235372" w:rsidRPr="006322A6" w14:paraId="380CFCE9" w14:textId="77777777" w:rsidTr="00235372">
        <w:trPr>
          <w:trHeight w:val="358"/>
          <w:jc w:val="center"/>
        </w:trPr>
        <w:tc>
          <w:tcPr>
            <w:tcW w:w="5040" w:type="dxa"/>
            <w:vAlign w:val="center"/>
          </w:tcPr>
          <w:p w14:paraId="58304195" w14:textId="77777777" w:rsidR="00235372" w:rsidRPr="006322A6" w:rsidRDefault="00235372" w:rsidP="0023537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Maximum probable days outage</w:t>
            </w:r>
          </w:p>
        </w:tc>
        <w:tc>
          <w:tcPr>
            <w:tcW w:w="1440" w:type="dxa"/>
            <w:vAlign w:val="center"/>
          </w:tcPr>
          <w:p w14:paraId="4E50D3A9" w14:textId="77777777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28</w:t>
            </w:r>
          </w:p>
        </w:tc>
        <w:tc>
          <w:tcPr>
            <w:tcW w:w="1440" w:type="dxa"/>
            <w:vAlign w:val="center"/>
          </w:tcPr>
          <w:p w14:paraId="0DD4CEC4" w14:textId="73976155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30</w:t>
            </w:r>
          </w:p>
        </w:tc>
      </w:tr>
      <w:tr w:rsidR="00235372" w:rsidRPr="006322A6" w14:paraId="4EDF6C61" w14:textId="77777777" w:rsidTr="00235372">
        <w:trPr>
          <w:trHeight w:val="358"/>
          <w:jc w:val="center"/>
        </w:trPr>
        <w:tc>
          <w:tcPr>
            <w:tcW w:w="5040" w:type="dxa"/>
            <w:vAlign w:val="center"/>
          </w:tcPr>
          <w:p w14:paraId="654F49F6" w14:textId="77777777" w:rsidR="00235372" w:rsidRPr="006322A6" w:rsidRDefault="00235372" w:rsidP="0023537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Business interruption (million USD)</w:t>
            </w:r>
          </w:p>
        </w:tc>
        <w:tc>
          <w:tcPr>
            <w:tcW w:w="1440" w:type="dxa"/>
            <w:vAlign w:val="center"/>
          </w:tcPr>
          <w:p w14:paraId="2DD561F9" w14:textId="77777777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11</w:t>
            </w:r>
          </w:p>
        </w:tc>
        <w:tc>
          <w:tcPr>
            <w:tcW w:w="1440" w:type="dxa"/>
            <w:vAlign w:val="center"/>
          </w:tcPr>
          <w:p w14:paraId="6E1C4DBE" w14:textId="1A254CEB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12</w:t>
            </w:r>
          </w:p>
        </w:tc>
      </w:tr>
      <w:tr w:rsidR="00235372" w:rsidRPr="006322A6" w14:paraId="32F070A9" w14:textId="77777777" w:rsidTr="00235372">
        <w:trPr>
          <w:trHeight w:val="358"/>
          <w:jc w:val="center"/>
        </w:trPr>
        <w:tc>
          <w:tcPr>
            <w:tcW w:w="5040" w:type="dxa"/>
            <w:vAlign w:val="center"/>
          </w:tcPr>
          <w:p w14:paraId="3C9BC0CF" w14:textId="62B55EF0" w:rsidR="00235372" w:rsidRPr="006322A6" w:rsidRDefault="00235372" w:rsidP="0023537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b/>
                <w:sz w:val="20"/>
                <w:szCs w:val="20"/>
                <w:lang w:val="en-GB"/>
              </w:rPr>
              <w:t>Trinitrotoluene (TNT) equivalency</w:t>
            </w:r>
          </w:p>
        </w:tc>
        <w:tc>
          <w:tcPr>
            <w:tcW w:w="1440" w:type="dxa"/>
            <w:vAlign w:val="center"/>
          </w:tcPr>
          <w:p w14:paraId="3E40978C" w14:textId="4723309B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440" w:type="dxa"/>
            <w:vAlign w:val="center"/>
          </w:tcPr>
          <w:p w14:paraId="4F02A13D" w14:textId="63080E8D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235372" w:rsidRPr="006322A6" w14:paraId="5B8874D1" w14:textId="77777777" w:rsidTr="00EE7F6B">
        <w:trPr>
          <w:trHeight w:val="358"/>
          <w:jc w:val="center"/>
        </w:trPr>
        <w:tc>
          <w:tcPr>
            <w:tcW w:w="5040" w:type="dxa"/>
            <w:vAlign w:val="center"/>
          </w:tcPr>
          <w:p w14:paraId="381707A5" w14:textId="2EEB0651" w:rsidR="00235372" w:rsidRPr="006322A6" w:rsidRDefault="00235372" w:rsidP="0023537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Equivalent mass of TNT (kg)</w:t>
            </w:r>
          </w:p>
        </w:tc>
        <w:tc>
          <w:tcPr>
            <w:tcW w:w="1440" w:type="dxa"/>
            <w:shd w:val="clear" w:color="auto" w:fill="A8D08D" w:themeFill="accent6" w:themeFillTint="99"/>
            <w:vAlign w:val="center"/>
          </w:tcPr>
          <w:p w14:paraId="668D291E" w14:textId="095E0D5F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6008</w:t>
            </w:r>
          </w:p>
        </w:tc>
        <w:tc>
          <w:tcPr>
            <w:tcW w:w="1440" w:type="dxa"/>
            <w:shd w:val="clear" w:color="auto" w:fill="F3786B"/>
            <w:vAlign w:val="center"/>
          </w:tcPr>
          <w:p w14:paraId="506F5E7B" w14:textId="7833B4F9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70748</w:t>
            </w:r>
          </w:p>
        </w:tc>
      </w:tr>
      <w:tr w:rsidR="00235372" w:rsidRPr="006322A6" w14:paraId="4571A0C7" w14:textId="77777777" w:rsidTr="00235372">
        <w:trPr>
          <w:trHeight w:val="358"/>
          <w:jc w:val="center"/>
        </w:trPr>
        <w:tc>
          <w:tcPr>
            <w:tcW w:w="5040" w:type="dxa"/>
            <w:vAlign w:val="center"/>
          </w:tcPr>
          <w:p w14:paraId="4D1ED285" w14:textId="77777777" w:rsidR="00235372" w:rsidRPr="006322A6" w:rsidRDefault="00235372" w:rsidP="0023537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Overpressure (kPa)</w:t>
            </w:r>
          </w:p>
        </w:tc>
        <w:tc>
          <w:tcPr>
            <w:tcW w:w="1440" w:type="dxa"/>
            <w:vAlign w:val="center"/>
          </w:tcPr>
          <w:p w14:paraId="327F0AF7" w14:textId="77777777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49</w:t>
            </w:r>
          </w:p>
        </w:tc>
        <w:tc>
          <w:tcPr>
            <w:tcW w:w="1440" w:type="dxa"/>
            <w:vAlign w:val="center"/>
          </w:tcPr>
          <w:p w14:paraId="4ED4669E" w14:textId="24EF66A8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264</w:t>
            </w:r>
          </w:p>
        </w:tc>
      </w:tr>
      <w:tr w:rsidR="00235372" w:rsidRPr="006322A6" w14:paraId="7FFC3F52" w14:textId="77777777" w:rsidTr="00EE7F6B">
        <w:trPr>
          <w:trHeight w:val="358"/>
          <w:jc w:val="center"/>
        </w:trPr>
        <w:tc>
          <w:tcPr>
            <w:tcW w:w="5040" w:type="dxa"/>
            <w:vAlign w:val="center"/>
          </w:tcPr>
          <w:p w14:paraId="3331C2EB" w14:textId="77777777" w:rsidR="00235372" w:rsidRPr="006322A6" w:rsidRDefault="00235372" w:rsidP="0023537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Number of deaths due to lung haemorrhage</w:t>
            </w:r>
          </w:p>
        </w:tc>
        <w:tc>
          <w:tcPr>
            <w:tcW w:w="1440" w:type="dxa"/>
            <w:shd w:val="clear" w:color="auto" w:fill="A8D08D" w:themeFill="accent6" w:themeFillTint="99"/>
            <w:vAlign w:val="center"/>
          </w:tcPr>
          <w:p w14:paraId="170F75EF" w14:textId="77777777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0</w:t>
            </w:r>
          </w:p>
        </w:tc>
        <w:tc>
          <w:tcPr>
            <w:tcW w:w="1440" w:type="dxa"/>
            <w:shd w:val="clear" w:color="auto" w:fill="F3786B"/>
            <w:vAlign w:val="center"/>
          </w:tcPr>
          <w:p w14:paraId="472C0D04" w14:textId="71089025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9</w:t>
            </w:r>
          </w:p>
        </w:tc>
      </w:tr>
      <w:tr w:rsidR="00235372" w:rsidRPr="006322A6" w14:paraId="5D7C54CD" w14:textId="77777777" w:rsidTr="00235372">
        <w:trPr>
          <w:trHeight w:val="358"/>
          <w:jc w:val="center"/>
        </w:trPr>
        <w:tc>
          <w:tcPr>
            <w:tcW w:w="5040" w:type="dxa"/>
            <w:vAlign w:val="center"/>
          </w:tcPr>
          <w:p w14:paraId="0B162A13" w14:textId="77777777" w:rsidR="00235372" w:rsidRPr="006322A6" w:rsidRDefault="00235372" w:rsidP="0023537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Number of eardrum ruptures</w:t>
            </w:r>
          </w:p>
        </w:tc>
        <w:tc>
          <w:tcPr>
            <w:tcW w:w="1440" w:type="dxa"/>
            <w:vAlign w:val="center"/>
          </w:tcPr>
          <w:p w14:paraId="6C58C2FD" w14:textId="77777777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1</w:t>
            </w:r>
          </w:p>
        </w:tc>
        <w:tc>
          <w:tcPr>
            <w:tcW w:w="1440" w:type="dxa"/>
            <w:vAlign w:val="center"/>
          </w:tcPr>
          <w:p w14:paraId="243D4492" w14:textId="302BE1B1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4</w:t>
            </w:r>
          </w:p>
        </w:tc>
      </w:tr>
      <w:tr w:rsidR="00235372" w:rsidRPr="006322A6" w14:paraId="658296FA" w14:textId="77777777" w:rsidTr="00235372">
        <w:trPr>
          <w:trHeight w:val="358"/>
          <w:jc w:val="center"/>
        </w:trPr>
        <w:tc>
          <w:tcPr>
            <w:tcW w:w="5040" w:type="dxa"/>
            <w:tcBorders>
              <w:bottom w:val="single" w:sz="4" w:space="0" w:color="auto"/>
            </w:tcBorders>
            <w:vAlign w:val="center"/>
          </w:tcPr>
          <w:p w14:paraId="05CE2C6B" w14:textId="77777777" w:rsidR="00235372" w:rsidRPr="006322A6" w:rsidRDefault="00235372" w:rsidP="0023537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Maximum distance at which projectiles can land (m)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18AC695" w14:textId="77777777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1920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3F1276E" w14:textId="34FCFA0D" w:rsidR="00235372" w:rsidRPr="006322A6" w:rsidRDefault="00235372" w:rsidP="0023537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322A6">
              <w:rPr>
                <w:rFonts w:ascii="Arial" w:hAnsi="Arial" w:cs="Arial"/>
                <w:sz w:val="20"/>
                <w:szCs w:val="20"/>
                <w:lang w:val="en-GB"/>
              </w:rPr>
              <w:t>3280</w:t>
            </w:r>
          </w:p>
        </w:tc>
      </w:tr>
    </w:tbl>
    <w:p w14:paraId="5DE6E3DD" w14:textId="77777777" w:rsidR="007F227F" w:rsidRPr="006322A6" w:rsidRDefault="007F227F" w:rsidP="007F227F">
      <w:pPr>
        <w:spacing w:line="360" w:lineRule="auto"/>
        <w:rPr>
          <w:rFonts w:ascii="Arial" w:hAnsi="Arial" w:cs="Arial"/>
          <w:b/>
          <w:sz w:val="20"/>
          <w:szCs w:val="20"/>
          <w:lang w:val="en-GB"/>
        </w:rPr>
      </w:pPr>
      <w:r w:rsidRPr="006322A6">
        <w:rPr>
          <w:rFonts w:ascii="Arial" w:hAnsi="Arial" w:cs="Arial"/>
          <w:b/>
          <w:sz w:val="20"/>
          <w:szCs w:val="20"/>
          <w:lang w:val="en-GB"/>
        </w:rPr>
        <w:br w:type="page"/>
      </w:r>
    </w:p>
    <w:p w14:paraId="5F1DF10F" w14:textId="77777777" w:rsidR="002F1A80" w:rsidRPr="006322A6" w:rsidRDefault="002F1A80" w:rsidP="00B03396">
      <w:pPr>
        <w:spacing w:after="0" w:line="360" w:lineRule="auto"/>
        <w:jc w:val="center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noProof/>
          <w:sz w:val="20"/>
          <w:szCs w:val="20"/>
          <w:lang w:val="en-GB"/>
        </w:rPr>
        <w:lastRenderedPageBreak/>
        <w:drawing>
          <wp:inline distT="0" distB="0" distL="0" distR="0" wp14:anchorId="7C4AE6F9" wp14:editId="3D057194">
            <wp:extent cx="5724576" cy="307784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enol_produ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76" cy="307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A864" w14:textId="48AEBA3D" w:rsidR="00593369" w:rsidRPr="006322A6" w:rsidRDefault="00593369" w:rsidP="00593369">
      <w:pPr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b/>
          <w:sz w:val="20"/>
          <w:szCs w:val="20"/>
          <w:lang w:val="en-GB"/>
        </w:rPr>
        <w:t>Fig. 5</w:t>
      </w:r>
      <w:r w:rsidR="008A750D" w:rsidRPr="006322A6">
        <w:rPr>
          <w:rFonts w:ascii="Arial" w:hAnsi="Arial" w:cs="Arial"/>
          <w:sz w:val="20"/>
          <w:szCs w:val="20"/>
          <w:lang w:val="en-GB"/>
        </w:rPr>
        <w:t> </w:t>
      </w:r>
      <w:r w:rsidRPr="006322A6">
        <w:rPr>
          <w:rFonts w:ascii="Arial" w:hAnsi="Arial" w:cs="Arial"/>
          <w:b/>
          <w:sz w:val="20"/>
          <w:szCs w:val="20"/>
          <w:lang w:val="en-GB"/>
        </w:rPr>
        <w:t>(</w:t>
      </w:r>
      <w:r w:rsidRPr="006322A6">
        <w:rPr>
          <w:rFonts w:ascii="Arial" w:hAnsi="Arial" w:cs="Arial"/>
          <w:b/>
          <w:bCs/>
          <w:sz w:val="20"/>
          <w:szCs w:val="20"/>
          <w:lang w:val="en-GB"/>
        </w:rPr>
        <w:t>a)</w:t>
      </w:r>
      <w:r w:rsidRPr="006322A6">
        <w:rPr>
          <w:rFonts w:ascii="Arial" w:hAnsi="Arial" w:cs="Arial"/>
          <w:bCs/>
          <w:sz w:val="20"/>
          <w:szCs w:val="20"/>
          <w:lang w:val="en-GB"/>
        </w:rPr>
        <w:t> 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Production costs and </w:t>
      </w:r>
      <w:r w:rsidRPr="006322A6">
        <w:rPr>
          <w:rFonts w:ascii="Arial" w:hAnsi="Arial" w:cs="Arial"/>
          <w:b/>
          <w:sz w:val="20"/>
          <w:szCs w:val="20"/>
          <w:lang w:val="en-GB"/>
        </w:rPr>
        <w:t>(b)</w:t>
      </w:r>
      <w:r w:rsidRPr="006322A6">
        <w:rPr>
          <w:rFonts w:ascii="Arial" w:hAnsi="Arial" w:cs="Arial"/>
          <w:sz w:val="20"/>
          <w:szCs w:val="20"/>
          <w:lang w:val="en-GB"/>
        </w:rPr>
        <w:t> climate change impacts per kg of phenol produc</w:t>
      </w:r>
      <w:r w:rsidR="007B689A" w:rsidRPr="006322A6">
        <w:rPr>
          <w:rFonts w:ascii="Arial" w:hAnsi="Arial" w:cs="Arial"/>
          <w:sz w:val="20"/>
          <w:szCs w:val="20"/>
          <w:lang w:val="en-GB"/>
        </w:rPr>
        <w:t>ed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using the business</w:t>
      </w:r>
      <w:r w:rsidR="001E426B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as</w:t>
      </w:r>
      <w:r w:rsidR="001E426B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usual cumene oxidation process, and the direct oxidation of benzene to phenol using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 and H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. For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O contributions, the </w:t>
      </w:r>
      <w:r w:rsidR="001972A1" w:rsidRPr="006322A6">
        <w:rPr>
          <w:rFonts w:ascii="Arial" w:hAnsi="Arial" w:cs="Arial"/>
          <w:sz w:val="20"/>
          <w:szCs w:val="20"/>
          <w:lang w:val="en-GB"/>
        </w:rPr>
        <w:t>one</w:t>
      </w:r>
      <w:r w:rsidR="00D4301B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 xml:space="preserve">step process using </w:t>
      </w:r>
      <w:r w:rsidR="002027A2" w:rsidRPr="006322A6">
        <w:rPr>
          <w:rFonts w:ascii="Arial" w:hAnsi="Arial" w:cs="Arial"/>
          <w:sz w:val="20"/>
          <w:szCs w:val="20"/>
          <w:lang w:val="en-GB"/>
        </w:rPr>
        <w:t>NH</w:t>
      </w:r>
      <w:r w:rsidR="002027A2" w:rsidRPr="006322A6">
        <w:rPr>
          <w:rFonts w:ascii="Arial" w:hAnsi="Arial" w:cs="Arial"/>
          <w:sz w:val="20"/>
          <w:szCs w:val="20"/>
          <w:vertAlign w:val="subscript"/>
          <w:lang w:val="en-GB"/>
        </w:rPr>
        <w:t>3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derived from either natural gas (fossil</w:t>
      </w:r>
      <w:r w:rsidR="001E426B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 xml:space="preserve">based) or the electrolytic </w:t>
      </w:r>
      <w:r w:rsidR="00FF41B6" w:rsidRPr="006322A6">
        <w:rPr>
          <w:rFonts w:ascii="Arial" w:hAnsi="Arial" w:cs="Arial"/>
          <w:sz w:val="20"/>
          <w:szCs w:val="20"/>
          <w:lang w:val="en-GB"/>
        </w:rPr>
        <w:t>H</w:t>
      </w:r>
      <w:r w:rsidR="00FF41B6"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="001E426B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based Haber</w:t>
      </w:r>
      <w:r w:rsidR="00163C48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Bosch process (green) is shown. Similarly, the anthraquinone process for H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contributions, utilizing </w:t>
      </w:r>
      <w:r w:rsidR="00FF41B6" w:rsidRPr="006322A6">
        <w:rPr>
          <w:rFonts w:ascii="Arial" w:hAnsi="Arial" w:cs="Arial"/>
          <w:sz w:val="20"/>
          <w:szCs w:val="20"/>
          <w:lang w:val="en-GB"/>
        </w:rPr>
        <w:t>H</w:t>
      </w:r>
      <w:r w:rsidR="00FF41B6"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 xml:space="preserve"> from either natural gas reforming or electrolytic sources, is presented. Projections for 2050 highlight potential reductions in production costs and climate change impacts across all technologies.</w:t>
      </w:r>
    </w:p>
    <w:p w14:paraId="4609B2EF" w14:textId="45B66210" w:rsidR="00593369" w:rsidRPr="006322A6" w:rsidRDefault="00593369" w:rsidP="0059336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sz w:val="20"/>
          <w:szCs w:val="20"/>
          <w:lang w:val="en-GB"/>
        </w:rPr>
        <w:t>The direct oxidation of benzene to phenol using N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 is the most cost</w:t>
      </w:r>
      <w:r w:rsidR="00E125C3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 xml:space="preserve">effective route, </w:t>
      </w:r>
      <w:r w:rsidR="00BF0EC2" w:rsidRPr="006322A6">
        <w:rPr>
          <w:rFonts w:ascii="Arial" w:hAnsi="Arial" w:cs="Arial"/>
          <w:sz w:val="20"/>
          <w:szCs w:val="20"/>
          <w:lang w:val="en-GB"/>
        </w:rPr>
        <w:t>reducing costs by 10% compared to the traditional cumene oxidation process for phenol production.</w:t>
      </w:r>
    </w:p>
    <w:p w14:paraId="28FA10BA" w14:textId="778A0C36" w:rsidR="008E3C2E" w:rsidRPr="006322A6" w:rsidRDefault="00593369" w:rsidP="004A30D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322A6">
        <w:rPr>
          <w:rFonts w:ascii="Arial" w:hAnsi="Arial" w:cs="Arial"/>
          <w:sz w:val="20"/>
          <w:szCs w:val="20"/>
          <w:lang w:val="en-GB"/>
        </w:rPr>
        <w:t>In terms of climate change impacts, all direct oxidation routes have lower impacts than the traditional cumene oxidation process. Among these, the H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Pr="006322A6">
        <w:rPr>
          <w:rFonts w:ascii="Arial" w:hAnsi="Arial" w:cs="Arial"/>
          <w:sz w:val="20"/>
          <w:szCs w:val="20"/>
          <w:lang w:val="en-GB"/>
        </w:rPr>
        <w:t>O</w:t>
      </w:r>
      <w:r w:rsidRPr="006322A6">
        <w:rPr>
          <w:rFonts w:ascii="Arial" w:hAnsi="Arial" w:cs="Arial"/>
          <w:sz w:val="20"/>
          <w:szCs w:val="20"/>
          <w:vertAlign w:val="subscript"/>
          <w:lang w:val="en-GB"/>
        </w:rPr>
        <w:t>2</w:t>
      </w:r>
      <w:r w:rsidR="00A105E5" w:rsidRPr="006322A6">
        <w:rPr>
          <w:rFonts w:ascii="Arial" w:hAnsi="Arial" w:cs="Arial"/>
          <w:sz w:val="20"/>
          <w:szCs w:val="20"/>
          <w:lang w:val="en-GB"/>
        </w:rPr>
        <w:noBreakHyphen/>
      </w:r>
      <w:r w:rsidRPr="006322A6">
        <w:rPr>
          <w:rFonts w:ascii="Arial" w:hAnsi="Arial" w:cs="Arial"/>
          <w:sz w:val="20"/>
          <w:szCs w:val="20"/>
          <w:lang w:val="en-GB"/>
        </w:rPr>
        <w:t>based direct oxidation routes exhibit the lowest impacts for phenol production.</w:t>
      </w:r>
    </w:p>
    <w:sectPr w:rsidR="008E3C2E" w:rsidRPr="006322A6">
      <w:footerReference w:type="default" r:id="rId13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A85DB9" w14:textId="77777777" w:rsidR="003B509E" w:rsidRDefault="003B509E" w:rsidP="0000247C">
      <w:pPr>
        <w:spacing w:after="0" w:line="240" w:lineRule="auto"/>
      </w:pPr>
      <w:r>
        <w:separator/>
      </w:r>
    </w:p>
  </w:endnote>
  <w:endnote w:type="continuationSeparator" w:id="0">
    <w:p w14:paraId="04EBB2E7" w14:textId="77777777" w:rsidR="003B509E" w:rsidRDefault="003B509E" w:rsidP="00002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34979195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14:paraId="4089C4E0" w14:textId="7E2881D6" w:rsidR="004C0D5E" w:rsidRPr="004C0D5E" w:rsidRDefault="004C0D5E">
        <w:pPr>
          <w:pStyle w:val="Footer"/>
          <w:jc w:val="center"/>
          <w:rPr>
            <w:rFonts w:ascii="Arial" w:hAnsi="Arial" w:cs="Arial"/>
            <w:sz w:val="20"/>
            <w:szCs w:val="20"/>
          </w:rPr>
        </w:pPr>
        <w:r w:rsidRPr="004C0D5E">
          <w:rPr>
            <w:rFonts w:ascii="Arial" w:hAnsi="Arial" w:cs="Arial"/>
            <w:sz w:val="20"/>
            <w:szCs w:val="20"/>
          </w:rPr>
          <w:fldChar w:fldCharType="begin"/>
        </w:r>
        <w:r w:rsidRPr="004C0D5E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4C0D5E">
          <w:rPr>
            <w:rFonts w:ascii="Arial" w:hAnsi="Arial" w:cs="Arial"/>
            <w:sz w:val="20"/>
            <w:szCs w:val="20"/>
          </w:rPr>
          <w:fldChar w:fldCharType="separate"/>
        </w:r>
        <w:r w:rsidRPr="004C0D5E">
          <w:rPr>
            <w:rFonts w:ascii="Arial" w:hAnsi="Arial" w:cs="Arial"/>
            <w:noProof/>
            <w:sz w:val="20"/>
            <w:szCs w:val="20"/>
          </w:rPr>
          <w:t>2</w:t>
        </w:r>
        <w:r w:rsidRPr="004C0D5E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7949FB9B" w14:textId="77777777" w:rsidR="004C0D5E" w:rsidRDefault="004C0D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A6EB38" w14:textId="77777777" w:rsidR="003B509E" w:rsidRDefault="003B509E" w:rsidP="0000247C">
      <w:pPr>
        <w:spacing w:after="0" w:line="240" w:lineRule="auto"/>
      </w:pPr>
      <w:r>
        <w:separator/>
      </w:r>
    </w:p>
  </w:footnote>
  <w:footnote w:type="continuationSeparator" w:id="0">
    <w:p w14:paraId="6EB03DBE" w14:textId="77777777" w:rsidR="003B509E" w:rsidRDefault="003B509E" w:rsidP="000024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C925C0"/>
    <w:multiLevelType w:val="hybridMultilevel"/>
    <w:tmpl w:val="DAAEC4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DFA0973"/>
    <w:multiLevelType w:val="hybridMultilevel"/>
    <w:tmpl w:val="189C8E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2BA0958"/>
    <w:multiLevelType w:val="hybridMultilevel"/>
    <w:tmpl w:val="62BC28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43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YwNwASBhaGpqZmxko6SsGpxcWZ+XkgBUZmtQDEwkIHLQAAAA=="/>
  </w:docVars>
  <w:rsids>
    <w:rsidRoot w:val="002F1A80"/>
    <w:rsid w:val="0000247C"/>
    <w:rsid w:val="00012FC4"/>
    <w:rsid w:val="00021CB1"/>
    <w:rsid w:val="00027B9B"/>
    <w:rsid w:val="0003489B"/>
    <w:rsid w:val="0004252E"/>
    <w:rsid w:val="00045B2F"/>
    <w:rsid w:val="00051F2B"/>
    <w:rsid w:val="000637D7"/>
    <w:rsid w:val="000737D2"/>
    <w:rsid w:val="00083805"/>
    <w:rsid w:val="00083C0F"/>
    <w:rsid w:val="000A209F"/>
    <w:rsid w:val="000A384D"/>
    <w:rsid w:val="000B00C8"/>
    <w:rsid w:val="000C2B7A"/>
    <w:rsid w:val="000E5570"/>
    <w:rsid w:val="000E5945"/>
    <w:rsid w:val="00106645"/>
    <w:rsid w:val="001218A2"/>
    <w:rsid w:val="00122A20"/>
    <w:rsid w:val="00124DE8"/>
    <w:rsid w:val="00135532"/>
    <w:rsid w:val="00141DE4"/>
    <w:rsid w:val="001455AF"/>
    <w:rsid w:val="00163C48"/>
    <w:rsid w:val="00172F4A"/>
    <w:rsid w:val="0018586C"/>
    <w:rsid w:val="00186381"/>
    <w:rsid w:val="001972A1"/>
    <w:rsid w:val="001A28BD"/>
    <w:rsid w:val="001B62DB"/>
    <w:rsid w:val="001B6966"/>
    <w:rsid w:val="001C3650"/>
    <w:rsid w:val="001E2B03"/>
    <w:rsid w:val="001E426B"/>
    <w:rsid w:val="002017D4"/>
    <w:rsid w:val="002019D0"/>
    <w:rsid w:val="002027A2"/>
    <w:rsid w:val="00230C6E"/>
    <w:rsid w:val="00235372"/>
    <w:rsid w:val="00242359"/>
    <w:rsid w:val="00261395"/>
    <w:rsid w:val="002631C5"/>
    <w:rsid w:val="00263BEF"/>
    <w:rsid w:val="00282BB3"/>
    <w:rsid w:val="00292741"/>
    <w:rsid w:val="00294433"/>
    <w:rsid w:val="00294E6B"/>
    <w:rsid w:val="002C5182"/>
    <w:rsid w:val="002D131D"/>
    <w:rsid w:val="002D13BD"/>
    <w:rsid w:val="002F1A80"/>
    <w:rsid w:val="00301DC4"/>
    <w:rsid w:val="003317D5"/>
    <w:rsid w:val="00336AC2"/>
    <w:rsid w:val="00343726"/>
    <w:rsid w:val="00353314"/>
    <w:rsid w:val="0035607A"/>
    <w:rsid w:val="003579EA"/>
    <w:rsid w:val="00374B4D"/>
    <w:rsid w:val="00377A5C"/>
    <w:rsid w:val="003B1CE7"/>
    <w:rsid w:val="003B509E"/>
    <w:rsid w:val="003C02D7"/>
    <w:rsid w:val="003C3E96"/>
    <w:rsid w:val="003D57F8"/>
    <w:rsid w:val="003E0979"/>
    <w:rsid w:val="003E1C85"/>
    <w:rsid w:val="003E5B00"/>
    <w:rsid w:val="003F2F13"/>
    <w:rsid w:val="004112D1"/>
    <w:rsid w:val="00411A8C"/>
    <w:rsid w:val="004141F3"/>
    <w:rsid w:val="004143CF"/>
    <w:rsid w:val="004171C6"/>
    <w:rsid w:val="0043613A"/>
    <w:rsid w:val="00440059"/>
    <w:rsid w:val="00447134"/>
    <w:rsid w:val="004547AD"/>
    <w:rsid w:val="00456BCD"/>
    <w:rsid w:val="00463321"/>
    <w:rsid w:val="00464F02"/>
    <w:rsid w:val="004778F4"/>
    <w:rsid w:val="00486730"/>
    <w:rsid w:val="004A2196"/>
    <w:rsid w:val="004A730C"/>
    <w:rsid w:val="004B5603"/>
    <w:rsid w:val="004C0D5E"/>
    <w:rsid w:val="004C2D05"/>
    <w:rsid w:val="004D2463"/>
    <w:rsid w:val="004D5318"/>
    <w:rsid w:val="004E2C9C"/>
    <w:rsid w:val="004F074B"/>
    <w:rsid w:val="0050494C"/>
    <w:rsid w:val="00506295"/>
    <w:rsid w:val="00511E2B"/>
    <w:rsid w:val="005259A5"/>
    <w:rsid w:val="00536BB8"/>
    <w:rsid w:val="00545E5B"/>
    <w:rsid w:val="00554858"/>
    <w:rsid w:val="0056744B"/>
    <w:rsid w:val="00572BD2"/>
    <w:rsid w:val="00585F7A"/>
    <w:rsid w:val="00590024"/>
    <w:rsid w:val="00591E4A"/>
    <w:rsid w:val="00593369"/>
    <w:rsid w:val="005A35EC"/>
    <w:rsid w:val="005B1DB3"/>
    <w:rsid w:val="005B4862"/>
    <w:rsid w:val="005B5D67"/>
    <w:rsid w:val="005B6B3A"/>
    <w:rsid w:val="005C6998"/>
    <w:rsid w:val="005E5F4C"/>
    <w:rsid w:val="005F7092"/>
    <w:rsid w:val="0060406C"/>
    <w:rsid w:val="006040C1"/>
    <w:rsid w:val="00606F2F"/>
    <w:rsid w:val="00610F58"/>
    <w:rsid w:val="00615BCC"/>
    <w:rsid w:val="006322A6"/>
    <w:rsid w:val="00632EDA"/>
    <w:rsid w:val="0066354C"/>
    <w:rsid w:val="0066380F"/>
    <w:rsid w:val="00665F77"/>
    <w:rsid w:val="0067788A"/>
    <w:rsid w:val="00684913"/>
    <w:rsid w:val="006B0FCE"/>
    <w:rsid w:val="006D0892"/>
    <w:rsid w:val="006D27DB"/>
    <w:rsid w:val="006D5A2C"/>
    <w:rsid w:val="006D7CD0"/>
    <w:rsid w:val="006F248D"/>
    <w:rsid w:val="006F3718"/>
    <w:rsid w:val="0070425D"/>
    <w:rsid w:val="00712F45"/>
    <w:rsid w:val="00724C21"/>
    <w:rsid w:val="00733353"/>
    <w:rsid w:val="00736005"/>
    <w:rsid w:val="00745B5B"/>
    <w:rsid w:val="00750AB7"/>
    <w:rsid w:val="00752BF4"/>
    <w:rsid w:val="007564B1"/>
    <w:rsid w:val="007614D2"/>
    <w:rsid w:val="0077144D"/>
    <w:rsid w:val="00796785"/>
    <w:rsid w:val="007A3E02"/>
    <w:rsid w:val="007A63A1"/>
    <w:rsid w:val="007B689A"/>
    <w:rsid w:val="007C6BB5"/>
    <w:rsid w:val="007D35F1"/>
    <w:rsid w:val="007F227F"/>
    <w:rsid w:val="007F6A8F"/>
    <w:rsid w:val="00816DD8"/>
    <w:rsid w:val="0082295C"/>
    <w:rsid w:val="008230CD"/>
    <w:rsid w:val="00844B6C"/>
    <w:rsid w:val="00854E79"/>
    <w:rsid w:val="00865A4A"/>
    <w:rsid w:val="0089142D"/>
    <w:rsid w:val="008957E3"/>
    <w:rsid w:val="008A750D"/>
    <w:rsid w:val="008C257E"/>
    <w:rsid w:val="008D02F0"/>
    <w:rsid w:val="008D2CF0"/>
    <w:rsid w:val="008E3C2E"/>
    <w:rsid w:val="008F629C"/>
    <w:rsid w:val="008F7B6E"/>
    <w:rsid w:val="00910C52"/>
    <w:rsid w:val="00920248"/>
    <w:rsid w:val="0095451E"/>
    <w:rsid w:val="009650CE"/>
    <w:rsid w:val="00966D82"/>
    <w:rsid w:val="009710A1"/>
    <w:rsid w:val="00972A70"/>
    <w:rsid w:val="00975F02"/>
    <w:rsid w:val="009A0B84"/>
    <w:rsid w:val="009A501E"/>
    <w:rsid w:val="009C0C97"/>
    <w:rsid w:val="009C382D"/>
    <w:rsid w:val="009C446C"/>
    <w:rsid w:val="009C7D96"/>
    <w:rsid w:val="009F334A"/>
    <w:rsid w:val="00A03494"/>
    <w:rsid w:val="00A07E7B"/>
    <w:rsid w:val="00A105E5"/>
    <w:rsid w:val="00A15C40"/>
    <w:rsid w:val="00A2133E"/>
    <w:rsid w:val="00A5639C"/>
    <w:rsid w:val="00A76474"/>
    <w:rsid w:val="00A83AD9"/>
    <w:rsid w:val="00A96EE3"/>
    <w:rsid w:val="00AA046E"/>
    <w:rsid w:val="00AB1623"/>
    <w:rsid w:val="00AD0470"/>
    <w:rsid w:val="00B03396"/>
    <w:rsid w:val="00B247AD"/>
    <w:rsid w:val="00B419F0"/>
    <w:rsid w:val="00B457DC"/>
    <w:rsid w:val="00B610A0"/>
    <w:rsid w:val="00B75A3C"/>
    <w:rsid w:val="00B80188"/>
    <w:rsid w:val="00B85989"/>
    <w:rsid w:val="00B95A94"/>
    <w:rsid w:val="00BA11C9"/>
    <w:rsid w:val="00BB5698"/>
    <w:rsid w:val="00BC4ED0"/>
    <w:rsid w:val="00BC6B1B"/>
    <w:rsid w:val="00BD6ACD"/>
    <w:rsid w:val="00BF0EC2"/>
    <w:rsid w:val="00C07F23"/>
    <w:rsid w:val="00C1417E"/>
    <w:rsid w:val="00C16FD7"/>
    <w:rsid w:val="00C222CD"/>
    <w:rsid w:val="00C34A65"/>
    <w:rsid w:val="00C34EBC"/>
    <w:rsid w:val="00C4074E"/>
    <w:rsid w:val="00C411A8"/>
    <w:rsid w:val="00C41BC8"/>
    <w:rsid w:val="00C47B6A"/>
    <w:rsid w:val="00C609B4"/>
    <w:rsid w:val="00C64ECB"/>
    <w:rsid w:val="00C76A13"/>
    <w:rsid w:val="00C90E32"/>
    <w:rsid w:val="00C936B2"/>
    <w:rsid w:val="00C95F6D"/>
    <w:rsid w:val="00CA0F8A"/>
    <w:rsid w:val="00CA7757"/>
    <w:rsid w:val="00CB3136"/>
    <w:rsid w:val="00CB5F17"/>
    <w:rsid w:val="00CF366B"/>
    <w:rsid w:val="00D02ACD"/>
    <w:rsid w:val="00D050AC"/>
    <w:rsid w:val="00D062B5"/>
    <w:rsid w:val="00D103AA"/>
    <w:rsid w:val="00D21E3D"/>
    <w:rsid w:val="00D37DB2"/>
    <w:rsid w:val="00D4301B"/>
    <w:rsid w:val="00D46F4D"/>
    <w:rsid w:val="00D533A3"/>
    <w:rsid w:val="00D5655E"/>
    <w:rsid w:val="00D56F36"/>
    <w:rsid w:val="00D61073"/>
    <w:rsid w:val="00D62E7C"/>
    <w:rsid w:val="00D644B4"/>
    <w:rsid w:val="00DA43D6"/>
    <w:rsid w:val="00DB0965"/>
    <w:rsid w:val="00DC3DD5"/>
    <w:rsid w:val="00DD360C"/>
    <w:rsid w:val="00DE182F"/>
    <w:rsid w:val="00DF1A6E"/>
    <w:rsid w:val="00DF27D0"/>
    <w:rsid w:val="00E125C3"/>
    <w:rsid w:val="00E42232"/>
    <w:rsid w:val="00E50D67"/>
    <w:rsid w:val="00E51459"/>
    <w:rsid w:val="00E53070"/>
    <w:rsid w:val="00EA10BA"/>
    <w:rsid w:val="00EA2185"/>
    <w:rsid w:val="00EB23EB"/>
    <w:rsid w:val="00EC7F97"/>
    <w:rsid w:val="00EE5071"/>
    <w:rsid w:val="00EE7F6B"/>
    <w:rsid w:val="00EF1A8C"/>
    <w:rsid w:val="00F046B1"/>
    <w:rsid w:val="00F3024A"/>
    <w:rsid w:val="00F50E22"/>
    <w:rsid w:val="00F54793"/>
    <w:rsid w:val="00F6548C"/>
    <w:rsid w:val="00F718E3"/>
    <w:rsid w:val="00F75E56"/>
    <w:rsid w:val="00FA05AA"/>
    <w:rsid w:val="00FA7B10"/>
    <w:rsid w:val="00FC3C0F"/>
    <w:rsid w:val="00FC51D2"/>
    <w:rsid w:val="00FD41AB"/>
    <w:rsid w:val="00FE2118"/>
    <w:rsid w:val="00FE3EE1"/>
    <w:rsid w:val="00FF41B6"/>
    <w:rsid w:val="00FF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ACD60"/>
  <w14:defaultImageDpi w14:val="32767"/>
  <w15:chartTrackingRefBased/>
  <w15:docId w15:val="{1912225C-6B46-4FED-9D84-B686FAB3F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227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2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5F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F6D"/>
    <w:rPr>
      <w:rFonts w:ascii="Segoe U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7D35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24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47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024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47C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E51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ibliography">
    <w:name w:val="Bibliography"/>
    <w:basedOn w:val="Normal"/>
    <w:next w:val="Normal"/>
    <w:uiPriority w:val="37"/>
    <w:unhideWhenUsed/>
    <w:rsid w:val="008E3C2E"/>
    <w:pPr>
      <w:tabs>
        <w:tab w:val="left" w:pos="144"/>
      </w:tabs>
      <w:spacing w:after="0" w:line="240" w:lineRule="auto"/>
      <w:ind w:left="144" w:hanging="144"/>
    </w:pPr>
  </w:style>
  <w:style w:type="character" w:styleId="CommentReference">
    <w:name w:val="annotation reference"/>
    <w:basedOn w:val="DefaultParagraphFont"/>
    <w:uiPriority w:val="99"/>
    <w:semiHidden/>
    <w:unhideWhenUsed/>
    <w:rsid w:val="00263B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3B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3BE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3B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3BEF"/>
    <w:rPr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4F07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7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7776D-4B8E-401A-A97D-DEBBBB966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192</cp:revision>
  <cp:lastPrinted>2025-06-25T08:49:00Z</cp:lastPrinted>
  <dcterms:created xsi:type="dcterms:W3CDTF">2025-05-30T09:28:00Z</dcterms:created>
  <dcterms:modified xsi:type="dcterms:W3CDTF">2025-08-08T12:27:00Z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id="eQvqonC0"/&gt;&lt;style id="http://www.zotero.org/styles/green-chemistry" hasBibliography="1" bibliographyStyleHasBeenSet="1"/&gt;&lt;prefs&gt;&lt;pref name="fieldType" value="Field"/&gt;&lt;pref name="automaticJournalA</vt:lpwstr>
  </property>
  <property fmtid="{D5CDD505-2E9C-101B-9397-08002B2CF9AE}" pid="3" name="ZOTERO_PREF_2">
    <vt:lpwstr>bbreviations" value="true"/&gt;&lt;/prefs&gt;&lt;/data&gt;</vt:lpwstr>
  </property>
</Properties>
</file>