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CE09FD" w14:textId="77777777" w:rsidR="0000247C" w:rsidRPr="008957E3" w:rsidRDefault="00122A20" w:rsidP="00C07F23">
      <w:pPr>
        <w:spacing w:after="240" w:line="360" w:lineRule="auto"/>
        <w:jc w:val="both"/>
        <w:rPr>
          <w:rFonts w:ascii="Arial" w:hAnsi="Arial" w:cs="Arial"/>
          <w:b/>
          <w:lang w:val="en-GB"/>
        </w:rPr>
      </w:pPr>
      <w:r w:rsidRPr="008957E3">
        <w:rPr>
          <w:rFonts w:ascii="Arial" w:hAnsi="Arial" w:cs="Arial"/>
          <w:b/>
          <w:lang w:val="en-GB"/>
        </w:rPr>
        <w:t>Reimagining industrial oxidants with nitrous oxide</w:t>
      </w:r>
      <w:r w:rsidR="00294433" w:rsidRPr="008957E3">
        <w:rPr>
          <w:rFonts w:ascii="Arial" w:hAnsi="Arial" w:cs="Arial"/>
          <w:b/>
          <w:lang w:val="en-GB"/>
        </w:rPr>
        <w:t xml:space="preserve"> from direct ammonia oxidation</w:t>
      </w:r>
    </w:p>
    <w:p w14:paraId="5162084D" w14:textId="77777777" w:rsidR="0000247C" w:rsidRPr="008957E3" w:rsidRDefault="0000247C" w:rsidP="00C07F23">
      <w:pPr>
        <w:spacing w:after="0" w:line="360" w:lineRule="auto"/>
        <w:jc w:val="both"/>
        <w:rPr>
          <w:rFonts w:ascii="Arial" w:hAnsi="Arial" w:cs="Arial"/>
          <w:b/>
          <w:bCs/>
          <w:sz w:val="20"/>
          <w:szCs w:val="20"/>
          <w:lang w:val="en-GB"/>
        </w:rPr>
      </w:pPr>
      <w:r w:rsidRPr="008957E3">
        <w:rPr>
          <w:rFonts w:ascii="Arial" w:hAnsi="Arial" w:cs="Arial"/>
          <w:b/>
          <w:bCs/>
          <w:sz w:val="20"/>
          <w:szCs w:val="20"/>
          <w:lang w:val="en-GB"/>
        </w:rPr>
        <w:t>Abstract</w:t>
      </w:r>
    </w:p>
    <w:p w14:paraId="38E54033" w14:textId="580AD593" w:rsidR="00F6548C" w:rsidRPr="008957E3" w:rsidRDefault="00F6548C" w:rsidP="00F6548C">
      <w:pPr>
        <w:spacing w:after="0" w:line="360" w:lineRule="auto"/>
        <w:jc w:val="both"/>
        <w:rPr>
          <w:rFonts w:ascii="Arial" w:eastAsiaTheme="minorEastAsia" w:hAnsi="Arial" w:cs="Arial"/>
          <w:bCs/>
          <w:sz w:val="20"/>
          <w:szCs w:val="20"/>
          <w:lang w:val="en-GB" w:eastAsia="zh-CN"/>
        </w:rPr>
      </w:pPr>
      <w:r w:rsidRPr="008957E3">
        <w:rPr>
          <w:rFonts w:ascii="Arial" w:eastAsiaTheme="minorEastAsia" w:hAnsi="Arial" w:cs="Arial"/>
          <w:bCs/>
          <w:sz w:val="20"/>
          <w:szCs w:val="20"/>
          <w:lang w:val="en-GB" w:eastAsia="zh-CN"/>
        </w:rPr>
        <w:t>Nitrous oxide, N</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O, is increasingly recognized as a selective oxidant in heterogen</w:t>
      </w:r>
      <w:r w:rsidR="005B5D67">
        <w:rPr>
          <w:rFonts w:ascii="Arial" w:eastAsiaTheme="minorEastAsia" w:hAnsi="Arial" w:cs="Arial"/>
          <w:bCs/>
          <w:sz w:val="20"/>
          <w:szCs w:val="20"/>
          <w:lang w:val="en-GB" w:eastAsia="zh-CN"/>
        </w:rPr>
        <w:t>e</w:t>
      </w:r>
      <w:r w:rsidRPr="008957E3">
        <w:rPr>
          <w:rFonts w:ascii="Arial" w:eastAsiaTheme="minorEastAsia" w:hAnsi="Arial" w:cs="Arial"/>
          <w:bCs/>
          <w:sz w:val="20"/>
          <w:szCs w:val="20"/>
          <w:lang w:val="en-GB" w:eastAsia="zh-CN"/>
        </w:rPr>
        <w:t>ous catalysis. However, its conventional multi-step production depends on the decomposition of ammonium nitrate, which poses significant risks due to the explosive nature of nitrate salts, as tragically exemplified by the 2020 Beirut explosion. The revolutionary one</w:t>
      </w:r>
      <w:r w:rsidRPr="008957E3">
        <w:rPr>
          <w:rFonts w:ascii="Arial" w:eastAsiaTheme="minorEastAsia" w:hAnsi="Arial" w:cs="Arial"/>
          <w:bCs/>
          <w:sz w:val="20"/>
          <w:szCs w:val="20"/>
          <w:lang w:val="en-GB" w:eastAsia="zh-CN"/>
        </w:rPr>
        <w:noBreakHyphen/>
        <w:t>step synthesis of N</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O from direct ammonia oxidation using heterogen</w:t>
      </w:r>
      <w:r w:rsidR="005B5D67">
        <w:rPr>
          <w:rFonts w:ascii="Arial" w:eastAsiaTheme="minorEastAsia" w:hAnsi="Arial" w:cs="Arial"/>
          <w:bCs/>
          <w:sz w:val="20"/>
          <w:szCs w:val="20"/>
          <w:lang w:val="en-GB" w:eastAsia="zh-CN"/>
        </w:rPr>
        <w:t>e</w:t>
      </w:r>
      <w:r w:rsidRPr="008957E3">
        <w:rPr>
          <w:rFonts w:ascii="Arial" w:eastAsiaTheme="minorEastAsia" w:hAnsi="Arial" w:cs="Arial"/>
          <w:bCs/>
          <w:sz w:val="20"/>
          <w:szCs w:val="20"/>
          <w:lang w:val="en-GB" w:eastAsia="zh-CN"/>
        </w:rPr>
        <w:t>ous catalysts offers a transformative opportunity to streamline production, potentially lowering costs and safety risks to meet the growing demand in the oxidant industry. In this work, we assess both the traditional multi</w:t>
      </w:r>
      <w:r w:rsidRPr="008957E3">
        <w:rPr>
          <w:rFonts w:ascii="Arial" w:eastAsiaTheme="minorEastAsia" w:hAnsi="Arial" w:cs="Arial"/>
          <w:bCs/>
          <w:sz w:val="20"/>
          <w:szCs w:val="20"/>
          <w:lang w:val="en-GB" w:eastAsia="zh-CN"/>
        </w:rPr>
        <w:noBreakHyphen/>
        <w:t>step and the one</w:t>
      </w:r>
      <w:r w:rsidRPr="008957E3">
        <w:rPr>
          <w:rFonts w:ascii="Arial" w:eastAsiaTheme="minorEastAsia" w:hAnsi="Arial" w:cs="Arial"/>
          <w:bCs/>
          <w:sz w:val="20"/>
          <w:szCs w:val="20"/>
          <w:lang w:val="en-GB" w:eastAsia="zh-CN"/>
        </w:rPr>
        <w:noBreakHyphen/>
        <w:t>step N</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O production routes utilizing fossil or electrolytic hydrogen</w:t>
      </w:r>
      <w:r w:rsidRPr="008957E3">
        <w:rPr>
          <w:rFonts w:ascii="Arial" w:eastAsiaTheme="minorEastAsia" w:hAnsi="Arial" w:cs="Arial"/>
          <w:bCs/>
          <w:sz w:val="20"/>
          <w:szCs w:val="20"/>
          <w:lang w:val="en-GB" w:eastAsia="zh-CN"/>
        </w:rPr>
        <w:noBreakHyphen/>
        <w:t>based ammonia as feedstock. Our results indicate that the one-step route outperforms the traditional route in production costs, climate change impacts, and safety metrics. Additionally, we compare the production costs and climate change impacts of the one</w:t>
      </w:r>
      <w:r w:rsidRPr="008957E3">
        <w:rPr>
          <w:rFonts w:ascii="Arial" w:eastAsiaTheme="minorEastAsia" w:hAnsi="Arial" w:cs="Arial"/>
          <w:bCs/>
          <w:sz w:val="20"/>
          <w:szCs w:val="20"/>
          <w:lang w:val="en-GB" w:eastAsia="zh-CN"/>
        </w:rPr>
        <w:noBreakHyphen/>
        <w:t>step N</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O and hydrogen peroxide (H</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O</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 routes, with H</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O</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 xml:space="preserve"> being the main alternative oxidant currently used in the industry. A blended scenario of 28% fossil and 72% green ammonia to produce N</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O matches the climate change impacts of H</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O</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 while reducing costs by approximately 40%. Lastly, the direct oxidation of benzene to phenol using N</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O shows at least 10% lower costs than the existing cumene oxidation process and similar climate change impacts. Overall, our findings provide a comprehensive evaluation of innovative N</w:t>
      </w:r>
      <w:r w:rsidRPr="008957E3">
        <w:rPr>
          <w:rFonts w:ascii="Arial" w:eastAsiaTheme="minorEastAsia" w:hAnsi="Arial" w:cs="Arial"/>
          <w:bCs/>
          <w:sz w:val="20"/>
          <w:szCs w:val="20"/>
          <w:vertAlign w:val="subscript"/>
          <w:lang w:val="en-GB" w:eastAsia="zh-CN"/>
        </w:rPr>
        <w:t>2</w:t>
      </w:r>
      <w:r w:rsidRPr="008957E3">
        <w:rPr>
          <w:rFonts w:ascii="Arial" w:eastAsiaTheme="minorEastAsia" w:hAnsi="Arial" w:cs="Arial"/>
          <w:bCs/>
          <w:sz w:val="20"/>
          <w:szCs w:val="20"/>
          <w:lang w:val="en-GB" w:eastAsia="zh-CN"/>
        </w:rPr>
        <w:t>O production routes, offering scientists actionable insights to drive the development of safer, more cost-effective, and sustainable oxidants for industrial applications.</w:t>
      </w:r>
    </w:p>
    <w:p w14:paraId="4DDCB048" w14:textId="77777777" w:rsidR="0000247C" w:rsidRPr="008957E3" w:rsidRDefault="0000247C" w:rsidP="00C07F23">
      <w:pPr>
        <w:spacing w:line="360" w:lineRule="auto"/>
        <w:rPr>
          <w:rFonts w:ascii="Arial" w:hAnsi="Arial" w:cs="Arial"/>
          <w:sz w:val="20"/>
          <w:szCs w:val="20"/>
          <w:lang w:val="en-GB"/>
        </w:rPr>
      </w:pPr>
      <w:r w:rsidRPr="008957E3">
        <w:rPr>
          <w:rFonts w:ascii="Arial" w:hAnsi="Arial" w:cs="Arial"/>
          <w:sz w:val="20"/>
          <w:szCs w:val="20"/>
          <w:lang w:val="en-GB"/>
        </w:rPr>
        <w:br w:type="page"/>
      </w:r>
    </w:p>
    <w:p w14:paraId="26638623" w14:textId="77777777" w:rsidR="003E0979" w:rsidRPr="008957E3" w:rsidRDefault="003E0979" w:rsidP="00C07F23">
      <w:pPr>
        <w:spacing w:after="0" w:line="360" w:lineRule="auto"/>
        <w:jc w:val="both"/>
        <w:rPr>
          <w:rFonts w:ascii="Arial" w:hAnsi="Arial" w:cs="Arial"/>
          <w:b/>
          <w:bCs/>
          <w:sz w:val="20"/>
          <w:szCs w:val="20"/>
          <w:lang w:val="en-GB"/>
        </w:rPr>
      </w:pPr>
      <w:r w:rsidRPr="008957E3">
        <w:rPr>
          <w:rFonts w:ascii="Arial" w:hAnsi="Arial" w:cs="Arial"/>
          <w:b/>
          <w:bCs/>
          <w:sz w:val="20"/>
          <w:szCs w:val="20"/>
          <w:lang w:val="en-GB"/>
        </w:rPr>
        <w:lastRenderedPageBreak/>
        <w:t>Introduction</w:t>
      </w:r>
    </w:p>
    <w:p w14:paraId="531DA73C" w14:textId="32B04F35" w:rsidR="00796785" w:rsidRPr="008957E3" w:rsidRDefault="0050494C" w:rsidP="00796785">
      <w:pPr>
        <w:spacing w:after="0" w:line="360" w:lineRule="auto"/>
        <w:jc w:val="both"/>
        <w:rPr>
          <w:rFonts w:ascii="Arial" w:hAnsi="Arial" w:cs="Arial"/>
          <w:sz w:val="20"/>
          <w:szCs w:val="20"/>
          <w:lang w:val="en-GB"/>
        </w:rPr>
      </w:pPr>
      <w:r w:rsidRPr="008957E3">
        <w:rPr>
          <w:rFonts w:ascii="Arial" w:hAnsi="Arial" w:cs="Arial"/>
          <w:sz w:val="20"/>
          <w:szCs w:val="20"/>
          <w:lang w:val="en-GB"/>
        </w:rPr>
        <w:t>Nitrous oxide, N</w:t>
      </w:r>
      <w:r w:rsidRPr="008957E3">
        <w:rPr>
          <w:rFonts w:ascii="Arial" w:hAnsi="Arial" w:cs="Arial"/>
          <w:sz w:val="20"/>
          <w:szCs w:val="20"/>
          <w:vertAlign w:val="subscript"/>
          <w:lang w:val="en-GB"/>
        </w:rPr>
        <w:t>2</w:t>
      </w:r>
      <w:r w:rsidRPr="008957E3">
        <w:rPr>
          <w:rFonts w:ascii="Arial" w:hAnsi="Arial" w:cs="Arial"/>
          <w:sz w:val="20"/>
          <w:szCs w:val="20"/>
          <w:lang w:val="en-GB"/>
        </w:rPr>
        <w:t>O, is emerging as a promising and versatile oxidant in heterogen</w:t>
      </w:r>
      <w:r w:rsidR="005B5D67">
        <w:rPr>
          <w:rFonts w:ascii="Arial" w:hAnsi="Arial" w:cs="Arial"/>
          <w:sz w:val="20"/>
          <w:szCs w:val="20"/>
          <w:lang w:val="en-GB"/>
        </w:rPr>
        <w:t>e</w:t>
      </w:r>
      <w:r w:rsidRPr="008957E3">
        <w:rPr>
          <w:rFonts w:ascii="Arial" w:hAnsi="Arial" w:cs="Arial"/>
          <w:sz w:val="20"/>
          <w:szCs w:val="20"/>
          <w:lang w:val="en-GB"/>
        </w:rPr>
        <w:t>ous catalysis, primarily due to its ability to selectively deliver oxygen atoms during oxidation reactions.</w:t>
      </w:r>
      <w:r w:rsidR="00CF366B" w:rsidRPr="008957E3">
        <w:rPr>
          <w:rFonts w:ascii="Arial" w:hAnsi="Arial" w:cs="Arial"/>
          <w:sz w:val="20"/>
          <w:szCs w:val="20"/>
          <w:lang w:val="en-GB"/>
        </w:rPr>
        <w:fldChar w:fldCharType="begin"/>
      </w:r>
      <w:r w:rsidR="00051F2B" w:rsidRPr="008957E3">
        <w:rPr>
          <w:rFonts w:ascii="Arial" w:hAnsi="Arial" w:cs="Arial"/>
          <w:sz w:val="20"/>
          <w:szCs w:val="20"/>
          <w:lang w:val="en-GB"/>
        </w:rPr>
        <w:instrText xml:space="preserve"> ADDIN ZOTERO_ITEM CSL_CITATION {"citationID":"zAn21zq1","properties":{"formattedCitation":"\\super 1,2\\nosupersub{}","plainCitation":"1,2","noteIndex":0},"citationItems":[{"id":783,"uris":["http://zotero.org/users/local/gMmtBwrT/items/8NM6UJZQ"],"itemData":{"id":783,"type":"article-journal","abstract":"Abstract\n            \n              Nitrous oxide (N\n              2\n              O) has shown application potential as an oxidant to directly convert substances such as methane, ethane, and benzene into useful substances such as methanol, styrene, phenols, and carbonyl compounds. It decomposes greenhouse gases and simultaneously produces highly applicable substances. Research have been performed to improve the conversion of N\n              2\n              O and reactants in this process and to increase the selectivity of useful chemicals. Catalyst modifications have been tried to favour the production of reactive oxygen species and prevent further oxidation for better performances. This review paper focuses on various methods to increase the efficiency of heterogeneous catalytic N\n              2\n              O</w:instrText>
      </w:r>
      <w:r w:rsidR="00051F2B" w:rsidRPr="008957E3">
        <w:rPr>
          <w:rFonts w:ascii="Cambria Math" w:hAnsi="Cambria Math" w:cs="Cambria Math"/>
          <w:sz w:val="20"/>
          <w:szCs w:val="20"/>
          <w:lang w:val="en-GB"/>
        </w:rPr>
        <w:instrText>‐</w:instrText>
      </w:r>
      <w:r w:rsidR="00051F2B" w:rsidRPr="008957E3">
        <w:rPr>
          <w:rFonts w:ascii="Arial" w:hAnsi="Arial" w:cs="Arial"/>
          <w:sz w:val="20"/>
          <w:szCs w:val="20"/>
          <w:lang w:val="en-GB"/>
        </w:rPr>
        <w:instrText>assisted selective oxidation within the last five years, particularly on catalyst improvements. Results are categorised based on targeted products (oxygenates, hydrocarbons and ring compounds), revealing the approaches and achievements of each researcher. The catalytic performance can be optimised by changing the phase, surface area and acidity of the catalyst through metal loading and changes in manufacturing methods. To increase the practicality of this technology, additional research needs to be performed.","container-title":"ChemSusChem","DOI":"10.1002/cssc.202402728","ISSN":"1864-5631, 1864-564X","journalAbbreviation":"ChemSusChem","language":"en","page":"e202402728","source":"DOI.org (Crossref)","title":"Valorisation of Greenhouse Gas for Commodity Chemical Production–Nitrous Oxide as Oxidising Agent for Heterogeneous Catalysis","author":[{"family":"Lee","given":"Seonho"},{"family":"Park","given":"Seong</w:instrText>
      </w:r>
      <w:r w:rsidR="00051F2B" w:rsidRPr="008957E3">
        <w:rPr>
          <w:rFonts w:ascii="Cambria Math" w:hAnsi="Cambria Math" w:cs="Cambria Math"/>
          <w:sz w:val="20"/>
          <w:szCs w:val="20"/>
          <w:lang w:val="en-GB"/>
        </w:rPr>
        <w:instrText>‐</w:instrText>
      </w:r>
      <w:r w:rsidR="00051F2B" w:rsidRPr="008957E3">
        <w:rPr>
          <w:rFonts w:ascii="Arial" w:hAnsi="Arial" w:cs="Arial"/>
          <w:sz w:val="20"/>
          <w:szCs w:val="20"/>
          <w:lang w:val="en-GB"/>
        </w:rPr>
        <w:instrText xml:space="preserve">Jik"},{"family":"Lee","given":"Jechan"}],"issued":{"date-parts":[["2025",4,3]]}}},{"id":785,"uris":["http://zotero.org/users/local/gMmtBwrT/items/SCJ4B3XS"],"itemData":{"id":785,"type":"article-journal","abstract":"Nitrous oxide (N\n              2\n              O, ‘laughing gas’) is a very inert molecule. Still, it can be used as a reagent in synthetic organic and inorganic chemistry, serving as O-atom donor, as N-atom donor, or as a oxidant in metal-catalyzed reactions.\n            \n          , \n            \n              This review article summarizes efforts to use nitrous oxide (N\n              2\n              O, ‘laughing gas’) as a reagent in synthetic chemistry. The focus will be on reactions which are carried out in homogeneous solution under (relatively) mild conditions. First, the utilization of N\n              2\n              O as an oxidant is discussed. Due to the low intrinsic reactivity of N\n              2\n              O, selective oxidation reactions of highly reactive compounds are possible. Furthermore, it is shown that transition metal complexes can be used to catalyze oxidation reactions, in some cases with high turnover numbers. In the final part of this overview, the utilization of N\n              2\n              O as a building block for more complex molecules is discussed. It is shown that N\n              2\n              O can be used as an N-atom donor for the synthesis of interesting organic molecules such as triazenes and azo dyes.","container-title":"Chemical Society Reviews","DOI":"10.1039/C5CS00339C","ISSN":"0306-0012, 1460-4744","issue":"17","journalAbbreviation":"Chem. Soc. Rev.","language":"en","page":"6375-6386","source":"DOI.org (Crossref)","title":"Synthetic chemistry with nitrous oxide","volume":"44","author":[{"family":"Severin","given":"Kay"}],"issued":{"date-parts":[["2015"]]}}}],"schema":"https://github.com/citation-style-language/schema/raw/master/csl-citation.json"} </w:instrText>
      </w:r>
      <w:r w:rsidR="00CF366B" w:rsidRPr="008957E3">
        <w:rPr>
          <w:rFonts w:ascii="Arial" w:hAnsi="Arial" w:cs="Arial"/>
          <w:sz w:val="20"/>
          <w:szCs w:val="20"/>
          <w:lang w:val="en-GB"/>
        </w:rPr>
        <w:fldChar w:fldCharType="separate"/>
      </w:r>
      <w:r w:rsidR="00B80188" w:rsidRPr="008957E3">
        <w:rPr>
          <w:rFonts w:ascii="Arial" w:hAnsi="Arial" w:cs="Arial"/>
          <w:sz w:val="20"/>
          <w:szCs w:val="24"/>
          <w:vertAlign w:val="superscript"/>
          <w:lang w:val="en-GB"/>
        </w:rPr>
        <w:t>1,2</w:t>
      </w:r>
      <w:r w:rsidR="00CF366B" w:rsidRPr="008957E3">
        <w:rPr>
          <w:rFonts w:ascii="Arial" w:hAnsi="Arial" w:cs="Arial"/>
          <w:sz w:val="20"/>
          <w:szCs w:val="20"/>
          <w:lang w:val="en-GB"/>
        </w:rPr>
        <w:fldChar w:fldCharType="end"/>
      </w:r>
      <w:r w:rsidRPr="008957E3">
        <w:rPr>
          <w:rFonts w:ascii="Arial" w:hAnsi="Arial" w:cs="Arial"/>
          <w:sz w:val="20"/>
          <w:szCs w:val="20"/>
          <w:lang w:val="en-GB"/>
        </w:rPr>
        <w:t xml:space="preserve"> This unique feature minimizes overoxidation and by-product formation, making N</w:t>
      </w:r>
      <w:r w:rsidRPr="008957E3">
        <w:rPr>
          <w:rFonts w:ascii="Arial" w:hAnsi="Arial" w:cs="Arial"/>
          <w:sz w:val="20"/>
          <w:szCs w:val="20"/>
          <w:vertAlign w:val="subscript"/>
          <w:lang w:val="en-GB"/>
        </w:rPr>
        <w:t>2</w:t>
      </w:r>
      <w:r w:rsidRPr="008957E3">
        <w:rPr>
          <w:rFonts w:ascii="Arial" w:hAnsi="Arial" w:cs="Arial"/>
          <w:sz w:val="20"/>
          <w:szCs w:val="20"/>
          <w:lang w:val="en-GB"/>
        </w:rPr>
        <w:t>O an attractive alternative to conventional oxidants like hydrogen peroxide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w:t>
      </w:r>
      <w:r w:rsidR="00106645" w:rsidRPr="008957E3">
        <w:rPr>
          <w:rFonts w:ascii="Arial" w:hAnsi="Arial" w:cs="Arial"/>
          <w:sz w:val="20"/>
          <w:szCs w:val="20"/>
          <w:lang w:val="en-GB"/>
        </w:rPr>
        <w:fldChar w:fldCharType="begin"/>
      </w:r>
      <w:r w:rsidR="00106645" w:rsidRPr="008957E3">
        <w:rPr>
          <w:rFonts w:ascii="Arial" w:hAnsi="Arial" w:cs="Arial"/>
          <w:sz w:val="20"/>
          <w:szCs w:val="20"/>
          <w:lang w:val="en-GB"/>
        </w:rPr>
        <w:instrText xml:space="preserve"> ADDIN ZOTERO_ITEM CSL_CITATION {"citationID":"bBjtEaUM","properties":{"formattedCitation":"\\super 3\\nosupersub{}","plainCitation":"3","noteIndex":0},"citationItems":[{"id":787,"uris":["http://zotero.org/users/local/gMmtBwrT/items/7HAT52MC"],"itemData":{"id":787,"type":"article-journal","abstract":"Continuous catalytic conversion of methane to methanol was investigated on Fe-MOR at atmospheric pressure and moderate temperatures (270–300 ◦C) with an emphasis on improving the methanol selectivity. Results showed a relation between the methanol selectivity, iron content and mesopore addition on Fe-MOR as well as H2O concentration in the feed. Decreasing the iron content of Fe-MOR, adding mesopores to MOR or increasing water vapor pressure from 3 to 21 kPa gave higher methanol selectivity. Addition of mesopores suppressed the over-oxidation products (CO and CO2) and coke formation significantly, resulting in an increased catalyst life­ time as well as higher methanol turnover frequency (2.0 vs. 3.9 h− 1 at 320 ◦C). Using DFT methods several active site candidates were analyzed regarding their formation energies, UV–Vis spectra and methanol formation pathways. DFT studies suggest that [Fe2O2]2+ or [HOFe(μ-O)FeOH]2+ sites on the 8 member rings are active for direct methane to methanol conversion.","container-title":"Journal of Catalysis","DOI":"10.1016/j.jcat.2023.115113","ISSN":"00219517","journalAbbreviation":"Journal of Catalysis","language":"en","page":"115113","source":"DOI.org (Crossref)","title":"Conditions for higher methanol selectivity for partial CH4 oxidation over Fe-MOR using N2O as the oxidant and comparison to Fe-SSZ-13, Fe-SSZ-39, Fe-FER, and Fe-ZSM-5","volume":"427","author":[{"family":"Gokce","given":"Iklim"},{"family":"Ozbek","given":"M. Olus"},{"family":"Ipek","given":"Bahar"}],"issued":{"date-parts":[["2023",11]]}}}],"schema":"https://github.com/citation-style-language/schema/raw/master/csl-citation.json"} </w:instrText>
      </w:r>
      <w:r w:rsidR="00106645" w:rsidRPr="008957E3">
        <w:rPr>
          <w:rFonts w:ascii="Arial" w:hAnsi="Arial" w:cs="Arial"/>
          <w:sz w:val="20"/>
          <w:szCs w:val="20"/>
          <w:lang w:val="en-GB"/>
        </w:rPr>
        <w:fldChar w:fldCharType="separate"/>
      </w:r>
      <w:r w:rsidR="00B80188" w:rsidRPr="008957E3">
        <w:rPr>
          <w:rFonts w:ascii="Arial" w:hAnsi="Arial" w:cs="Arial"/>
          <w:sz w:val="20"/>
          <w:szCs w:val="24"/>
          <w:vertAlign w:val="superscript"/>
          <w:lang w:val="en-GB"/>
        </w:rPr>
        <w:t>3</w:t>
      </w:r>
      <w:r w:rsidR="00106645" w:rsidRPr="008957E3">
        <w:rPr>
          <w:rFonts w:ascii="Arial" w:hAnsi="Arial" w:cs="Arial"/>
          <w:sz w:val="20"/>
          <w:szCs w:val="20"/>
          <w:lang w:val="en-GB"/>
        </w:rPr>
        <w:fldChar w:fldCharType="end"/>
      </w:r>
      <w:r w:rsidRPr="008957E3">
        <w:rPr>
          <w:rFonts w:ascii="Arial" w:hAnsi="Arial" w:cs="Arial"/>
          <w:sz w:val="20"/>
          <w:szCs w:val="20"/>
          <w:lang w:val="en-GB"/>
        </w:rPr>
        <w:t xml:space="preserve"> Moreover, N</w:t>
      </w:r>
      <w:r w:rsidRPr="008957E3">
        <w:rPr>
          <w:rFonts w:ascii="Arial" w:hAnsi="Arial" w:cs="Arial"/>
          <w:sz w:val="20"/>
          <w:szCs w:val="20"/>
          <w:vertAlign w:val="subscript"/>
          <w:lang w:val="en-GB"/>
        </w:rPr>
        <w:t>2</w:t>
      </w:r>
      <w:r w:rsidRPr="008957E3">
        <w:rPr>
          <w:rFonts w:ascii="Arial" w:hAnsi="Arial" w:cs="Arial"/>
          <w:sz w:val="20"/>
          <w:szCs w:val="20"/>
          <w:lang w:val="en-GB"/>
        </w:rPr>
        <w:t>O’s benign by-product—nitrogen gas—and its favourable properties, such as high solubility in non-polar media</w:t>
      </w:r>
      <w:r w:rsidR="00EA10BA" w:rsidRPr="008957E3">
        <w:rPr>
          <w:rFonts w:ascii="Arial" w:hAnsi="Arial" w:cs="Arial"/>
          <w:sz w:val="20"/>
          <w:szCs w:val="20"/>
          <w:lang w:val="en-GB"/>
        </w:rPr>
        <w:fldChar w:fldCharType="begin"/>
      </w:r>
      <w:r w:rsidR="00EA10BA" w:rsidRPr="008957E3">
        <w:rPr>
          <w:rFonts w:ascii="Arial" w:hAnsi="Arial" w:cs="Arial"/>
          <w:sz w:val="20"/>
          <w:szCs w:val="20"/>
          <w:lang w:val="en-GB"/>
        </w:rPr>
        <w:instrText xml:space="preserve"> ADDIN ZOTERO_ITEM CSL_CITATION {"citationID":"DTCoeDlA","properties":{"formattedCitation":"\\super 4\\nosupersub{}","plainCitation":"4","noteIndex":0},"citationItems":[{"id":790,"uris":["http://zotero.org/users/local/gMmtBwrT/items/JCWKZ23K"],"itemData":{"id":790,"type":"article-journal","container-title":"Journal of Chemical &amp; Engineering Data","DOI":"10.1021/je60013a039","ISSN":"0021-9568, 1520-5134","issue":"2","journalAbbreviation":"J. Chem. Eng. Data","language":"en","page":"288-289","source":"DOI.org (Crossref)","title":"Solubility of Nitrous Oxide in Some Nonpolar Solvents.","volume":"7","author":[{"family":"Yen","given":"Lewis Chinsun"},{"family":"McKetta","given":"J. J."}],"issued":{"date-parts":[["1962",4]]}}}],"schema":"https://github.com/citation-style-language/schema/raw/master/csl-citation.json"} </w:instrText>
      </w:r>
      <w:r w:rsidR="00EA10BA" w:rsidRPr="008957E3">
        <w:rPr>
          <w:rFonts w:ascii="Arial" w:hAnsi="Arial" w:cs="Arial"/>
          <w:sz w:val="20"/>
          <w:szCs w:val="20"/>
          <w:lang w:val="en-GB"/>
        </w:rPr>
        <w:fldChar w:fldCharType="separate"/>
      </w:r>
      <w:r w:rsidR="00B80188" w:rsidRPr="008957E3">
        <w:rPr>
          <w:rFonts w:ascii="Arial" w:hAnsi="Arial" w:cs="Arial"/>
          <w:sz w:val="20"/>
          <w:szCs w:val="24"/>
          <w:vertAlign w:val="superscript"/>
          <w:lang w:val="en-GB"/>
        </w:rPr>
        <w:t>4</w:t>
      </w:r>
      <w:r w:rsidR="00EA10BA" w:rsidRPr="008957E3">
        <w:rPr>
          <w:rFonts w:ascii="Arial" w:hAnsi="Arial" w:cs="Arial"/>
          <w:sz w:val="20"/>
          <w:szCs w:val="20"/>
          <w:lang w:val="en-GB"/>
        </w:rPr>
        <w:fldChar w:fldCharType="end"/>
      </w:r>
      <w:r w:rsidRPr="008957E3">
        <w:rPr>
          <w:rFonts w:ascii="Arial" w:hAnsi="Arial" w:cs="Arial"/>
          <w:sz w:val="20"/>
          <w:szCs w:val="20"/>
          <w:lang w:val="en-GB"/>
        </w:rPr>
        <w:t xml:space="preserve"> and thermal stability,</w:t>
      </w:r>
      <w:r w:rsidR="00EA10BA" w:rsidRPr="008957E3">
        <w:rPr>
          <w:rFonts w:ascii="Arial" w:hAnsi="Arial" w:cs="Arial"/>
          <w:sz w:val="20"/>
          <w:szCs w:val="20"/>
          <w:lang w:val="en-GB"/>
        </w:rPr>
        <w:fldChar w:fldCharType="begin"/>
      </w:r>
      <w:r w:rsidR="00EA10BA" w:rsidRPr="008957E3">
        <w:rPr>
          <w:rFonts w:ascii="Arial" w:hAnsi="Arial" w:cs="Arial"/>
          <w:sz w:val="20"/>
          <w:szCs w:val="20"/>
          <w:lang w:val="en-GB"/>
        </w:rPr>
        <w:instrText xml:space="preserve"> ADDIN ZOTERO_ITEM CSL_CITATION {"citationID":"UK3WGQzg","properties":{"formattedCitation":"\\super 5\\nosupersub{}","plainCitation":"5","noteIndex":0},"citationItems":[{"id":791,"uris":["http://zotero.org/users/local/gMmtBwrT/items/ZHQ7ULB2"],"itemData":{"id":791,"type":"article-journal","container-title":"Chemical Engineering Science","DOI":"10.1016/S0009-2509(00)00386-9","ISSN":"00092509","issue":"4","journalAbbreviation":"Chemical Engineering Science","language":"en","license":"https://www.elsevier.com/tdm/userlicense/1.0/","page":"1587-1595","source":"DOI.org (Crossref)","title":"Thermal N&lt;sub&gt;2&lt;/sub&gt;O decomposition in regenerative heat exchanger reactors","volume":"56","author":[{"family":"Galle","given":"M"},{"family":"Agar","given":"D.W"},{"family":"Watzenberger","given":"O"}],"issued":{"date-parts":[["2001",2]]}}}],"schema":"https://github.com/citation-style-language/schema/raw/master/csl-citation.json"} </w:instrText>
      </w:r>
      <w:r w:rsidR="00EA10BA" w:rsidRPr="008957E3">
        <w:rPr>
          <w:rFonts w:ascii="Arial" w:hAnsi="Arial" w:cs="Arial"/>
          <w:sz w:val="20"/>
          <w:szCs w:val="20"/>
          <w:lang w:val="en-GB"/>
        </w:rPr>
        <w:fldChar w:fldCharType="separate"/>
      </w:r>
      <w:r w:rsidR="00B80188" w:rsidRPr="008957E3">
        <w:rPr>
          <w:rFonts w:ascii="Arial" w:hAnsi="Arial" w:cs="Arial"/>
          <w:sz w:val="20"/>
          <w:szCs w:val="24"/>
          <w:vertAlign w:val="superscript"/>
          <w:lang w:val="en-GB"/>
        </w:rPr>
        <w:t>5</w:t>
      </w:r>
      <w:r w:rsidR="00EA10BA" w:rsidRPr="008957E3">
        <w:rPr>
          <w:rFonts w:ascii="Arial" w:hAnsi="Arial" w:cs="Arial"/>
          <w:sz w:val="20"/>
          <w:szCs w:val="20"/>
          <w:lang w:val="en-GB"/>
        </w:rPr>
        <w:fldChar w:fldCharType="end"/>
      </w:r>
      <w:r w:rsidRPr="008957E3">
        <w:rPr>
          <w:rFonts w:ascii="Arial" w:hAnsi="Arial" w:cs="Arial"/>
          <w:sz w:val="20"/>
          <w:szCs w:val="20"/>
          <w:lang w:val="en-GB"/>
        </w:rPr>
        <w:t xml:space="preserve"> further enhance its industrial a</w:t>
      </w:r>
      <w:bookmarkStart w:id="0" w:name="_GoBack"/>
      <w:bookmarkEnd w:id="0"/>
      <w:r w:rsidRPr="008957E3">
        <w:rPr>
          <w:rFonts w:ascii="Arial" w:hAnsi="Arial" w:cs="Arial"/>
          <w:sz w:val="20"/>
          <w:szCs w:val="20"/>
          <w:lang w:val="en-GB"/>
        </w:rPr>
        <w:t>ppeal. Early breakthroughs, such as the one-step oxidation of benzene to phenol using N</w:t>
      </w:r>
      <w:r w:rsidRPr="008957E3">
        <w:rPr>
          <w:rFonts w:ascii="Arial" w:hAnsi="Arial" w:cs="Arial"/>
          <w:sz w:val="20"/>
          <w:szCs w:val="20"/>
          <w:vertAlign w:val="subscript"/>
          <w:lang w:val="en-GB"/>
        </w:rPr>
        <w:t>2</w:t>
      </w:r>
      <w:r w:rsidRPr="008957E3">
        <w:rPr>
          <w:rFonts w:ascii="Arial" w:hAnsi="Arial" w:cs="Arial"/>
          <w:sz w:val="20"/>
          <w:szCs w:val="20"/>
          <w:lang w:val="en-GB"/>
        </w:rPr>
        <w:t xml:space="preserve">O over </w:t>
      </w:r>
      <w:r w:rsidR="000A384D" w:rsidRPr="008957E3">
        <w:rPr>
          <w:rFonts w:ascii="Arial" w:hAnsi="Arial" w:cs="Arial"/>
          <w:sz w:val="20"/>
          <w:szCs w:val="20"/>
          <w:lang w:val="en-GB"/>
        </w:rPr>
        <w:t>Fe</w:t>
      </w:r>
      <w:r w:rsidR="006D0892" w:rsidRPr="008957E3">
        <w:rPr>
          <w:rFonts w:ascii="Arial" w:hAnsi="Arial" w:cs="Arial"/>
          <w:sz w:val="20"/>
          <w:szCs w:val="20"/>
          <w:lang w:val="en-GB"/>
        </w:rPr>
        <w:t>-</w:t>
      </w:r>
      <w:r w:rsidR="000A384D" w:rsidRPr="008957E3">
        <w:rPr>
          <w:rFonts w:ascii="Arial" w:hAnsi="Arial" w:cs="Arial"/>
          <w:sz w:val="20"/>
          <w:szCs w:val="20"/>
          <w:lang w:val="en-GB"/>
        </w:rPr>
        <w:t>ZSM</w:t>
      </w:r>
      <w:r w:rsidR="006D0892" w:rsidRPr="008957E3">
        <w:rPr>
          <w:rFonts w:ascii="Arial" w:hAnsi="Arial" w:cs="Arial"/>
          <w:sz w:val="20"/>
          <w:szCs w:val="20"/>
          <w:lang w:val="en-GB"/>
        </w:rPr>
        <w:t>-</w:t>
      </w:r>
      <w:r w:rsidR="000A384D" w:rsidRPr="008957E3">
        <w:rPr>
          <w:rFonts w:ascii="Arial" w:hAnsi="Arial" w:cs="Arial"/>
          <w:sz w:val="20"/>
          <w:szCs w:val="20"/>
          <w:lang w:val="en-GB"/>
        </w:rPr>
        <w:t>5 catalysts, have demonstrated its potential for highly selective transformations.</w:t>
      </w:r>
      <w:r w:rsidR="007F6A8F" w:rsidRPr="008957E3">
        <w:rPr>
          <w:rFonts w:ascii="Arial" w:hAnsi="Arial" w:cs="Arial"/>
          <w:sz w:val="20"/>
          <w:szCs w:val="20"/>
          <w:lang w:val="en-GB"/>
        </w:rPr>
        <w:fldChar w:fldCharType="begin"/>
      </w:r>
      <w:r w:rsidR="00EF1A8C" w:rsidRPr="008957E3">
        <w:rPr>
          <w:rFonts w:ascii="Arial" w:hAnsi="Arial" w:cs="Arial"/>
          <w:sz w:val="20"/>
          <w:szCs w:val="20"/>
          <w:lang w:val="en-GB"/>
        </w:rPr>
        <w:instrText xml:space="preserve"> ADDIN ZOTERO_ITEM CSL_CITATION {"citationID":"uMGvvF0H","properties":{"formattedCitation":"\\super 6\\uc0\\u8211{}9\\nosupersub{}","plainCitation":"6–9","noteIndex":0},"citationItems":[{"id":793,"uris":["http://zotero.org/users/local/gMmtBwrT/items/K3I4JMJ2"],"itemData":{"id":793,"type":"article-journal","abstract":"Based on the information from GC-MS on-line measurement and thermodynamic analysis, the reaction network of gas-phase hydroxylation of benzene with nitrous oxide over Fe-ZSM-5 zeolite was systematically investigated. The main reactions and side reactions were identified, and a kinetic reaction network was proposed as follows: benzene+N2O→phenol→CO/CO2. According to the mechanism, the experimental results were interpreted reasonably. The hydroxylation kinetic experiments were carried out in an isothermal integral microreactor under the conditions of n(benzene)/n(N2O)=8-12, T=663-763 K and atmospheric pressure. Based on the reaction network proposed, the parameters in the rate model of power-law were estimated by means of Gauss-Newton optimal method with the LevenbergMarquardt modifications, and the results were in good agreement with the experimental data.","container-title":"Korean Journal of Chemical Engineering","DOI":"10.1007/s11814-010-0259-7","ISSN":"0256-1115, 1975-7220","issue":"6","journalAbbreviation":"Korean J. Chem. Eng.","language":"en","license":"http://www.springer.com/tdm","page":"1700-1706","source":"DOI.org (Crossref)","title":"Reaction kinetics of phenol synthesis through one-step oxidation of benzene with N2O over Fe-ZSM-5 zeolite","volume":"27","author":[{"family":"Mi","given":"Guanjie"},{"family":"Li","given":"Jianwei"},{"family":"Zhang","given":"Jie"},{"family":"Chen","given":"Biaohua"}],"issued":{"date-parts":[["2010",11]]}}},{"id":795,"uris":["http://zotero.org/users/local/gMmtBwrT/items/S743TTSF"],"itemData":{"id":795,"type":"article-journal","abstract":"Phenol is an important chemical compound since it is a precursor of the industrial production of many materials and useful compounds. Nowadays, phenol is industrially produced from benzene by the multi-step “cumene process”, which is energy consuming due to high temperature and high pressure. Moreover, in the “cumene process”, the highly explosive cumene hydroperoxide is produced as an intermediate. To overcome these disadvantages, it would be useful to develop green alternatives for the synthesis of phenol that are more eﬃcient and environmentally benign. In this regard, great interest is devoted to processes in which the one-step oxidation of benzene to phenol is achieved, thanks to the use of suitable catalysts and oxidant species. This review article discusses the direct oxidation of benzene to phenol in the liquid phase using diﬀerent catalyst formulations, including homogeneous and heterogeneous catalysts and photocatalysts, and focuses on the reaction mechanisms involved in the selective conversion of benzene to phenol in the liquid phase.","container-title":"Catalysts","DOI":"10.3390/catal10121424","ISSN":"2073-4344","issue":"12","journalAbbreviation":"Catalysts","language":"en","license":"https://creativecommons.org/licenses/by/4.0/","page":"1424","source":"DOI.org (Crossref)","title":"One-Step Catalytic or Photocatalytic Oxidation of Benzene to Phenol: Possible Alternative Routes for Phenol Synthesis?","title-short":"One-Step Catalytic or Photocatalytic Oxidation of Benzene to Phenol","volume":"10","author":[{"family":"Mancuso","given":"Antonietta"},{"family":"Sacco","given":"Olga"},{"family":"Sannino","given":"Diana"},{"family":"Venditto","given":"Vincenzo"},{"family":"Vaiano","given":"Vincenzo"}],"issued":{"date-parts":[["2020",12,5]]}}},{"id":797,"uris":["http://zotero.org/users/local/gMmtBwrT/items/U5BBZYFL"],"itemData":{"id":797,"type":"article-journal","abstract":"One step oxidation of benzene to phenol by nitrous oxide was studied over Fe-ZSM-5 xeolites. In addition to the case of nitrous oxide decomposition studied previously, catalytic properties of xeolitea were determined by the presence of iron. New effective catalysta were synthesized. Some of them provided 20-25% benzene conversion with 100%phenol selectivity. In addition to the chemical composition of the catalyst the nature of the oxidant (NxO, Ox) was shown to be of exceptional importance for the rate and the direction of benzene oxidation.","container-title":"Applied Catalysis A: General","DOI":"10.1016/0926-860X(92)80003-U","ISSN":"0926860X","issue":"1","journalAbbreviation":"Applied Catalysis A: General","language":"en","license":"https://www.elsevier.com/tdm/userlicense/1.0/","page":"31-36","source":"DOI.org (Crossref)","title":"Oxidation of benzene to phenol by nitrous oxide over Fe-ZSM-5 zeolites","volume":"82","author":[{"family":"Panov","given":"G.I."},{"family":"Sheveleva","given":"G.A."},{"family":"Kharitonov","given":"A.S."},{"family":"Romannikov","given":"V.N."},{"family":"Vostrikova","given":"L.A."}],"issued":{"date-parts":[["1992",3]]}}},{"id":799,"uris":["http://zotero.org/users/local/gMmtBwrT/items/6WAFCZEK"],"itemData":{"id":799,"type":"article-journal","abstract":"Benzene to phenol oxidation by nitrous oxide over the Fe-ZSM-5 catalyst was studied at 648–698 K and near atmospheric pressure using a bench scale plug ﬂow reactor with a feed gas concentration of 30–80 mol% benzene, 1.5–5.0 mol% N2O, and 0–4.7 mol% phenol. At these conditions, the selectivity of benzene and N2O to phenol exceeded 98 and 95%, respectively. Benzoquinone, hydroquinone, catechol, and carbon oxides were the main by-products. The rate of N2O consumption was observed to be ﬁrst order with respect to N2O concentration, and was observed to decrease with increasing benzene and phenol concentration. The apparent activation energy was 126 kJ/mol. A sorption kinetic model was developed. It was assumed that benzene and phenol are in sorption equilibrium between the gas-phase and the zeolite micropore volume. The limiting step of the overall reaction sequence is the reaction between sorbed N2O and catalyst active sites bound with phenol. The interaction of sorbed benzene and phenol with oxidized </w:instrText>
      </w:r>
      <w:r w:rsidR="00EF1A8C" w:rsidRPr="008957E3">
        <w:rPr>
          <w:rFonts w:ascii="Arial Unicode MS" w:eastAsia="Arial Unicode MS" w:hAnsi="Arial Unicode MS" w:cs="Arial Unicode MS"/>
          <w:sz w:val="20"/>
          <w:szCs w:val="20"/>
          <w:lang w:val="en-GB"/>
        </w:rPr>
        <w:instrText>␣</w:instrText>
      </w:r>
      <w:r w:rsidR="00EF1A8C" w:rsidRPr="008957E3">
        <w:rPr>
          <w:rFonts w:ascii="Arial" w:hAnsi="Arial" w:cs="Arial"/>
          <w:sz w:val="20"/>
          <w:szCs w:val="20"/>
          <w:lang w:val="en-GB"/>
        </w:rPr>
        <w:instrText xml:space="preserve">-sites is relatively fast. The equilibrium constant for benzene sorption on ZSM-5 was estimated from the kinetic data and was found to be in a good agreement with the sorption measurements reported in the literature. It was observed that the ratio of the speciﬁc rate of phenol formation to the speciﬁc rate of dihydroxybenzene formation is independent of temperature.","container-title":"Applied Catalysis A: General","DOI":"10.1016/S0926-860X(03)00224-2","ISSN":"0926860X","issue":"2","journalAbbreviation":"Applied Catalysis A: General","language":"en","license":"https://www.elsevier.com/tdm/userlicense/1.0/","page":"327-343","source":"DOI.org (Crossref)","title":"Kinetics of benzene to phenol oxidation over Fe-ZSM-5 catalyst","volume":"249","author":[{"family":"Ivanov","given":"A.A."},{"family":"Chernyavsky","given":"V.S."},{"family":"Gross","given":"M.J."},{"family":"Kharitonov","given":"A.S."},{"family":"Uriarte","given":"A.K."},{"family":"Panov","given":"G.I."}],"issued":{"date-parts":[["2003",8]]}}}],"schema":"https://github.com/citation-style-language/schema/raw/master/csl-citation.json"} </w:instrText>
      </w:r>
      <w:r w:rsidR="007F6A8F" w:rsidRPr="008957E3">
        <w:rPr>
          <w:rFonts w:ascii="Arial" w:hAnsi="Arial" w:cs="Arial"/>
          <w:sz w:val="20"/>
          <w:szCs w:val="20"/>
          <w:lang w:val="en-GB"/>
        </w:rPr>
        <w:fldChar w:fldCharType="separate"/>
      </w:r>
      <w:r w:rsidR="00B80188" w:rsidRPr="008957E3">
        <w:rPr>
          <w:rFonts w:ascii="Arial" w:hAnsi="Arial" w:cs="Arial"/>
          <w:sz w:val="20"/>
          <w:szCs w:val="24"/>
          <w:vertAlign w:val="superscript"/>
          <w:lang w:val="en-GB"/>
        </w:rPr>
        <w:t>6–9</w:t>
      </w:r>
      <w:r w:rsidR="007F6A8F" w:rsidRPr="008957E3">
        <w:rPr>
          <w:rFonts w:ascii="Arial" w:hAnsi="Arial" w:cs="Arial"/>
          <w:sz w:val="20"/>
          <w:szCs w:val="20"/>
          <w:lang w:val="en-GB"/>
        </w:rPr>
        <w:fldChar w:fldCharType="end"/>
      </w:r>
      <w:r w:rsidR="000A384D" w:rsidRPr="008957E3">
        <w:rPr>
          <w:rFonts w:ascii="Arial" w:hAnsi="Arial" w:cs="Arial"/>
          <w:sz w:val="20"/>
          <w:szCs w:val="20"/>
          <w:lang w:val="en-GB"/>
        </w:rPr>
        <w:t xml:space="preserve"> However, the broader application of N</w:t>
      </w:r>
      <w:r w:rsidR="000A384D" w:rsidRPr="008957E3">
        <w:rPr>
          <w:rFonts w:ascii="Arial" w:hAnsi="Arial" w:cs="Arial"/>
          <w:sz w:val="20"/>
          <w:szCs w:val="20"/>
          <w:vertAlign w:val="subscript"/>
          <w:lang w:val="en-GB"/>
        </w:rPr>
        <w:t>2</w:t>
      </w:r>
      <w:r w:rsidR="000A384D" w:rsidRPr="008957E3">
        <w:rPr>
          <w:rFonts w:ascii="Arial" w:hAnsi="Arial" w:cs="Arial"/>
          <w:sz w:val="20"/>
          <w:szCs w:val="20"/>
          <w:lang w:val="en-GB"/>
        </w:rPr>
        <w:t>O has been hindered by the risks associated with its conventional production route</w:t>
      </w:r>
      <w:r w:rsidR="0066380F" w:rsidRPr="008957E3">
        <w:rPr>
          <w:rFonts w:ascii="Arial" w:hAnsi="Arial" w:cs="Arial"/>
          <w:sz w:val="20"/>
          <w:szCs w:val="20"/>
          <w:lang w:val="en-GB"/>
        </w:rPr>
        <w:t>, i.e.,</w:t>
      </w:r>
      <w:r w:rsidR="000A384D" w:rsidRPr="008957E3">
        <w:rPr>
          <w:rFonts w:ascii="Arial" w:hAnsi="Arial" w:cs="Arial"/>
          <w:sz w:val="20"/>
          <w:szCs w:val="20"/>
          <w:lang w:val="en-GB"/>
        </w:rPr>
        <w:t xml:space="preserve"> the thermal decomposition of ammonium nitrate (</w:t>
      </w:r>
      <w:r w:rsidR="000A384D" w:rsidRPr="008957E3">
        <w:rPr>
          <w:rFonts w:ascii="Arial" w:hAnsi="Arial" w:cs="Arial"/>
          <w:b/>
          <w:sz w:val="20"/>
          <w:szCs w:val="20"/>
          <w:lang w:val="en-GB"/>
        </w:rPr>
        <w:t>Fig. 1</w:t>
      </w:r>
      <w:r w:rsidR="000A384D" w:rsidRPr="008957E3">
        <w:rPr>
          <w:rFonts w:ascii="Arial" w:hAnsi="Arial" w:cs="Arial"/>
          <w:sz w:val="20"/>
          <w:szCs w:val="20"/>
          <w:lang w:val="en-GB"/>
        </w:rPr>
        <w:t>). This method is not only expensive but also rife with safety concerns due to the explosive nature of nitrate salts.</w:t>
      </w:r>
      <w:r w:rsidR="00282BB3" w:rsidRPr="008957E3">
        <w:rPr>
          <w:rFonts w:ascii="Arial" w:hAnsi="Arial" w:cs="Arial"/>
          <w:sz w:val="20"/>
          <w:szCs w:val="20"/>
          <w:lang w:val="en-GB"/>
        </w:rPr>
        <w:fldChar w:fldCharType="begin"/>
      </w:r>
      <w:r w:rsidR="00282BB3" w:rsidRPr="008957E3">
        <w:rPr>
          <w:rFonts w:ascii="Arial" w:hAnsi="Arial" w:cs="Arial"/>
          <w:sz w:val="20"/>
          <w:szCs w:val="20"/>
          <w:lang w:val="en-GB"/>
        </w:rPr>
        <w:instrText xml:space="preserve"> ADDIN ZOTERO_ITEM CSL_CITATION {"citationID":"SmVAaH03","properties":{"formattedCitation":"\\super 10,11\\nosupersub{}","plainCitation":"10,11","noteIndex":0},"citationItems":[{"id":812,"uris":["http://zotero.org/users/local/gMmtBwrT/items/YSCXRX46"],"itemData":{"id":812,"type":"article-journal","abstract":"Ammonium nitrate (AN) has been produced industrially in significant quantities since the beginning of the last century. A major boost to its production took place nearly a hundred years ago with the invention of the HaberBosch process in Germany for making ammonia from atmospheric air, guaranteeing a sustainable supply of low-cost nitrogen compounds like ammonia, nitric acid and urea. Ammonium nitrate has potentially hazardous properties and the associated reactions are complex. In the long history of production and application of AN, these properties have given rise to a number of accidents involving decomposition, fires and explosions1, 2, 3, 4. Some of these accidents unfortunately caused substantial numbers of fatalities —for example, Texas City (1947) which involved a cargo of wax-coated ammonium nitrate fertiliser aboard ships and resulted in uncontrolled fires and explosions. These accidents prompted much research and resulted in the development of safer products, processes, storage and handling practices. This article explores the potential hazardous properties of ammonium nitrate, significant accidents that have occurred and the storage and handling practices that have been developed as a result.","language":"en","source":"Zotero","title":"Ammonium nitrate — decomposition, fire and explosive behaviour","author":[{"family":"Shah","given":"K D"}]}},{"id":817,"uris":["http://zotero.org/users/local/gMmtBwrT/items/INBSWLFG"],"itemData":{"id":817,"type":"article-journal","abstract":"Abstract Nitrous oxide, N2O, exhibits unique reactivity in oxidation catalysis, but the high manufacturing costs limit its prospective uses. Direct oxidation of ammonia, NH3, to N2O can ameliorate this issue but its implementation is thwarted by suboptimal catalyst selectivity and stability, and the lack of established structure?performance relationships. Systematic and controlled material nanostructuring offers an innovative approach for advancement in catalyst design. Herein low-valent manganese atoms stabilized on ceria, CeO2, are discovered as the first stable catalyst for NH3 oxidation to N2O, exhibiting two-fold higher productivity than the state-of-the-art. Detailed mechanistic, computational and kinetic studies reveal CeO2 as the mediator of oxygen supply, while undercoordinated manganese species activate O2 and facilitate N2O evolution via N?N bond formation between nitroxyl, HNO, intermediates. Synthesis via simple impregnation of a small metal quantity (1 wt%) predominantly generates isolated manganese sites, while full atomic dispersion is achieved upon redispersion of sporadic oxide nanoparticles during reaction, as confirmed by advanced microscopic analysis and electron paramagnetic resonance spectroscopy. Subsequently, manganese speciation is maintained, and no deactivation is observed over 70 h on stream. CeO2-supported isolated transition metals emerge as a novel class of materials for N2O production, encouraging future studies to evaluate their potential in selective catalytic oxidations at large.","container-title":"Advanced Materials","DOI":"10.1002/adma.202211260","ISSN":"0935-9648","issue":"24","journalAbbreviation":"Advanced Materials","note":"publisher: John Wiley &amp; Sons, Ltd","page":"2211260","title":"Low-Valent Manganese Atoms Stabilized on Ceria for Nitrous Oxide Synthesis","volume":"35","author":[{"family":"Surin","given":"Ivan"},{"family":"Tang","given":"Zhenchen"},{"family":"Geiger","given":"Julian"},{"family":"Damir","given":"Suyash"},{"family":"Eliasson","given":"Henrik"},{"family":"Agrachev","given":"Mikhail"},{"family":"Krumeich","given":"Frank"},{"family":"Mitchell","given":"Sharon"},{"family":"Kondratenko","given":"Vita A."},{"family":"Kondratenko","given":"Evgenii V."},{"family":"Jeschke","given":"Gunnar"},{"family":"Erni","given":"Rolf"},{"family":"López","given":"Núria"},{"family":"Pérez-Ramírez","given":"Javier"}],"issued":{"date-parts":[["2023",6,1]]}}}],"schema":"https://github.com/citation-style-language/schema/raw/master/csl-citation.json"} </w:instrText>
      </w:r>
      <w:r w:rsidR="00282BB3" w:rsidRPr="008957E3">
        <w:rPr>
          <w:rFonts w:ascii="Arial" w:hAnsi="Arial" w:cs="Arial"/>
          <w:sz w:val="20"/>
          <w:szCs w:val="20"/>
          <w:lang w:val="en-GB"/>
        </w:rPr>
        <w:fldChar w:fldCharType="separate"/>
      </w:r>
      <w:r w:rsidR="00282BB3" w:rsidRPr="008957E3">
        <w:rPr>
          <w:rFonts w:ascii="Arial" w:hAnsi="Arial" w:cs="Arial"/>
          <w:sz w:val="20"/>
          <w:szCs w:val="24"/>
          <w:vertAlign w:val="superscript"/>
          <w:lang w:val="en-GB"/>
        </w:rPr>
        <w:t>10,11</w:t>
      </w:r>
      <w:r w:rsidR="00282BB3" w:rsidRPr="008957E3">
        <w:rPr>
          <w:rFonts w:ascii="Arial" w:hAnsi="Arial" w:cs="Arial"/>
          <w:sz w:val="20"/>
          <w:szCs w:val="20"/>
          <w:lang w:val="en-GB"/>
        </w:rPr>
        <w:fldChar w:fldCharType="end"/>
      </w:r>
      <w:r w:rsidR="000A384D" w:rsidRPr="008957E3">
        <w:rPr>
          <w:rFonts w:ascii="Arial" w:hAnsi="Arial" w:cs="Arial"/>
          <w:sz w:val="20"/>
          <w:szCs w:val="20"/>
          <w:lang w:val="en-GB"/>
        </w:rPr>
        <w:t xml:space="preserve"> These dangers have been tragically highlighted by </w:t>
      </w:r>
      <w:r w:rsidR="00FE2118" w:rsidRPr="008957E3">
        <w:rPr>
          <w:rFonts w:ascii="Arial" w:hAnsi="Arial" w:cs="Arial"/>
          <w:sz w:val="20"/>
          <w:szCs w:val="20"/>
          <w:lang w:val="en-GB"/>
        </w:rPr>
        <w:t xml:space="preserve">recent </w:t>
      </w:r>
      <w:r w:rsidR="000A384D" w:rsidRPr="008957E3">
        <w:rPr>
          <w:rFonts w:ascii="Arial" w:hAnsi="Arial" w:cs="Arial"/>
          <w:sz w:val="20"/>
          <w:szCs w:val="20"/>
          <w:lang w:val="en-GB"/>
        </w:rPr>
        <w:t>global events such as the 2015 Port of Tianjin explosion, which claimed 173 lives,</w:t>
      </w:r>
      <w:r w:rsidR="00374B4D" w:rsidRPr="008957E3">
        <w:rPr>
          <w:rFonts w:ascii="Arial" w:hAnsi="Arial" w:cs="Arial"/>
          <w:sz w:val="20"/>
          <w:szCs w:val="20"/>
          <w:lang w:val="en-GB"/>
        </w:rPr>
        <w:fldChar w:fldCharType="begin"/>
      </w:r>
      <w:r w:rsidR="00282BB3" w:rsidRPr="008957E3">
        <w:rPr>
          <w:rFonts w:ascii="Arial" w:hAnsi="Arial" w:cs="Arial"/>
          <w:sz w:val="20"/>
          <w:szCs w:val="20"/>
          <w:lang w:val="en-GB"/>
        </w:rPr>
        <w:instrText xml:space="preserve"> ADDIN ZOTERO_ITEM CSL_CITATION {"citationID":"yPIuMo9L","properties":{"formattedCitation":"\\super 12,13\\nosupersub{}","plainCitation":"12,13","noteIndex":0},"citationItems":[{"id":808,"uris":["http://zotero.org/users/local/gMmtBwrT/items/ILFI7UK6"],"itemData":{"id":808,"type":"article-journal","abstract":"On 12 August 2015, the port of Tianjin became the epicentre of one of the world’s largest artificial, nonnuclear explosions1. Tragically, 173 people, including 104 firefighters, lost their lives in a series of explosions — the largest of which registered the seismic activity of a 2.9 magnitude earthquake2. The doors and windows of 17,000 households were destroyed. Chemicals including sodium cyanide were dispersed and contaminated water drained from the site. Residents within 3km were evacuated due to the risk of toxins leaching into the potable water systems. Mishandling and incorrect storage of nitrocellulose allowed the compound to spontaneously combust. Multiple systemic and cultural failings have been implicated as root causes. This article outlines the events that led to the explosions, and some of the lessons learned from the accident.","language":"en","source":"Zotero","title":"Failures, repeated – the Tianjin explosion","author":[{"family":"Bloor","given":"Max"},{"family":"Boyle","given":"Tom"},{"family":"Chintapatla","given":"Tara"}]}},{"id":807,"uris":["http://zotero.org/users/local/gMmtBwrT/items/K3BC6QJF"],"itemData":{"id":807,"type":"article-journal","abstract":"On 12 August 2015, Tianjin port, Tianjin City, China, a catastrophic explosion of Ruihai International Logistics Co., Ltd. (Tianjin, China) killed 173 and hurt almost 798 people, accompanying a ﬁnancial loss of almost USD 2 billion. The ignition of the ﬁrst ﬁre due to the autocatalytic decomposition of nitrocellulose was veriﬁed by differential scanning calorimeter (DSC) isothermal tests. A crater with a diameter of 97 m was created by the second explosion. For the second catastrophic explosion, an amount of 577 tons of trinitrotoluene was determined by the average through scaling law, crater inverse analysis and blast effects on structures. The overpressure against distance for consequence analysis was conducted using Baker’s, Sadovski’s and Alonso’s methodologies. A distinctive scenario of “two-successive-sympathetic detonations-following-a-ﬁre” was proposed and discussed. Isothermal time-to-maximum-rate was validated to be approximately 9 days for the nitrocellulose inside the containers with an internal temperature of 60 ◦C stored at Tianjin port. A fatality radius chosen at the overpressure of 0.6 bar was ascertained to be nearly 410 m from the explosion origin.","container-title":"Sustainability","DOI":"10.3390/su14063429","ISSN":"2071-1050","issue":"6","journalAbbreviation":"Sustainability","language":"en","license":"https://creativecommons.org/licenses/by/4.0/","page":"3429","source":"DOI.org (Crossref)","title":"Holistic Case Study on the Explosion of Ammonium Nitrate in Tianjin Port","volume":"14","author":[{"family":"Yu","given":"Gending"},{"family":"Duh","given":"Yih-Shing"},{"family":"Yang","given":"Xiaodong"},{"family":"Li","given":"Yongzhao"},{"family":"Chen","given":"Yangqing"},{"family":"Li","given":"Yuqi"},{"family":"Li","given":"Jingling"},{"family":"Chen","given":"Rongguo"},{"family":"Gong","given":"Lingzhu"},{"family":"Yang","given":"Bin"},{"family":"Huang","given":"Jiulai"}],"issued":{"date-parts":[["2022",3,15]]}}}],"schema":"https://github.com/citation-style-language/schema/raw/master/csl-citation.json"} </w:instrText>
      </w:r>
      <w:r w:rsidR="00374B4D" w:rsidRPr="008957E3">
        <w:rPr>
          <w:rFonts w:ascii="Arial" w:hAnsi="Arial" w:cs="Arial"/>
          <w:sz w:val="20"/>
          <w:szCs w:val="20"/>
          <w:lang w:val="en-GB"/>
        </w:rPr>
        <w:fldChar w:fldCharType="separate"/>
      </w:r>
      <w:r w:rsidR="00282BB3" w:rsidRPr="008957E3">
        <w:rPr>
          <w:rFonts w:ascii="Arial" w:hAnsi="Arial" w:cs="Arial"/>
          <w:sz w:val="20"/>
          <w:szCs w:val="24"/>
          <w:vertAlign w:val="superscript"/>
          <w:lang w:val="en-GB"/>
        </w:rPr>
        <w:t>12,13</w:t>
      </w:r>
      <w:r w:rsidR="00374B4D" w:rsidRPr="008957E3">
        <w:rPr>
          <w:rFonts w:ascii="Arial" w:hAnsi="Arial" w:cs="Arial"/>
          <w:sz w:val="20"/>
          <w:szCs w:val="20"/>
          <w:lang w:val="en-GB"/>
        </w:rPr>
        <w:fldChar w:fldCharType="end"/>
      </w:r>
      <w:r w:rsidR="000A384D" w:rsidRPr="008957E3">
        <w:rPr>
          <w:rFonts w:ascii="Arial" w:hAnsi="Arial" w:cs="Arial"/>
          <w:sz w:val="20"/>
          <w:szCs w:val="20"/>
          <w:lang w:val="en-GB"/>
        </w:rPr>
        <w:t xml:space="preserve"> and the 2020 Beirut explosion, which resulted in 218 fatalities and significant property damage.</w:t>
      </w:r>
      <w:r w:rsidR="00374B4D" w:rsidRPr="008957E3">
        <w:rPr>
          <w:rFonts w:ascii="Arial" w:hAnsi="Arial" w:cs="Arial"/>
          <w:sz w:val="20"/>
          <w:szCs w:val="20"/>
          <w:lang w:val="en-GB"/>
        </w:rPr>
        <w:fldChar w:fldCharType="begin"/>
      </w:r>
      <w:r w:rsidR="00282BB3" w:rsidRPr="008957E3">
        <w:rPr>
          <w:rFonts w:ascii="Arial" w:hAnsi="Arial" w:cs="Arial"/>
          <w:sz w:val="20"/>
          <w:szCs w:val="20"/>
          <w:lang w:val="en-GB"/>
        </w:rPr>
        <w:instrText xml:space="preserve"> ADDIN ZOTERO_ITEM CSL_CITATION {"citationID":"etdwEqm5","properties":{"formattedCitation":"\\super 14\\uc0\\u8211{}16\\nosupersub{}","plainCitation":"14–16","noteIndex":0},"citationItems":[{"id":805,"uris":["http://zotero.org/users/local/gMmtBwrT/items/D6JXXDZD"],"itemData":{"id":805,"type":"article-journal","abstract":"Purpose  To describe injuries and outcomes of casualties of Beirut Port Blast treated at a large tertiary care center in Beirut, Lebanon.\nMethods  A retrospective observational study assessing the spectrum of injuries, treatment, and medical outcome among casualties of the Beirut Port Blast, immediately after the blast and up to 1 week from the blast to the emergency department of the American University of Beirut Medical Center (AUBMC).\nResults  A total of 359 patients were included. Most (n = 343, 95.6%) were adults (&gt; 19 years), and males (56%) with a mean age of 42 ± 20 years. The most frequent mechanism of injury was a penetrating injury (45.7%), followed by other blast-related injuries (30.4%), and blunt injuries (23.4%). The most affected anatomical location were the limbs. Most (n = 217, 60.4%) patients required imaging. The most frequently administered medication was analgesics (38%), followed by anesthetics (35%), antibiotics (31%), tetanus vaccine (31%), and fluids (28%). Blood and blood products were administered in 3.8% of cases. Emergent procedures included endotracheal intubation (n = 18, 5%), surgical airway (n = 3, 0.8%), chest tube insertion (n = 4, 1.1%), thoracotomy (n = 1, 0.3%), and CPR (n = 5, 1.4%). A quarter of patients required surgical operations in the operating room (n = 85, 23.6%) and 18% required noncritical care admissions, 5.3% required critical care admissions, and 2.8% were dead on arrival.\nConclusion  Casualties from this event had significant injuries requiring lifesaving interventions, surgical procedures, and admission to critical care units. High utilization of imaging modalities and of medications from existing stockpiles was also observed.","container-title":"European Journal of Trauma and Emergency Surgery","DOI":"10.1007/s00068-022-02023-9","ISSN":"1863-9933, 1863-9941","issue":"6","journalAbbreviation":"Eur J Trauma Emerg Surg","language":"en","page":"4919-4926","source":"DOI.org (Crossref)","title":"The Beirut Port Blast: spectrum of injuries and clinical outcomes at a large tertiary care center in Beirut, Lebanon","title-short":"The Beirut Port Blast","volume":"48","author":[{"family":"El Zahran","given":"Tharwat"},{"family":"Geha","given":"Mirabelle"},{"family":"Sakr","given":"Fouad"},{"family":"Bachir","given":"Rana"},{"family":"El Sayed","given":"Mazen"}],"issued":{"date-parts":[["2022",12]]}}},{"id":806,"uris":["http://zotero.org/users/local/gMmtBwrT/items/H7I3PYXU"],"itemData":{"id":806,"type":"article-journal","abstract":"A massive chemical detonation occurred on August 4, 2020 in the Port of Beirut, Lebanon. An uncontrolled ﬁre in an adjacent warehouse ignited </w:instrText>
      </w:r>
      <w:r w:rsidR="00282BB3" w:rsidRPr="008957E3">
        <w:rPr>
          <w:rFonts w:ascii="Cambria Math" w:hAnsi="Cambria Math" w:cs="Cambria Math"/>
          <w:sz w:val="20"/>
          <w:szCs w:val="20"/>
          <w:lang w:val="en-GB"/>
        </w:rPr>
        <w:instrText>∼</w:instrText>
      </w:r>
      <w:r w:rsidR="00282BB3" w:rsidRPr="008957E3">
        <w:rPr>
          <w:rFonts w:ascii="Arial" w:hAnsi="Arial" w:cs="Arial"/>
          <w:sz w:val="20"/>
          <w:szCs w:val="20"/>
          <w:lang w:val="en-GB"/>
        </w:rPr>
        <w:instrText xml:space="preserve">2,750 tons of Ammonium Nitrate (AN), producing one of the most devastating blasts in recent history. The blast supersonic pressure and heat wave claimed the lives of 220 people and injured more than 6,500 instantaneously, with severe damage to the nearby dense residential and commercial areas. This review represents one of the in-depth reports to provide a detailed analysis of the Beirut blast and its health and environmental implications. It further reviews prior AN incidents and suggests actionable recommendations and strategies to optimize chemical safety measures, improve emergency preparedness, and mitigate the delayed clinical effects of blast and toxic gas exposures. These recommended actionable steps offer a starting point for government ofﬁcials and policymakers to build frameworks, adopt regulations, and implement chemical safety protocols to ensure safe storage of hazardous materials as well as reorganizing healthcare system disaster preparedness to improve emergency preparedness in response to similar large-scale disasters and promote population safety. Future clinical efforts should involve detailed assessment of physical injuries sustained by blast victims, with systemic mitigation and possible treatment of late blast effects involving individuals, communities and the region at large.","container-title":"Frontiers in Public Health","DOI":"10.3389/fpubh.2021.657996","ISSN":"2296-2565","journalAbbreviation":"Front. Public Health","language":"en","page":"657996","source":"DOI.org (Crossref)","title":"Beirut Ammonium Nitrate Blast: Analysis, Review, and Recommendations","title-short":"Beirut Ammonium Nitrate Blast","volume":"9","author":[{"family":"Al-Hajj","given":"Samar"},{"family":"Dhaini","given":"Hassan R."},{"family":"Mondello","given":"Stefania"},{"family":"Kaafarani","given":"Haytham"},{"family":"Kobeissy","given":"Firas"},{"family":"DePalma","given":"Ralph G."}],"issued":{"date-parts":[["2021",6,4]]}}},{"id":809,"uris":["http://zotero.org/users/local/gMmtBwrT/items/C773NZM2"],"itemData":{"id":809,"type":"article-journal","abstract":"Introduction: On August 4, 2020, a massive explosion of a warehouse holding 2,700 metric tons of ammonium nitrate took place in the port of Beirut, Lebanon. This incident, which is considered as one of the largest industrial disasters lead to the death of at least 220 people and more than 6000 injuries. Hospitals near the blast were damaged signiﬁcantly which made it diﬃcult to treat injured patients. The objective of this study is to report the epidemiology and characteristics of the injuries and their initial management that could be useful for healthcare workers and policymakers in case of a similar massive accident in the future. Materials and methods: A retrospective study was conducted. All charts of patients admitted to the emergency room and outpatient clinics on the day of the blast and during the following 2 weeks were thoroughly reviewed. Due to initial chaos during triage, direct phone contact with patients was utilized in certain situations to conﬁrm their identity or for further information. All acute injuries were recorded based on the region, severity, degree of emergency, initial and later management, type of injured organs, and surgical procedures.\nResults: A total of 159 patients presented to our facility. 153 patients presented to the ER on the same day of the blast. The mean age was 47.07 years and around 60% of the patients were males (n = 93). Most of the patients presented either from zone 1 (n = 67, 42%) or zone 3 (n = 68, 43%). The majority of injuries were secondary injuries due to glass (n = 131, 82.3%), with the head (34%) and upper extremities (31.2%) being most commonly affected. A total of 94 patients (62.6%) underwent a type of imaging and 64 patients (40.2%) had at least one surgery performed during their hospitalization in which 71% of the surgeries being related to the limbs.\nConclusion: This study demonstrated a unique injury pattern due to this type of blast. Injuries were mostly due to glass shrapnel. Contrary to bomb blasts, most injuries were located in the head and upper extremities rather than on the lower extremities.","container-title":"Injury","DOI":"10.1016/j.injury.2022.11.021","ISSN":"00201383","issue":"2","journalAbbreviation":"Injury","language":"en","page":"448-452","source":"DOI.org (Crossref)","title":"Beirut massive blast explosion: A unique injury pattern of the wounded population.","title-short":"Beirut massive blast explosion","volume":"54","author":[{"family":"Yammine","given":"Kaissar"},{"family":"Daher","given":"Jimmy"},{"family":"Otayek","given":"Joeffroy"},{"family":"Jardaly","given":"Achraf"},{"family":"Mansour","given":"Jad"},{"family":"Boulos","given":"Karl"},{"family":"Alam","given":"Anthony El"},{"family":"Ghanimeh","given":"Joe"},{"family":"Abou Orm","given":"Ghady"},{"family":"Berberi","given":"Mary"},{"family":"Daccache","given":"Elio"},{"family":"Helou","given":"Mariana"},{"family":"Estephan","given":"Michel"},{"family":"Assi","given":"Chahine"},{"family":"Hayek","given":"Fady"}],"issued":{"date-parts":[["2023",2]]}}}],"schema":"https://github.com/citation-style-language/schema/raw/master/csl-citation.json"} </w:instrText>
      </w:r>
      <w:r w:rsidR="00374B4D" w:rsidRPr="008957E3">
        <w:rPr>
          <w:rFonts w:ascii="Arial" w:hAnsi="Arial" w:cs="Arial"/>
          <w:sz w:val="20"/>
          <w:szCs w:val="20"/>
          <w:lang w:val="en-GB"/>
        </w:rPr>
        <w:fldChar w:fldCharType="separate"/>
      </w:r>
      <w:r w:rsidR="00282BB3" w:rsidRPr="008957E3">
        <w:rPr>
          <w:rFonts w:ascii="Arial" w:hAnsi="Arial" w:cs="Arial"/>
          <w:sz w:val="20"/>
          <w:szCs w:val="24"/>
          <w:vertAlign w:val="superscript"/>
          <w:lang w:val="en-GB"/>
        </w:rPr>
        <w:t>14–16</w:t>
      </w:r>
      <w:r w:rsidR="00374B4D" w:rsidRPr="008957E3">
        <w:rPr>
          <w:rFonts w:ascii="Arial" w:hAnsi="Arial" w:cs="Arial"/>
          <w:sz w:val="20"/>
          <w:szCs w:val="20"/>
          <w:lang w:val="en-GB"/>
        </w:rPr>
        <w:fldChar w:fldCharType="end"/>
      </w:r>
    </w:p>
    <w:p w14:paraId="33A57D51" w14:textId="146DE9C9" w:rsidR="006D0892" w:rsidRPr="008957E3" w:rsidRDefault="00EC7F97" w:rsidP="00796785">
      <w:pPr>
        <w:spacing w:after="0" w:line="360" w:lineRule="auto"/>
        <w:ind w:firstLine="432"/>
        <w:jc w:val="both"/>
        <w:rPr>
          <w:rFonts w:ascii="Arial" w:hAnsi="Arial" w:cs="Arial"/>
          <w:sz w:val="20"/>
          <w:szCs w:val="20"/>
          <w:lang w:val="en-GB"/>
        </w:rPr>
      </w:pPr>
      <w:commentRangeStart w:id="1"/>
      <w:r w:rsidRPr="008957E3">
        <w:rPr>
          <w:rFonts w:ascii="Arial" w:hAnsi="Arial" w:cs="Arial"/>
          <w:sz w:val="20"/>
          <w:szCs w:val="20"/>
          <w:lang w:val="en-GB"/>
        </w:rPr>
        <w:t>To address these limitations, the direct catalytic oxidation of ammonia to N</w:t>
      </w:r>
      <w:r w:rsidRPr="008957E3">
        <w:rPr>
          <w:rFonts w:ascii="Arial" w:hAnsi="Arial" w:cs="Arial"/>
          <w:sz w:val="20"/>
          <w:szCs w:val="20"/>
          <w:vertAlign w:val="subscript"/>
          <w:lang w:val="en-GB"/>
        </w:rPr>
        <w:t>2</w:t>
      </w:r>
      <w:r w:rsidRPr="008957E3">
        <w:rPr>
          <w:rFonts w:ascii="Arial" w:hAnsi="Arial" w:cs="Arial"/>
          <w:sz w:val="20"/>
          <w:szCs w:val="20"/>
          <w:lang w:val="en-GB"/>
        </w:rPr>
        <w:t>O has gained attention as a safer and more economically viable alternative. This innovative approach eliminates reliance on hazardous nitrate intermediates and aligns with advancements in the sustainable production of chemicals. Recent developments in catalytic design have achieved over 90% N</w:t>
      </w:r>
      <w:r w:rsidRPr="008957E3">
        <w:rPr>
          <w:rFonts w:ascii="Arial" w:hAnsi="Arial" w:cs="Arial"/>
          <w:sz w:val="20"/>
          <w:szCs w:val="20"/>
          <w:vertAlign w:val="subscript"/>
          <w:lang w:val="en-GB"/>
        </w:rPr>
        <w:t>2</w:t>
      </w:r>
      <w:r w:rsidRPr="008957E3">
        <w:rPr>
          <w:rFonts w:ascii="Arial" w:hAnsi="Arial" w:cs="Arial"/>
          <w:sz w:val="20"/>
          <w:szCs w:val="20"/>
          <w:lang w:val="en-GB"/>
        </w:rPr>
        <w:t>O selectivity and a 100</w:t>
      </w:r>
      <w:r w:rsidR="00A07E7B" w:rsidRPr="008957E3">
        <w:rPr>
          <w:rFonts w:ascii="Arial" w:hAnsi="Arial" w:cs="Arial"/>
          <w:sz w:val="20"/>
          <w:szCs w:val="20"/>
          <w:lang w:val="en-GB"/>
        </w:rPr>
        <w:noBreakHyphen/>
      </w:r>
      <w:r w:rsidRPr="008957E3">
        <w:rPr>
          <w:rFonts w:ascii="Arial" w:hAnsi="Arial" w:cs="Arial"/>
          <w:sz w:val="20"/>
          <w:szCs w:val="20"/>
          <w:lang w:val="en-GB"/>
        </w:rPr>
        <w:t>fold increase in productivity, with stability exceeding 70 hours.</w:t>
      </w:r>
      <w:r w:rsidR="00910C52" w:rsidRPr="008957E3">
        <w:rPr>
          <w:rFonts w:ascii="Arial" w:hAnsi="Arial" w:cs="Arial"/>
          <w:sz w:val="20"/>
          <w:szCs w:val="20"/>
          <w:lang w:val="en-GB"/>
        </w:rPr>
        <w:fldChar w:fldCharType="begin"/>
      </w:r>
      <w:r w:rsidR="00910C52" w:rsidRPr="008957E3">
        <w:rPr>
          <w:rFonts w:ascii="Arial" w:hAnsi="Arial" w:cs="Arial"/>
          <w:sz w:val="20"/>
          <w:szCs w:val="20"/>
          <w:lang w:val="en-GB"/>
        </w:rPr>
        <w:instrText xml:space="preserve"> ADDIN ZOTERO_ITEM CSL_CITATION {"citationID":"oSATDDx0","properties":{"formattedCitation":"\\super 17\\uc0\\u8211{}19\\nosupersub{}","plainCitation":"17–19","noteIndex":0},"citationItems":[{"id":822,"uris":["http://zotero.org/users/local/gMmtBwrT/items/4H2XNXH5"],"itemData":{"id":822,"type":"article-journal","abstract":"Manganese (Mn) and chromium (Cr) catalysts supported on CeO2 enable direct ammonia oxidation to nitrous oxide, N2O, but the lack of synthesis-structure-performance relations hinders rational catalyst design. Herein, we generate a platform of CeO2-supported Mn and Cr catalysts, systematically varying the metal nanostructure from single atoms to nanoparticles, and the carrier redox properties, as conﬁrmed by advanced characterization methods. Surface reducibility of CeO2 emerges as a general descriptor, controlling N2O productivity. Conversely, structure sensitivity is metal speciﬁc, with Mn-based systems achieving high N2O selectivity in single-atom and nanoparticle forms, while the selectivity of Cr-based systems is dependent on metal dispersion. In situ UV-visible (UV-vis), steady-state, and transient kinetic studies unveil the ability of redox-active MnOx to synergize with CeO2 and enhance oxygen transport for the reaction following a Mars-van Krevelen mechanism. This work provides fundamental insights into the role and function of each catalyst component and guidelines for the development of improved N2O synthesis catalysts.","container-title":"Chem Catalysis","DOI":"10.1016/j.checat.2024.101165","ISSN":"26671093","issue":"1","journalAbbreviation":"Chem Catalysis","language":"en","page":"101165","source":"DOI.org (Crossref)","title":"The role of metal nanostructure in ceria-supported catalysts for ammonia oxidation to nitrous oxide","volume":"5","author":[{"family":"Surin","given":"Ivan"},{"family":"Yang","given":"Qingxin"},{"family":"Krumeich","given":"Frank"},{"family":"Agrachev","given":"Mikhail"},{"family":"Otroshchenko","given":"Tatiana"},{"family":"Kondratenko","given":"Vita A."},{"family":"Kondratenko","given":"Evgenii V."},{"family":"Pérez-Ramírez","given":"Javier"}],"issued":{"date-parts":[["2025",1]]}}},{"id":821,"uris":["http://zotero.org/users/local/gMmtBwrT/items/STQ3P4M7"],"itemData":{"id":821,"type":"article-journal","abstract":"The development of selective catalysts for direct conversion of ammonia into nitrous oxide, N2O, will circumvent the conventional five-step manufacturing process and enable its wider utilization in oxidation catalysis. Deviating from commonly accepted catalyst design principles for this reaction, reliant on manganese oxide, we herein report an efficient system comprised of isolated chromium atoms (1 wt %) stabilized in the ceria lattice by coprecipitation. The latter, in contrast to a simple impregnation approach, ensures firm metal anchoring and results in stable and selective N2O production over 100 h on stream up to 79% N2O selectivity at full NH3 conversion. Raman, electron paramagnetic resonance, and in situ UV−vis spectroscopies reveal that chromium incorporation enhances the density of oxygen vacancies and the rate of their generation and healing. Accordingly, temporal analysis of products, kinetic studies, and atomistic simulations show lattice oxygen of ceria to directly participate in the reaction, establishing the cocatalytic role of the carrier. Coupled with the dynamic restructuring of chromium sites to stabilize intermediates of N2O formation, these factors enable catalytic performance on par with or exceeding benchmark systems. These findings demonstrate how nanoscale engineering can elevate a previously overlooked metal into a highly competitive catalyst for selective ammonia oxidation to N2O, paving the way toward industrial implementation.","container-title":"ACS Catalysis","DOI":"10.1021/acscatal.3c04463","ISSN":"2155-5435, 2155-5435","issue":"24","journalAbbreviation":"ACS Catal.","language":"en","license":"https://creativecommons.org/licenses/by/4.0/","page":"15977-15990","source":"DOI.org (Crossref)","title":"Lattice-Stabilized Chromium Atoms on Ceria for N&lt;sub&gt;2&lt;/sub&gt; O Synthesis","volume":"13","author":[{"family":"Yang","given":"Qingxin"},{"family":"Surin","given":"Ivan"},{"family":"Geiger","given":"Julian"},{"family":"Eliasson","given":"Henrik"},{"family":"Agrachev","given":"Mikhail"},{"family":"Kondratenko","given":"Vita A."},{"family":"Zanina","given":"Anna"},{"family":"Krumeich","given":"Frank"},{"family":"Jeschke","given":"Gunnar"},{"family":"Erni","given":"Rolf"},{"family":"Kondratenko","given":"Evgenii V."},{"family":"López","given":"Núria"},{"family":"Pérez-Ramírez","given":"Javier"}],"issued":{"date-parts":[["2023",12,15]]}}},{"id":825,"uris":["http://zotero.org/users/local/gMmtBwrT/items/W5Z36QXJ"],"itemData":{"id":825,"type":"article-journal","abstract":"Abstract The production of nitrous oxide, N2O, via NH3 oxidation is not on a practical scale due to the lack of a suitable catalyst. Instead, it is produced via thermal decomposition of NH4NO3, rendering N2O too costly and limiting its prospective uses. Herein, we report CeO2-supported Au nanoparticles (2?3?nm) as a highly selective catalyst for low-temperature NH3 oxidation to N2O, exhibiting two orders of magnitude higher space?time yield than the state-of-the-art Mn?Bi/α-Al2O3 and remarkable stability over 70?h on stream. The reaction proceeds via a Mars?van Krevelen mechanism, with the density of interfacial Auδ+ species and the oxygen storage capacity of CeO2 identified as the key performance descriptors. The latter could be enhanced by cobalt doping, improving the catalytic activity and setting a new benchmark for N2O productivity. These findings establish NH3 oxidation as an efficient process for N2O manufacture and facilitate its broader utilization in selective oxidations.","container-title":"Angewandte Chemie International Edition","DOI":"10.1002/anie.202200772","ISSN":"1433-7851","issue":"19","journalAbbreviation":"Angewandte Chemie International Edition","note":"publisher: John Wiley &amp; Sons, Ltd","page":"e202200772","title":"Ceria-Supported Gold Nanoparticles as a Superior Catalyst for Nitrous Oxide Production via Ammonia Oxidation","volume":"61","author":[{"family":"Tang","given":"Zhenchen"},{"family":"Surin","given":"Ivan"},{"family":"Rasmussen","given":"Asbjörn"},{"family":"Krumeich","given":"Frank"},{"family":"Kondratenko","given":"Evgenii V."},{"family":"Kondratenko","given":"Vita A."},{"family":"Pérez-Ramírez","given":"Javier"}],"issued":{"date-parts":[["2022",5,2]]}}}],"schema":"https://github.com/citation-style-language/schema/raw/master/csl-citation.json"} </w:instrText>
      </w:r>
      <w:r w:rsidR="00910C52" w:rsidRPr="008957E3">
        <w:rPr>
          <w:rFonts w:ascii="Arial" w:hAnsi="Arial" w:cs="Arial"/>
          <w:sz w:val="20"/>
          <w:szCs w:val="20"/>
          <w:lang w:val="en-GB"/>
        </w:rPr>
        <w:fldChar w:fldCharType="separate"/>
      </w:r>
      <w:r w:rsidR="00910C52" w:rsidRPr="008957E3">
        <w:rPr>
          <w:rFonts w:ascii="Arial" w:hAnsi="Arial" w:cs="Arial"/>
          <w:sz w:val="20"/>
          <w:szCs w:val="24"/>
          <w:vertAlign w:val="superscript"/>
          <w:lang w:val="en-GB"/>
        </w:rPr>
        <w:t>17–19</w:t>
      </w:r>
      <w:r w:rsidR="00910C52" w:rsidRPr="008957E3">
        <w:rPr>
          <w:rFonts w:ascii="Arial" w:hAnsi="Arial" w:cs="Arial"/>
          <w:sz w:val="20"/>
          <w:szCs w:val="20"/>
          <w:lang w:val="en-GB"/>
        </w:rPr>
        <w:fldChar w:fldCharType="end"/>
      </w:r>
      <w:r w:rsidRPr="008957E3">
        <w:rPr>
          <w:rFonts w:ascii="Arial" w:hAnsi="Arial" w:cs="Arial"/>
          <w:sz w:val="20"/>
          <w:szCs w:val="20"/>
          <w:lang w:val="en-GB"/>
        </w:rPr>
        <w:t xml:space="preserve"> These catalysts effectively minimize by</w:t>
      </w:r>
      <w:r w:rsidR="00A07E7B" w:rsidRPr="008957E3">
        <w:rPr>
          <w:rFonts w:ascii="Arial" w:hAnsi="Arial" w:cs="Arial"/>
          <w:sz w:val="20"/>
          <w:szCs w:val="20"/>
          <w:lang w:val="en-GB"/>
        </w:rPr>
        <w:noBreakHyphen/>
      </w:r>
      <w:r w:rsidRPr="008957E3">
        <w:rPr>
          <w:rFonts w:ascii="Arial" w:hAnsi="Arial" w:cs="Arial"/>
          <w:sz w:val="20"/>
          <w:szCs w:val="20"/>
          <w:lang w:val="en-GB"/>
        </w:rPr>
        <w:t>products such as NO and N</w:t>
      </w:r>
      <w:r w:rsidRPr="008957E3">
        <w:rPr>
          <w:rFonts w:ascii="Arial" w:hAnsi="Arial" w:cs="Arial"/>
          <w:sz w:val="20"/>
          <w:szCs w:val="20"/>
          <w:vertAlign w:val="subscript"/>
          <w:lang w:val="en-GB"/>
        </w:rPr>
        <w:t>2</w:t>
      </w:r>
      <w:r w:rsidRPr="008957E3">
        <w:rPr>
          <w:rFonts w:ascii="Arial" w:hAnsi="Arial" w:cs="Arial"/>
          <w:sz w:val="20"/>
          <w:szCs w:val="20"/>
          <w:lang w:val="en-GB"/>
        </w:rPr>
        <w:t>, making N</w:t>
      </w:r>
      <w:r w:rsidRPr="008957E3">
        <w:rPr>
          <w:rFonts w:ascii="Arial" w:hAnsi="Arial" w:cs="Arial"/>
          <w:sz w:val="20"/>
          <w:szCs w:val="20"/>
          <w:vertAlign w:val="subscript"/>
          <w:lang w:val="en-GB"/>
        </w:rPr>
        <w:t>2</w:t>
      </w:r>
      <w:r w:rsidRPr="008957E3">
        <w:rPr>
          <w:rFonts w:ascii="Arial" w:hAnsi="Arial" w:cs="Arial"/>
          <w:sz w:val="20"/>
          <w:szCs w:val="20"/>
          <w:lang w:val="en-GB"/>
        </w:rPr>
        <w:t>O production more sustainable.</w:t>
      </w:r>
      <w:commentRangeEnd w:id="1"/>
      <w:r w:rsidR="00263BEF" w:rsidRPr="008957E3">
        <w:rPr>
          <w:rStyle w:val="CommentReference"/>
          <w:lang w:val="en-GB"/>
        </w:rPr>
        <w:commentReference w:id="1"/>
      </w:r>
    </w:p>
    <w:p w14:paraId="6EC56211" w14:textId="3CE77CC3" w:rsidR="00745B5B" w:rsidRPr="008957E3" w:rsidRDefault="00796785" w:rsidP="000A384D">
      <w:pPr>
        <w:spacing w:after="0" w:line="360" w:lineRule="auto"/>
        <w:ind w:firstLine="432"/>
        <w:jc w:val="both"/>
        <w:rPr>
          <w:rFonts w:ascii="Arial" w:hAnsi="Arial" w:cs="Arial"/>
          <w:sz w:val="20"/>
          <w:szCs w:val="20"/>
          <w:lang w:val="en-GB"/>
        </w:rPr>
      </w:pPr>
      <w:r w:rsidRPr="008957E3">
        <w:rPr>
          <w:rFonts w:ascii="Arial" w:hAnsi="Arial" w:cs="Arial"/>
          <w:sz w:val="20"/>
          <w:szCs w:val="20"/>
          <w:lang w:val="en-GB"/>
        </w:rPr>
        <w:t xml:space="preserve">Building on this foundation, herein, for the first time </w:t>
      </w:r>
      <w:r w:rsidR="00172F4A" w:rsidRPr="008957E3">
        <w:rPr>
          <w:rFonts w:ascii="Arial" w:hAnsi="Arial" w:cs="Arial"/>
          <w:sz w:val="20"/>
          <w:szCs w:val="20"/>
          <w:lang w:val="en-GB"/>
        </w:rPr>
        <w:t xml:space="preserve">and </w:t>
      </w:r>
      <w:r w:rsidRPr="008957E3">
        <w:rPr>
          <w:rFonts w:ascii="Arial" w:hAnsi="Arial" w:cs="Arial"/>
          <w:sz w:val="20"/>
          <w:szCs w:val="20"/>
          <w:lang w:val="en-GB"/>
        </w:rPr>
        <w:t>to the best of the authors’ knowledge, we evaluate the traditional multi-step and emerging one-step N</w:t>
      </w:r>
      <w:r w:rsidRPr="008957E3">
        <w:rPr>
          <w:rFonts w:ascii="Arial" w:hAnsi="Arial" w:cs="Arial"/>
          <w:sz w:val="20"/>
          <w:szCs w:val="20"/>
          <w:vertAlign w:val="subscript"/>
          <w:lang w:val="en-GB"/>
        </w:rPr>
        <w:t>2</w:t>
      </w:r>
      <w:r w:rsidRPr="008957E3">
        <w:rPr>
          <w:rFonts w:ascii="Arial" w:hAnsi="Arial" w:cs="Arial"/>
          <w:sz w:val="20"/>
          <w:szCs w:val="20"/>
          <w:lang w:val="en-GB"/>
        </w:rPr>
        <w:t>O production pathways, examining the</w:t>
      </w:r>
      <w:r w:rsidR="00172F4A" w:rsidRPr="008957E3">
        <w:rPr>
          <w:rFonts w:ascii="Arial" w:hAnsi="Arial" w:cs="Arial"/>
          <w:sz w:val="20"/>
          <w:szCs w:val="20"/>
          <w:lang w:val="en-GB"/>
        </w:rPr>
        <w:t>ir</w:t>
      </w:r>
      <w:r w:rsidRPr="008957E3">
        <w:rPr>
          <w:rFonts w:ascii="Arial" w:hAnsi="Arial" w:cs="Arial"/>
          <w:sz w:val="20"/>
          <w:szCs w:val="20"/>
          <w:lang w:val="en-GB"/>
        </w:rPr>
        <w:t xml:space="preserve"> techno-economic feasibility, environmental impacts </w:t>
      </w:r>
      <w:r w:rsidR="00172F4A" w:rsidRPr="008957E3">
        <w:rPr>
          <w:rFonts w:ascii="Arial" w:hAnsi="Arial" w:cs="Arial"/>
          <w:sz w:val="20"/>
          <w:szCs w:val="20"/>
          <w:lang w:val="en-GB"/>
        </w:rPr>
        <w:t>through</w:t>
      </w:r>
      <w:r w:rsidRPr="008957E3">
        <w:rPr>
          <w:rFonts w:ascii="Arial" w:hAnsi="Arial" w:cs="Arial"/>
          <w:sz w:val="20"/>
          <w:szCs w:val="20"/>
          <w:lang w:val="en-GB"/>
        </w:rPr>
        <w:t xml:space="preserve"> life cycle assessments (LCAs), and safety metrics such as the Dow Fire &amp; Explosion Index (F&amp;EI)</w:t>
      </w:r>
      <w:r w:rsidR="00A83AD9" w:rsidRPr="008957E3">
        <w:rPr>
          <w:rFonts w:ascii="Arial" w:hAnsi="Arial" w:cs="Arial"/>
          <w:sz w:val="20"/>
          <w:szCs w:val="20"/>
          <w:lang w:val="en-GB"/>
        </w:rPr>
        <w:fldChar w:fldCharType="begin"/>
      </w:r>
      <w:r w:rsidR="00910C52" w:rsidRPr="008957E3">
        <w:rPr>
          <w:rFonts w:ascii="Arial" w:hAnsi="Arial" w:cs="Arial"/>
          <w:sz w:val="20"/>
          <w:szCs w:val="20"/>
          <w:lang w:val="en-GB"/>
        </w:rPr>
        <w:instrText xml:space="preserve"> ADDIN ZOTERO_ITEM CSL_CITATION {"citationID":"hSNBnynS","properties":{"formattedCitation":"\\super 20\\nosupersub{}","plainCitation":"20","noteIndex":0},"citationItems":[{"id":779,"uris":["http://zotero.org/users/local/gMmtBwrT/items/BAAZLU94"],"itemData":{"id":779,"type":"book","collection-title":"AIChE technical manual","edition":"7th ed","event-place":"Hoboken","ISBN":"978-0-8169-0623-9","language":"en","number-of-pages":"89","publisher":"John Wiley &amp; Sons, Inc","publisher-place":"Hoboken","source":"K10plus ISBN","title":"Dow's Fire &amp; Explosion Index Hazard Classification Guide","author":[{"family":"American Institute of Chemical Engineers","given":""}],"issued":{"date-parts":[["2010"]]}}}],"schema":"https://github.com/citation-style-language/schema/raw/master/csl-citation.json"} </w:instrText>
      </w:r>
      <w:r w:rsidR="00A83AD9" w:rsidRPr="008957E3">
        <w:rPr>
          <w:rFonts w:ascii="Arial" w:hAnsi="Arial" w:cs="Arial"/>
          <w:sz w:val="20"/>
          <w:szCs w:val="20"/>
          <w:lang w:val="en-GB"/>
        </w:rPr>
        <w:fldChar w:fldCharType="separate"/>
      </w:r>
      <w:r w:rsidR="00910C52" w:rsidRPr="008957E3">
        <w:rPr>
          <w:rFonts w:ascii="Arial" w:hAnsi="Arial" w:cs="Arial"/>
          <w:sz w:val="20"/>
          <w:szCs w:val="24"/>
          <w:vertAlign w:val="superscript"/>
          <w:lang w:val="en-GB"/>
        </w:rPr>
        <w:t>20</w:t>
      </w:r>
      <w:r w:rsidR="00A83AD9" w:rsidRPr="008957E3">
        <w:rPr>
          <w:rFonts w:ascii="Arial" w:hAnsi="Arial" w:cs="Arial"/>
          <w:sz w:val="20"/>
          <w:szCs w:val="20"/>
          <w:lang w:val="en-GB"/>
        </w:rPr>
        <w:fldChar w:fldCharType="end"/>
      </w:r>
      <w:r w:rsidRPr="008957E3">
        <w:rPr>
          <w:rFonts w:ascii="Arial" w:hAnsi="Arial" w:cs="Arial"/>
          <w:sz w:val="20"/>
          <w:szCs w:val="20"/>
          <w:lang w:val="en-GB"/>
        </w:rPr>
        <w:t xml:space="preserve"> and TNT equivalency.</w:t>
      </w:r>
      <w:r w:rsidR="00D62E7C" w:rsidRPr="008957E3">
        <w:rPr>
          <w:rFonts w:ascii="Arial" w:hAnsi="Arial" w:cs="Arial"/>
          <w:sz w:val="20"/>
          <w:szCs w:val="20"/>
          <w:lang w:val="en-GB"/>
        </w:rPr>
        <w:fldChar w:fldCharType="begin"/>
      </w:r>
      <w:r w:rsidR="00910C52" w:rsidRPr="008957E3">
        <w:rPr>
          <w:rFonts w:ascii="Arial" w:hAnsi="Arial" w:cs="Arial"/>
          <w:sz w:val="20"/>
          <w:szCs w:val="20"/>
          <w:lang w:val="en-GB"/>
        </w:rPr>
        <w:instrText xml:space="preserve"> ADDIN ZOTERO_ITEM CSL_CITATION {"citationID":"Ya23WtBV","properties":{"formattedCitation":"\\super 21\\nosupersub{}","plainCitation":"21","noteIndex":0},"citationItems":[{"id":781,"uris":["http://zotero.org/users/local/gMmtBwrT/items/E84FHRXR"],"itemData":{"id":781,"type":"book","call-number":"TP155.5 .C76 2011","collection-title":"Prentice Hall international series in the physical and chemical engineering sciences","edition":"3rd ed","event-place":"Upper Saddle River, NJ","ISBN":"978-0-13-138226-8","language":"en","note":"OCLC: ocn676726134","number-of-pages":"723","publisher":"Prentice Hall","publisher-place":"Upper Saddle River, NJ","source":"Library of Congress ISBN","title":"Chemical process safety: fundamentals with applications","title-short":"Chemical process safety","author":[{"family":"Crowl","given":"Daniel A."},{"family":"Louvar","given":"Joseph F."}],"issued":{"date-parts":[["2011"]]}}}],"schema":"https://github.com/citation-style-language/schema/raw/master/csl-citation.json"} </w:instrText>
      </w:r>
      <w:r w:rsidR="00D62E7C" w:rsidRPr="008957E3">
        <w:rPr>
          <w:rFonts w:ascii="Arial" w:hAnsi="Arial" w:cs="Arial"/>
          <w:sz w:val="20"/>
          <w:szCs w:val="20"/>
          <w:lang w:val="en-GB"/>
        </w:rPr>
        <w:fldChar w:fldCharType="separate"/>
      </w:r>
      <w:r w:rsidR="00910C52" w:rsidRPr="008957E3">
        <w:rPr>
          <w:rFonts w:ascii="Arial" w:hAnsi="Arial" w:cs="Arial"/>
          <w:sz w:val="20"/>
          <w:szCs w:val="24"/>
          <w:vertAlign w:val="superscript"/>
          <w:lang w:val="en-GB"/>
        </w:rPr>
        <w:t>21</w:t>
      </w:r>
      <w:r w:rsidR="00D62E7C" w:rsidRPr="008957E3">
        <w:rPr>
          <w:rFonts w:ascii="Arial" w:hAnsi="Arial" w:cs="Arial"/>
          <w:sz w:val="20"/>
          <w:szCs w:val="20"/>
          <w:lang w:val="en-GB"/>
        </w:rPr>
        <w:fldChar w:fldCharType="end"/>
      </w:r>
      <w:r w:rsidRPr="008957E3">
        <w:rPr>
          <w:rFonts w:ascii="Arial" w:hAnsi="Arial" w:cs="Arial"/>
          <w:sz w:val="20"/>
          <w:szCs w:val="20"/>
          <w:lang w:val="en-GB"/>
        </w:rPr>
        <w:t xml:space="preserve"> Additionally, we explore the potential of the one-step route to outperform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xml:space="preserve"> as the leading industrial oxidant, highlighting its advantages in cost and carbon footprint. Next, we assess the direct application of N</w:t>
      </w:r>
      <w:r w:rsidRPr="008957E3">
        <w:rPr>
          <w:rFonts w:ascii="Arial" w:hAnsi="Arial" w:cs="Arial"/>
          <w:sz w:val="20"/>
          <w:szCs w:val="20"/>
          <w:vertAlign w:val="subscript"/>
          <w:lang w:val="en-GB"/>
        </w:rPr>
        <w:t>2</w:t>
      </w:r>
      <w:r w:rsidRPr="008957E3">
        <w:rPr>
          <w:rFonts w:ascii="Arial" w:hAnsi="Arial" w:cs="Arial"/>
          <w:sz w:val="20"/>
          <w:szCs w:val="20"/>
          <w:lang w:val="en-GB"/>
        </w:rPr>
        <w:t xml:space="preserve">O in the selective oxidation of benzene to phenol, </w:t>
      </w:r>
      <w:r w:rsidR="00172F4A" w:rsidRPr="008957E3">
        <w:rPr>
          <w:rFonts w:ascii="Arial" w:hAnsi="Arial" w:cs="Arial"/>
          <w:sz w:val="20"/>
          <w:szCs w:val="20"/>
          <w:lang w:val="en-GB"/>
        </w:rPr>
        <w:t>making</w:t>
      </w:r>
      <w:r w:rsidRPr="008957E3">
        <w:rPr>
          <w:rFonts w:ascii="Arial" w:hAnsi="Arial" w:cs="Arial"/>
          <w:sz w:val="20"/>
          <w:szCs w:val="20"/>
          <w:lang w:val="en-GB"/>
        </w:rPr>
        <w:t xml:space="preserve"> a case for its adoption in high-value chemical production processes. Furthermore, we perform prospective techno-economic assessment</w:t>
      </w:r>
      <w:r w:rsidR="00172F4A" w:rsidRPr="008957E3">
        <w:rPr>
          <w:rFonts w:ascii="Arial" w:hAnsi="Arial" w:cs="Arial"/>
          <w:sz w:val="20"/>
          <w:szCs w:val="20"/>
          <w:lang w:val="en-GB"/>
        </w:rPr>
        <w:t>s</w:t>
      </w:r>
      <w:r w:rsidRPr="008957E3">
        <w:rPr>
          <w:rFonts w:ascii="Arial" w:hAnsi="Arial" w:cs="Arial"/>
          <w:sz w:val="20"/>
          <w:szCs w:val="20"/>
          <w:lang w:val="en-GB"/>
        </w:rPr>
        <w:t xml:space="preserve"> and LCA</w:t>
      </w:r>
      <w:r w:rsidR="00172F4A" w:rsidRPr="008957E3">
        <w:rPr>
          <w:rFonts w:ascii="Arial" w:hAnsi="Arial" w:cs="Arial"/>
          <w:sz w:val="20"/>
          <w:szCs w:val="20"/>
          <w:lang w:val="en-GB"/>
        </w:rPr>
        <w:t>s</w:t>
      </w:r>
      <w:r w:rsidRPr="008957E3">
        <w:rPr>
          <w:rFonts w:ascii="Arial" w:hAnsi="Arial" w:cs="Arial"/>
          <w:sz w:val="20"/>
          <w:szCs w:val="20"/>
          <w:lang w:val="en-GB"/>
        </w:rPr>
        <w:t xml:space="preserve"> </w:t>
      </w:r>
      <w:r w:rsidR="00172F4A" w:rsidRPr="008957E3">
        <w:rPr>
          <w:rFonts w:ascii="Arial" w:hAnsi="Arial" w:cs="Arial"/>
          <w:sz w:val="20"/>
          <w:szCs w:val="20"/>
          <w:lang w:val="en-GB"/>
        </w:rPr>
        <w:t>for</w:t>
      </w:r>
      <w:r w:rsidRPr="008957E3">
        <w:rPr>
          <w:rFonts w:ascii="Arial" w:hAnsi="Arial" w:cs="Arial"/>
          <w:sz w:val="20"/>
          <w:szCs w:val="20"/>
          <w:lang w:val="en-GB"/>
        </w:rPr>
        <w:t xml:space="preserve"> 2050</w:t>
      </w:r>
      <w:r w:rsidR="00D46F4D" w:rsidRPr="008957E3">
        <w:rPr>
          <w:rFonts w:ascii="Arial" w:hAnsi="Arial" w:cs="Arial"/>
          <w:sz w:val="20"/>
          <w:szCs w:val="20"/>
          <w:lang w:val="en-GB"/>
        </w:rPr>
        <w:t>,</w:t>
      </w:r>
      <w:r w:rsidRPr="008957E3">
        <w:rPr>
          <w:rFonts w:ascii="Arial" w:hAnsi="Arial" w:cs="Arial"/>
          <w:sz w:val="20"/>
          <w:szCs w:val="20"/>
          <w:lang w:val="en-GB"/>
        </w:rPr>
        <w:t xml:space="preserve"> </w:t>
      </w:r>
      <w:r w:rsidR="00172F4A" w:rsidRPr="008957E3">
        <w:rPr>
          <w:rFonts w:ascii="Arial" w:hAnsi="Arial" w:cs="Arial"/>
          <w:sz w:val="20"/>
          <w:szCs w:val="20"/>
          <w:lang w:val="en-GB"/>
        </w:rPr>
        <w:t>across</w:t>
      </w:r>
      <w:r w:rsidRPr="008957E3">
        <w:rPr>
          <w:rFonts w:ascii="Arial" w:hAnsi="Arial" w:cs="Arial"/>
          <w:sz w:val="20"/>
          <w:szCs w:val="20"/>
          <w:lang w:val="en-GB"/>
        </w:rPr>
        <w:t xml:space="preserve"> all the routes </w:t>
      </w:r>
      <w:r w:rsidR="00172F4A" w:rsidRPr="008957E3">
        <w:rPr>
          <w:rFonts w:ascii="Arial" w:hAnsi="Arial" w:cs="Arial"/>
          <w:sz w:val="20"/>
          <w:szCs w:val="20"/>
          <w:lang w:val="en-GB"/>
        </w:rPr>
        <w:t>evaluated,</w:t>
      </w:r>
      <w:r w:rsidRPr="008957E3">
        <w:rPr>
          <w:rFonts w:ascii="Arial" w:hAnsi="Arial" w:cs="Arial"/>
          <w:sz w:val="20"/>
          <w:szCs w:val="20"/>
          <w:lang w:val="en-GB"/>
        </w:rPr>
        <w:t xml:space="preserve"> illustrat</w:t>
      </w:r>
      <w:r w:rsidR="00172F4A" w:rsidRPr="008957E3">
        <w:rPr>
          <w:rFonts w:ascii="Arial" w:hAnsi="Arial" w:cs="Arial"/>
          <w:sz w:val="20"/>
          <w:szCs w:val="20"/>
          <w:lang w:val="en-GB"/>
        </w:rPr>
        <w:t>ing</w:t>
      </w:r>
      <w:r w:rsidRPr="008957E3">
        <w:rPr>
          <w:rFonts w:ascii="Arial" w:hAnsi="Arial" w:cs="Arial"/>
          <w:sz w:val="20"/>
          <w:szCs w:val="20"/>
          <w:lang w:val="en-GB"/>
        </w:rPr>
        <w:t xml:space="preserve"> potential reductions in production costs and carbon footprint, respectively, mainly due to </w:t>
      </w:r>
      <w:r w:rsidR="00411A8C" w:rsidRPr="008957E3">
        <w:rPr>
          <w:rFonts w:ascii="Arial" w:hAnsi="Arial" w:cs="Arial"/>
          <w:sz w:val="20"/>
          <w:szCs w:val="20"/>
          <w:lang w:val="en-GB"/>
        </w:rPr>
        <w:t xml:space="preserve">the decarbonization of the </w:t>
      </w:r>
      <w:r w:rsidR="00172F4A" w:rsidRPr="008957E3">
        <w:rPr>
          <w:rFonts w:ascii="Arial" w:hAnsi="Arial" w:cs="Arial"/>
          <w:sz w:val="20"/>
          <w:szCs w:val="20"/>
          <w:lang w:val="en-GB"/>
        </w:rPr>
        <w:t>future electricity mix</w:t>
      </w:r>
      <w:r w:rsidR="00411A8C" w:rsidRPr="008957E3">
        <w:rPr>
          <w:rFonts w:ascii="Arial" w:hAnsi="Arial" w:cs="Arial"/>
          <w:sz w:val="20"/>
          <w:szCs w:val="20"/>
          <w:lang w:val="en-GB"/>
        </w:rPr>
        <w:t>.</w:t>
      </w:r>
    </w:p>
    <w:p w14:paraId="2550179F" w14:textId="77777777" w:rsidR="00E51459" w:rsidRPr="008957E3" w:rsidRDefault="005E5F4C" w:rsidP="000A384D">
      <w:pPr>
        <w:spacing w:after="0" w:line="360" w:lineRule="auto"/>
        <w:ind w:firstLine="432"/>
        <w:jc w:val="both"/>
        <w:rPr>
          <w:rFonts w:ascii="Arial" w:hAnsi="Arial" w:cs="Arial"/>
          <w:sz w:val="20"/>
          <w:szCs w:val="20"/>
          <w:lang w:val="en-GB"/>
        </w:rPr>
      </w:pPr>
      <w:r w:rsidRPr="008957E3">
        <w:rPr>
          <w:rFonts w:ascii="Arial" w:hAnsi="Arial" w:cs="Arial"/>
          <w:sz w:val="20"/>
          <w:szCs w:val="20"/>
          <w:lang w:val="en-GB"/>
        </w:rPr>
        <w:t>Our analysis reveals that the one-step direct ammonia oxidation to N</w:t>
      </w:r>
      <w:r w:rsidRPr="008957E3">
        <w:rPr>
          <w:rFonts w:ascii="Arial" w:hAnsi="Arial" w:cs="Arial"/>
          <w:sz w:val="20"/>
          <w:szCs w:val="20"/>
          <w:vertAlign w:val="subscript"/>
          <w:lang w:val="en-GB"/>
        </w:rPr>
        <w:t>2</w:t>
      </w:r>
      <w:r w:rsidRPr="008957E3">
        <w:rPr>
          <w:rFonts w:ascii="Arial" w:hAnsi="Arial" w:cs="Arial"/>
          <w:sz w:val="20"/>
          <w:szCs w:val="20"/>
          <w:lang w:val="en-GB"/>
        </w:rPr>
        <w:t>O is more cost-effective and has a lower carbon footprint than the conventional multi-step ammonium nitrate decomposition process. Moreover, the one-step N</w:t>
      </w:r>
      <w:r w:rsidRPr="008957E3">
        <w:rPr>
          <w:rFonts w:ascii="Arial" w:hAnsi="Arial" w:cs="Arial"/>
          <w:sz w:val="20"/>
          <w:szCs w:val="20"/>
          <w:vertAlign w:val="subscript"/>
          <w:lang w:val="en-GB"/>
        </w:rPr>
        <w:t>2</w:t>
      </w:r>
      <w:r w:rsidRPr="008957E3">
        <w:rPr>
          <w:rFonts w:ascii="Arial" w:hAnsi="Arial" w:cs="Arial"/>
          <w:sz w:val="20"/>
          <w:szCs w:val="20"/>
          <w:lang w:val="en-GB"/>
        </w:rPr>
        <w:t>O production route poses significantly lower F&amp;EI, TNT equivalency, and associated financial and operational impacts compared to the conventional route. When comparing the N</w:t>
      </w:r>
      <w:r w:rsidRPr="008957E3">
        <w:rPr>
          <w:rFonts w:ascii="Arial" w:hAnsi="Arial" w:cs="Arial"/>
          <w:sz w:val="20"/>
          <w:szCs w:val="20"/>
          <w:vertAlign w:val="subscript"/>
          <w:lang w:val="en-GB"/>
        </w:rPr>
        <w:t>2</w:t>
      </w:r>
      <w:r w:rsidRPr="008957E3">
        <w:rPr>
          <w:rFonts w:ascii="Arial" w:hAnsi="Arial" w:cs="Arial"/>
          <w:sz w:val="20"/>
          <w:szCs w:val="20"/>
          <w:lang w:val="en-GB"/>
        </w:rPr>
        <w:t>O production route with the conventional industrial oxidation of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we find that blending fossil natural gas</w:t>
      </w:r>
      <w:r w:rsidR="003C3E96" w:rsidRPr="008957E3">
        <w:rPr>
          <w:rFonts w:ascii="Arial" w:hAnsi="Arial" w:cs="Arial"/>
          <w:sz w:val="20"/>
          <w:szCs w:val="20"/>
          <w:lang w:val="en-GB"/>
        </w:rPr>
        <w:t>-</w:t>
      </w:r>
      <w:r w:rsidRPr="008957E3">
        <w:rPr>
          <w:rFonts w:ascii="Arial" w:hAnsi="Arial" w:cs="Arial"/>
          <w:sz w:val="20"/>
          <w:szCs w:val="20"/>
          <w:lang w:val="en-GB"/>
        </w:rPr>
        <w:t xml:space="preserve">based and electrolytic hydrogen-based ammonia in </w:t>
      </w:r>
      <w:r w:rsidR="003C3E96" w:rsidRPr="008957E3">
        <w:rPr>
          <w:rFonts w:ascii="Arial" w:hAnsi="Arial" w:cs="Arial"/>
          <w:sz w:val="20"/>
          <w:szCs w:val="20"/>
          <w:lang w:val="en-GB"/>
        </w:rPr>
        <w:t>a</w:t>
      </w:r>
      <w:r w:rsidRPr="008957E3">
        <w:rPr>
          <w:rFonts w:ascii="Arial" w:hAnsi="Arial" w:cs="Arial"/>
          <w:sz w:val="20"/>
          <w:szCs w:val="20"/>
          <w:lang w:val="en-GB"/>
        </w:rPr>
        <w:t xml:space="preserve"> 28</w:t>
      </w:r>
      <w:r w:rsidR="003C3E96" w:rsidRPr="008957E3">
        <w:rPr>
          <w:rFonts w:ascii="Arial" w:hAnsi="Arial" w:cs="Arial"/>
          <w:sz w:val="20"/>
          <w:szCs w:val="20"/>
          <w:lang w:val="en-GB"/>
        </w:rPr>
        <w:t>%</w:t>
      </w:r>
      <w:r w:rsidRPr="008957E3">
        <w:rPr>
          <w:rFonts w:ascii="Arial" w:hAnsi="Arial" w:cs="Arial"/>
          <w:sz w:val="20"/>
          <w:szCs w:val="20"/>
          <w:lang w:val="en-GB"/>
        </w:rPr>
        <w:t>/72</w:t>
      </w:r>
      <w:r w:rsidR="003C3E96" w:rsidRPr="008957E3">
        <w:rPr>
          <w:rFonts w:ascii="Arial" w:hAnsi="Arial" w:cs="Arial"/>
          <w:sz w:val="20"/>
          <w:szCs w:val="20"/>
          <w:lang w:val="en-GB"/>
        </w:rPr>
        <w:t>%</w:t>
      </w:r>
      <w:r w:rsidRPr="008957E3">
        <w:rPr>
          <w:rFonts w:ascii="Arial" w:hAnsi="Arial" w:cs="Arial"/>
          <w:sz w:val="20"/>
          <w:szCs w:val="20"/>
          <w:lang w:val="en-GB"/>
        </w:rPr>
        <w:t xml:space="preserve"> </w:t>
      </w:r>
      <w:r w:rsidR="003C3E96" w:rsidRPr="008957E3">
        <w:rPr>
          <w:rFonts w:ascii="Arial" w:hAnsi="Arial" w:cs="Arial"/>
          <w:sz w:val="20"/>
          <w:szCs w:val="20"/>
          <w:lang w:val="en-GB"/>
        </w:rPr>
        <w:t xml:space="preserve">ratio </w:t>
      </w:r>
      <w:r w:rsidRPr="008957E3">
        <w:rPr>
          <w:rFonts w:ascii="Arial" w:hAnsi="Arial" w:cs="Arial"/>
          <w:sz w:val="20"/>
          <w:szCs w:val="20"/>
          <w:lang w:val="en-GB"/>
        </w:rPr>
        <w:t>can match the carbon footprint of conventional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xml:space="preserve"> production via the anthraquinone (AO) process</w:t>
      </w:r>
      <w:r w:rsidR="003C3E96" w:rsidRPr="008957E3">
        <w:rPr>
          <w:rFonts w:ascii="Arial" w:hAnsi="Arial" w:cs="Arial"/>
          <w:sz w:val="20"/>
          <w:szCs w:val="20"/>
          <w:lang w:val="en-GB"/>
        </w:rPr>
        <w:t>,</w:t>
      </w:r>
      <w:r w:rsidRPr="008957E3">
        <w:rPr>
          <w:rFonts w:ascii="Arial" w:hAnsi="Arial" w:cs="Arial"/>
          <w:sz w:val="20"/>
          <w:szCs w:val="20"/>
          <w:lang w:val="en-GB"/>
        </w:rPr>
        <w:t xml:space="preserve"> at </w:t>
      </w:r>
      <w:r w:rsidR="003C3E96" w:rsidRPr="008957E3">
        <w:rPr>
          <w:rFonts w:ascii="Arial" w:hAnsi="Arial" w:cs="Arial"/>
          <w:sz w:val="20"/>
          <w:szCs w:val="20"/>
          <w:lang w:val="en-GB"/>
        </w:rPr>
        <w:t xml:space="preserve">a </w:t>
      </w:r>
      <w:r w:rsidRPr="008957E3">
        <w:rPr>
          <w:rFonts w:ascii="Arial" w:hAnsi="Arial" w:cs="Arial"/>
          <w:sz w:val="20"/>
          <w:szCs w:val="20"/>
          <w:lang w:val="en-GB"/>
        </w:rPr>
        <w:t>40% lower cost. The direct oxidation of benzene to phenol using N</w:t>
      </w:r>
      <w:r w:rsidRPr="008957E3">
        <w:rPr>
          <w:rFonts w:ascii="Arial" w:hAnsi="Arial" w:cs="Arial"/>
          <w:sz w:val="20"/>
          <w:szCs w:val="20"/>
          <w:vertAlign w:val="subscript"/>
          <w:lang w:val="en-GB"/>
        </w:rPr>
        <w:t>2</w:t>
      </w:r>
      <w:r w:rsidRPr="008957E3">
        <w:rPr>
          <w:rFonts w:ascii="Arial" w:hAnsi="Arial" w:cs="Arial"/>
          <w:sz w:val="20"/>
          <w:szCs w:val="20"/>
          <w:lang w:val="en-GB"/>
        </w:rPr>
        <w:t xml:space="preserve">O is the most cost-effective option, outperforming </w:t>
      </w:r>
      <w:r w:rsidR="003C3E96" w:rsidRPr="008957E3">
        <w:rPr>
          <w:rFonts w:ascii="Arial" w:hAnsi="Arial" w:cs="Arial"/>
          <w:sz w:val="20"/>
          <w:szCs w:val="20"/>
          <w:lang w:val="en-GB"/>
        </w:rPr>
        <w:t xml:space="preserve">both </w:t>
      </w:r>
      <w:r w:rsidRPr="008957E3">
        <w:rPr>
          <w:rFonts w:ascii="Arial" w:hAnsi="Arial" w:cs="Arial"/>
          <w:sz w:val="20"/>
          <w:szCs w:val="20"/>
          <w:lang w:val="en-GB"/>
        </w:rPr>
        <w:t>the traditional cumene oxidation and the direct oxidation using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xml:space="preserve"> routes</w:t>
      </w:r>
      <w:r w:rsidR="003C3E96" w:rsidRPr="008957E3">
        <w:rPr>
          <w:rFonts w:ascii="Arial" w:hAnsi="Arial" w:cs="Arial"/>
          <w:sz w:val="20"/>
          <w:szCs w:val="20"/>
          <w:lang w:val="en-GB"/>
        </w:rPr>
        <w:t>,</w:t>
      </w:r>
      <w:r w:rsidRPr="008957E3">
        <w:rPr>
          <w:rFonts w:ascii="Arial" w:hAnsi="Arial" w:cs="Arial"/>
          <w:sz w:val="20"/>
          <w:szCs w:val="20"/>
          <w:lang w:val="en-GB"/>
        </w:rPr>
        <w:t xml:space="preserve"> while demonstrating a lower carbon footprint than the traditional cumene oxidation process. Overall, our findings offer a thorough </w:t>
      </w:r>
      <w:r w:rsidRPr="008957E3">
        <w:rPr>
          <w:rFonts w:ascii="Arial" w:hAnsi="Arial" w:cs="Arial"/>
          <w:sz w:val="20"/>
          <w:szCs w:val="20"/>
          <w:lang w:val="en-GB"/>
        </w:rPr>
        <w:lastRenderedPageBreak/>
        <w:t>assessment of novel N</w:t>
      </w:r>
      <w:r w:rsidRPr="008957E3">
        <w:rPr>
          <w:rFonts w:ascii="Arial" w:hAnsi="Arial" w:cs="Arial"/>
          <w:sz w:val="20"/>
          <w:szCs w:val="20"/>
          <w:vertAlign w:val="subscript"/>
          <w:lang w:val="en-GB"/>
        </w:rPr>
        <w:t>2</w:t>
      </w:r>
      <w:r w:rsidRPr="008957E3">
        <w:rPr>
          <w:rFonts w:ascii="Arial" w:hAnsi="Arial" w:cs="Arial"/>
          <w:sz w:val="20"/>
          <w:szCs w:val="20"/>
          <w:lang w:val="en-GB"/>
        </w:rPr>
        <w:t>O production pathways, delivering valuable insights to guide researchers in advancing safer, more affordable, and sustainable oxidants for industrial use.</w:t>
      </w:r>
    </w:p>
    <w:p w14:paraId="0CA6E28A" w14:textId="77777777" w:rsidR="003E0979" w:rsidRPr="008957E3" w:rsidRDefault="003E0979" w:rsidP="00C07F23">
      <w:pPr>
        <w:spacing w:line="360" w:lineRule="auto"/>
        <w:rPr>
          <w:rFonts w:ascii="Arial" w:hAnsi="Arial" w:cs="Arial"/>
          <w:sz w:val="20"/>
          <w:szCs w:val="20"/>
          <w:lang w:val="en-GB"/>
        </w:rPr>
      </w:pPr>
      <w:r w:rsidRPr="008957E3">
        <w:rPr>
          <w:rFonts w:ascii="Arial" w:hAnsi="Arial" w:cs="Arial"/>
          <w:sz w:val="20"/>
          <w:szCs w:val="20"/>
          <w:lang w:val="en-GB"/>
        </w:rPr>
        <w:br w:type="page"/>
      </w:r>
    </w:p>
    <w:p w14:paraId="794D8F50" w14:textId="77777777" w:rsidR="00242359" w:rsidRPr="008957E3" w:rsidRDefault="00242359" w:rsidP="00C07F23">
      <w:pPr>
        <w:spacing w:line="360" w:lineRule="auto"/>
        <w:rPr>
          <w:rFonts w:ascii="Arial" w:hAnsi="Arial" w:cs="Arial"/>
          <w:sz w:val="20"/>
          <w:szCs w:val="20"/>
          <w:lang w:val="en-GB"/>
        </w:rPr>
      </w:pPr>
      <w:r w:rsidRPr="008957E3">
        <w:rPr>
          <w:rFonts w:ascii="Arial" w:hAnsi="Arial" w:cs="Arial"/>
          <w:noProof/>
          <w:sz w:val="20"/>
          <w:szCs w:val="20"/>
          <w:lang w:val="en-GB"/>
        </w:rPr>
        <w:lastRenderedPageBreak/>
        <w:drawing>
          <wp:inline distT="0" distB="0" distL="0" distR="0" wp14:anchorId="50F511F1" wp14:editId="64BE2A62">
            <wp:extent cx="5760720" cy="2911475"/>
            <wp:effectExtent l="0" t="0" r="0" b="3175"/>
            <wp:docPr id="231393159" name="Picture 3" descr="A diagram of a chemical comp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93159" name="Picture 3" descr="A diagram of a chemical compound&#10;&#10;AI-generated content may be incorrect."/>
                    <pic:cNvPicPr/>
                  </pic:nvPicPr>
                  <pic:blipFill>
                    <a:blip r:embed="rId10"/>
                    <a:stretch>
                      <a:fillRect/>
                    </a:stretch>
                  </pic:blipFill>
                  <pic:spPr>
                    <a:xfrm>
                      <a:off x="0" y="0"/>
                      <a:ext cx="5760720" cy="2911475"/>
                    </a:xfrm>
                    <a:prstGeom prst="rect">
                      <a:avLst/>
                    </a:prstGeom>
                  </pic:spPr>
                </pic:pic>
              </a:graphicData>
            </a:graphic>
          </wp:inline>
        </w:drawing>
      </w:r>
    </w:p>
    <w:p w14:paraId="2F7FDF55" w14:textId="77777777" w:rsidR="006D27DB" w:rsidRPr="008957E3" w:rsidRDefault="006D27DB" w:rsidP="006D27DB">
      <w:pPr>
        <w:spacing w:line="360" w:lineRule="auto"/>
        <w:jc w:val="both"/>
        <w:rPr>
          <w:rFonts w:ascii="Arial" w:hAnsi="Arial" w:cs="Arial"/>
          <w:bCs/>
          <w:sz w:val="20"/>
          <w:szCs w:val="20"/>
          <w:lang w:val="en-GB"/>
        </w:rPr>
      </w:pPr>
      <w:r w:rsidRPr="008957E3">
        <w:rPr>
          <w:rFonts w:ascii="Arial" w:hAnsi="Arial" w:cs="Arial"/>
          <w:b/>
          <w:sz w:val="20"/>
          <w:szCs w:val="20"/>
          <w:lang w:val="en-GB"/>
        </w:rPr>
        <w:t>Fig. 1</w:t>
      </w:r>
      <w:r w:rsidRPr="008957E3">
        <w:rPr>
          <w:rFonts w:ascii="Arial" w:hAnsi="Arial" w:cs="Arial"/>
          <w:sz w:val="20"/>
          <w:szCs w:val="20"/>
          <w:lang w:val="en-GB"/>
        </w:rPr>
        <w:t xml:space="preserve"> </w:t>
      </w:r>
      <w:r w:rsidRPr="008957E3">
        <w:rPr>
          <w:rFonts w:ascii="Arial" w:hAnsi="Arial" w:cs="Arial"/>
          <w:bCs/>
          <w:sz w:val="20"/>
          <w:szCs w:val="20"/>
          <w:lang w:val="en-GB"/>
        </w:rPr>
        <w:t>Nitrous oxide (N</w:t>
      </w:r>
      <w:r w:rsidRPr="008957E3">
        <w:rPr>
          <w:rFonts w:ascii="Arial" w:hAnsi="Arial" w:cs="Arial"/>
          <w:bCs/>
          <w:sz w:val="20"/>
          <w:szCs w:val="20"/>
          <w:vertAlign w:val="subscript"/>
          <w:lang w:val="en-GB"/>
        </w:rPr>
        <w:t>2</w:t>
      </w:r>
      <w:r w:rsidRPr="008957E3">
        <w:rPr>
          <w:rFonts w:ascii="Arial" w:hAnsi="Arial" w:cs="Arial"/>
          <w:bCs/>
          <w:sz w:val="20"/>
          <w:szCs w:val="20"/>
          <w:lang w:val="en-GB"/>
        </w:rPr>
        <w:t>O) production routes and current and future applications.</w:t>
      </w:r>
      <w:r w:rsidRPr="008957E3">
        <w:rPr>
          <w:rFonts w:ascii="Arial" w:hAnsi="Arial" w:cs="Arial"/>
          <w:sz w:val="20"/>
          <w:szCs w:val="20"/>
          <w:lang w:val="en-GB"/>
        </w:rPr>
        <w:t xml:space="preserve"> </w:t>
      </w:r>
      <w:r w:rsidRPr="008957E3">
        <w:rPr>
          <w:rFonts w:ascii="Arial" w:hAnsi="Arial" w:cs="Arial"/>
          <w:bCs/>
          <w:sz w:val="20"/>
          <w:szCs w:val="20"/>
          <w:lang w:val="en-GB"/>
        </w:rPr>
        <w:t>Shown are various N</w:t>
      </w:r>
      <w:r w:rsidRPr="008957E3">
        <w:rPr>
          <w:rFonts w:ascii="Arial" w:hAnsi="Arial" w:cs="Arial"/>
          <w:bCs/>
          <w:sz w:val="20"/>
          <w:szCs w:val="20"/>
          <w:vertAlign w:val="subscript"/>
          <w:lang w:val="en-GB"/>
        </w:rPr>
        <w:t>2</w:t>
      </w:r>
      <w:r w:rsidRPr="008957E3">
        <w:rPr>
          <w:rFonts w:ascii="Arial" w:hAnsi="Arial" w:cs="Arial"/>
          <w:bCs/>
          <w:sz w:val="20"/>
          <w:szCs w:val="20"/>
          <w:lang w:val="en-GB"/>
        </w:rPr>
        <w:t>O production routes, all relying on the use of ammonia, along with technologies such as ammonium nitrate decomposition, selective a</w:t>
      </w:r>
      <w:r w:rsidRPr="008957E3">
        <w:rPr>
          <w:rFonts w:ascii="Arial" w:hAnsi="Arial" w:cs="Arial"/>
          <w:sz w:val="20"/>
          <w:szCs w:val="20"/>
          <w:lang w:val="en-GB"/>
        </w:rPr>
        <w:t>mmonia</w:t>
      </w:r>
      <w:r w:rsidRPr="008957E3">
        <w:rPr>
          <w:rFonts w:ascii="Arial" w:hAnsi="Arial" w:cs="Arial"/>
          <w:bCs/>
          <w:sz w:val="20"/>
          <w:szCs w:val="20"/>
          <w:lang w:val="en-GB"/>
        </w:rPr>
        <w:t xml:space="preserve"> oxidation and recovery from off-gases (nitric and adipic acid production). The figure highlights the potential change in the global market of N</w:t>
      </w:r>
      <w:r w:rsidRPr="008957E3">
        <w:rPr>
          <w:rFonts w:ascii="Arial" w:hAnsi="Arial" w:cs="Arial"/>
          <w:bCs/>
          <w:sz w:val="20"/>
          <w:szCs w:val="20"/>
          <w:vertAlign w:val="subscript"/>
          <w:lang w:val="en-GB"/>
        </w:rPr>
        <w:t>2</w:t>
      </w:r>
      <w:r w:rsidRPr="008957E3">
        <w:rPr>
          <w:rFonts w:ascii="Arial" w:hAnsi="Arial" w:cs="Arial"/>
          <w:bCs/>
          <w:sz w:val="20"/>
          <w:szCs w:val="20"/>
          <w:lang w:val="en-GB"/>
        </w:rPr>
        <w:t>O considering the direct hydroxylation of benzene to phenol (11.8 Mt </w:t>
      </w:r>
      <w:proofErr w:type="spellStart"/>
      <w:r w:rsidRPr="008957E3">
        <w:rPr>
          <w:rFonts w:ascii="Arial" w:hAnsi="Arial" w:cs="Arial"/>
          <w:bCs/>
          <w:sz w:val="20"/>
          <w:szCs w:val="20"/>
          <w:lang w:val="en-GB"/>
        </w:rPr>
        <w:t>yr</w:t>
      </w:r>
      <w:proofErr w:type="spellEnd"/>
      <w:r w:rsidRPr="008957E3">
        <w:rPr>
          <w:rFonts w:ascii="Arial" w:hAnsi="Arial" w:cs="Arial"/>
          <w:bCs/>
          <w:sz w:val="20"/>
          <w:szCs w:val="20"/>
          <w:vertAlign w:val="superscript"/>
          <w:lang w:val="en-GB"/>
        </w:rPr>
        <w:t>–1</w:t>
      </w:r>
      <w:r w:rsidRPr="008957E3">
        <w:rPr>
          <w:rFonts w:ascii="Arial" w:hAnsi="Arial" w:cs="Arial"/>
          <w:bCs/>
          <w:sz w:val="20"/>
          <w:szCs w:val="20"/>
          <w:lang w:val="en-GB"/>
        </w:rPr>
        <w:t xml:space="preserve"> in 2023) as its main industrial applications. </w:t>
      </w:r>
      <w:proofErr w:type="spellStart"/>
      <w:r w:rsidR="00C41BC8" w:rsidRPr="008957E3">
        <w:rPr>
          <w:rFonts w:ascii="Arial" w:hAnsi="Arial" w:cs="Arial"/>
          <w:bCs/>
          <w:sz w:val="20"/>
          <w:szCs w:val="20"/>
          <w:vertAlign w:val="superscript"/>
          <w:lang w:val="en-GB"/>
        </w:rPr>
        <w:t>a</w:t>
      </w:r>
      <w:r w:rsidR="00C41BC8" w:rsidRPr="008957E3">
        <w:rPr>
          <w:rFonts w:ascii="Arial" w:hAnsi="Arial" w:cs="Arial"/>
          <w:bCs/>
          <w:sz w:val="20"/>
          <w:szCs w:val="20"/>
          <w:lang w:val="en-GB"/>
        </w:rPr>
        <w:t>Data</w:t>
      </w:r>
      <w:proofErr w:type="spellEnd"/>
      <w:r w:rsidRPr="008957E3">
        <w:rPr>
          <w:rFonts w:ascii="Arial" w:hAnsi="Arial" w:cs="Arial"/>
          <w:bCs/>
          <w:sz w:val="20"/>
          <w:szCs w:val="20"/>
          <w:lang w:val="en-GB"/>
        </w:rPr>
        <w:t xml:space="preserve"> are from Statista</w:t>
      </w:r>
      <w:r w:rsidRPr="008957E3">
        <w:rPr>
          <w:rFonts w:ascii="Arial" w:hAnsi="Arial" w:cs="Arial"/>
          <w:sz w:val="20"/>
          <w:szCs w:val="20"/>
          <w:lang w:val="en-GB"/>
        </w:rPr>
        <w:t>.</w:t>
      </w:r>
    </w:p>
    <w:p w14:paraId="57A78FAD" w14:textId="77777777" w:rsidR="006D27DB" w:rsidRPr="008957E3" w:rsidRDefault="006D27DB" w:rsidP="006D27DB">
      <w:pPr>
        <w:pStyle w:val="ListParagraph"/>
        <w:numPr>
          <w:ilvl w:val="0"/>
          <w:numId w:val="3"/>
        </w:numPr>
        <w:spacing w:line="360" w:lineRule="auto"/>
        <w:jc w:val="both"/>
        <w:rPr>
          <w:rFonts w:ascii="Arial" w:hAnsi="Arial" w:cs="Arial"/>
          <w:sz w:val="20"/>
          <w:szCs w:val="20"/>
          <w:lang w:val="en-GB"/>
        </w:rPr>
      </w:pPr>
      <w:r w:rsidRPr="008957E3">
        <w:rPr>
          <w:rFonts w:ascii="Arial" w:hAnsi="Arial" w:cs="Arial"/>
          <w:sz w:val="20"/>
          <w:szCs w:val="20"/>
          <w:lang w:val="en-GB"/>
        </w:rPr>
        <w:t>Ammonia serves as the universal feedstock for all major N</w:t>
      </w:r>
      <w:r w:rsidRPr="008957E3">
        <w:rPr>
          <w:rFonts w:ascii="Arial" w:hAnsi="Arial" w:cs="Arial"/>
          <w:sz w:val="20"/>
          <w:szCs w:val="20"/>
          <w:vertAlign w:val="subscript"/>
          <w:lang w:val="en-GB"/>
        </w:rPr>
        <w:t>2</w:t>
      </w:r>
      <w:r w:rsidRPr="008957E3">
        <w:rPr>
          <w:rFonts w:ascii="Arial" w:hAnsi="Arial" w:cs="Arial"/>
          <w:sz w:val="20"/>
          <w:szCs w:val="20"/>
          <w:lang w:val="en-GB"/>
        </w:rPr>
        <w:t>O production routes, including conventional ammonium nitrate decomposition, selective ammonia oxidation, and off-gas recovery.</w:t>
      </w:r>
    </w:p>
    <w:p w14:paraId="523FCAD8" w14:textId="77777777" w:rsidR="006D27DB" w:rsidRPr="008957E3" w:rsidRDefault="006D27DB" w:rsidP="006D27DB">
      <w:pPr>
        <w:pStyle w:val="ListParagraph"/>
        <w:numPr>
          <w:ilvl w:val="0"/>
          <w:numId w:val="3"/>
        </w:numPr>
        <w:spacing w:line="360" w:lineRule="auto"/>
        <w:jc w:val="both"/>
        <w:rPr>
          <w:rFonts w:ascii="Arial" w:hAnsi="Arial" w:cs="Arial"/>
          <w:sz w:val="20"/>
          <w:szCs w:val="20"/>
          <w:lang w:val="en-GB"/>
        </w:rPr>
      </w:pPr>
      <w:r w:rsidRPr="008957E3">
        <w:rPr>
          <w:rFonts w:ascii="Arial" w:hAnsi="Arial" w:cs="Arial"/>
          <w:sz w:val="20"/>
          <w:szCs w:val="20"/>
          <w:lang w:val="en-GB"/>
        </w:rPr>
        <w:t>Current N</w:t>
      </w:r>
      <w:r w:rsidRPr="008957E3">
        <w:rPr>
          <w:rFonts w:ascii="Arial" w:hAnsi="Arial" w:cs="Arial"/>
          <w:sz w:val="20"/>
          <w:szCs w:val="20"/>
          <w:vertAlign w:val="subscript"/>
          <w:lang w:val="en-GB"/>
        </w:rPr>
        <w:t>2</w:t>
      </w:r>
      <w:r w:rsidRPr="008957E3">
        <w:rPr>
          <w:rFonts w:ascii="Arial" w:hAnsi="Arial" w:cs="Arial"/>
          <w:sz w:val="20"/>
          <w:szCs w:val="20"/>
          <w:lang w:val="en-GB"/>
        </w:rPr>
        <w:t>O use is limited (ca. 0.5 Mt </w:t>
      </w:r>
      <w:proofErr w:type="spellStart"/>
      <w:r w:rsidRPr="008957E3">
        <w:rPr>
          <w:rFonts w:ascii="Arial" w:hAnsi="Arial" w:cs="Arial"/>
          <w:bCs/>
          <w:sz w:val="20"/>
          <w:szCs w:val="20"/>
          <w:lang w:val="en-GB"/>
        </w:rPr>
        <w:t>yr</w:t>
      </w:r>
      <w:proofErr w:type="spellEnd"/>
      <w:r w:rsidRPr="008957E3">
        <w:rPr>
          <w:rFonts w:ascii="Arial" w:hAnsi="Arial" w:cs="Arial"/>
          <w:bCs/>
          <w:sz w:val="20"/>
          <w:szCs w:val="20"/>
          <w:vertAlign w:val="superscript"/>
          <w:lang w:val="en-GB"/>
        </w:rPr>
        <w:sym w:font="Symbol" w:char="F02D"/>
      </w:r>
      <w:r w:rsidRPr="008957E3">
        <w:rPr>
          <w:rFonts w:ascii="Arial" w:hAnsi="Arial" w:cs="Arial"/>
          <w:bCs/>
          <w:sz w:val="20"/>
          <w:szCs w:val="20"/>
          <w:vertAlign w:val="superscript"/>
          <w:lang w:val="en-GB"/>
        </w:rPr>
        <w:t>1</w:t>
      </w:r>
      <w:r w:rsidRPr="008957E3">
        <w:rPr>
          <w:rFonts w:ascii="Arial" w:hAnsi="Arial" w:cs="Arial"/>
          <w:bCs/>
          <w:sz w:val="20"/>
          <w:szCs w:val="20"/>
          <w:lang w:val="en-GB"/>
        </w:rPr>
        <w:t xml:space="preserve">) and </w:t>
      </w:r>
      <w:r w:rsidRPr="008957E3">
        <w:rPr>
          <w:rFonts w:ascii="Arial" w:hAnsi="Arial" w:cs="Arial"/>
          <w:sz w:val="20"/>
          <w:szCs w:val="20"/>
          <w:lang w:val="en-GB"/>
        </w:rPr>
        <w:t>dominated by the medical sector, with the remaining 13</w:t>
      </w:r>
      <w:r w:rsidRPr="008957E3">
        <w:rPr>
          <w:rFonts w:ascii="Arial" w:hAnsi="Arial" w:cs="Arial"/>
          <w:sz w:val="20"/>
          <w:szCs w:val="20"/>
          <w:lang w:val="en-GB"/>
        </w:rPr>
        <w:noBreakHyphen/>
        <w:t>15% split among automotive, food &amp; beverage, electronics, and other sectors, though exact percentages for these are not publicly detailed.</w:t>
      </w:r>
    </w:p>
    <w:p w14:paraId="7455A8FE" w14:textId="77777777" w:rsidR="006D27DB" w:rsidRPr="008957E3" w:rsidRDefault="006D27DB" w:rsidP="009710A1">
      <w:pPr>
        <w:pStyle w:val="ListParagraph"/>
        <w:numPr>
          <w:ilvl w:val="0"/>
          <w:numId w:val="3"/>
        </w:numPr>
        <w:spacing w:after="0" w:line="360" w:lineRule="auto"/>
        <w:jc w:val="both"/>
        <w:rPr>
          <w:rFonts w:ascii="Arial" w:hAnsi="Arial" w:cs="Arial"/>
          <w:sz w:val="20"/>
          <w:szCs w:val="20"/>
          <w:lang w:val="en-GB"/>
        </w:rPr>
      </w:pPr>
      <w:r w:rsidRPr="008957E3">
        <w:rPr>
          <w:rFonts w:ascii="Arial" w:hAnsi="Arial" w:cs="Arial"/>
          <w:sz w:val="20"/>
          <w:szCs w:val="20"/>
          <w:lang w:val="en-GB"/>
        </w:rPr>
        <w:t>Projections suggest that global demand could increase by more than an order of magnitude (ca. 6.0 Mt </w:t>
      </w:r>
      <w:proofErr w:type="spellStart"/>
      <w:r w:rsidRPr="008957E3">
        <w:rPr>
          <w:rFonts w:ascii="Arial" w:hAnsi="Arial" w:cs="Arial"/>
          <w:bCs/>
          <w:sz w:val="20"/>
          <w:szCs w:val="20"/>
          <w:lang w:val="en-GB"/>
        </w:rPr>
        <w:t>yr</w:t>
      </w:r>
      <w:proofErr w:type="spellEnd"/>
      <w:r w:rsidRPr="008957E3">
        <w:rPr>
          <w:bCs/>
          <w:vertAlign w:val="superscript"/>
          <w:lang w:val="en-GB"/>
        </w:rPr>
        <w:sym w:font="Symbol" w:char="F02D"/>
      </w:r>
      <w:r w:rsidRPr="008957E3">
        <w:rPr>
          <w:rFonts w:ascii="Arial" w:hAnsi="Arial" w:cs="Arial"/>
          <w:bCs/>
          <w:sz w:val="20"/>
          <w:szCs w:val="20"/>
          <w:vertAlign w:val="superscript"/>
          <w:lang w:val="en-GB"/>
        </w:rPr>
        <w:t>1</w:t>
      </w:r>
      <w:r w:rsidRPr="008957E3">
        <w:rPr>
          <w:rFonts w:ascii="Arial" w:hAnsi="Arial" w:cs="Arial"/>
          <w:sz w:val="20"/>
          <w:szCs w:val="20"/>
          <w:lang w:val="en-GB"/>
        </w:rPr>
        <w:t>) should N</w:t>
      </w:r>
      <w:r w:rsidRPr="008957E3">
        <w:rPr>
          <w:rFonts w:ascii="Arial" w:hAnsi="Arial" w:cs="Arial"/>
          <w:sz w:val="20"/>
          <w:szCs w:val="20"/>
          <w:vertAlign w:val="subscript"/>
          <w:lang w:val="en-GB"/>
        </w:rPr>
        <w:t>2</w:t>
      </w:r>
      <w:r w:rsidRPr="008957E3">
        <w:rPr>
          <w:rFonts w:ascii="Arial" w:hAnsi="Arial" w:cs="Arial"/>
          <w:sz w:val="20"/>
          <w:szCs w:val="20"/>
          <w:lang w:val="en-GB"/>
        </w:rPr>
        <w:t>O be adopted as a primary oxidant in large</w:t>
      </w:r>
      <w:r w:rsidRPr="008957E3">
        <w:rPr>
          <w:rFonts w:ascii="Arial" w:hAnsi="Arial" w:cs="Arial"/>
          <w:sz w:val="20"/>
          <w:szCs w:val="20"/>
          <w:lang w:val="en-GB"/>
        </w:rPr>
        <w:noBreakHyphen/>
        <w:t>scale processes such as the direct oxidation of benzene to phenol.</w:t>
      </w:r>
    </w:p>
    <w:p w14:paraId="15410107" w14:textId="77777777" w:rsidR="00242359" w:rsidRPr="008957E3" w:rsidRDefault="00242359" w:rsidP="00C07F23">
      <w:pPr>
        <w:spacing w:line="360" w:lineRule="auto"/>
        <w:rPr>
          <w:rFonts w:ascii="Arial" w:hAnsi="Arial" w:cs="Arial"/>
          <w:sz w:val="20"/>
          <w:szCs w:val="20"/>
          <w:lang w:val="en-GB"/>
        </w:rPr>
      </w:pPr>
      <w:r w:rsidRPr="008957E3">
        <w:rPr>
          <w:rFonts w:ascii="Arial" w:hAnsi="Arial" w:cs="Arial"/>
          <w:sz w:val="20"/>
          <w:szCs w:val="20"/>
          <w:lang w:val="en-GB"/>
        </w:rPr>
        <w:br w:type="page"/>
      </w:r>
    </w:p>
    <w:p w14:paraId="79D11A9E" w14:textId="77777777" w:rsidR="00DE182F" w:rsidRPr="008957E3" w:rsidRDefault="002F1A80" w:rsidP="00C07F23">
      <w:pPr>
        <w:spacing w:line="360" w:lineRule="auto"/>
        <w:jc w:val="center"/>
        <w:rPr>
          <w:rFonts w:ascii="Arial" w:hAnsi="Arial" w:cs="Arial"/>
          <w:sz w:val="20"/>
          <w:szCs w:val="20"/>
          <w:lang w:val="en-GB"/>
        </w:rPr>
      </w:pPr>
      <w:r w:rsidRPr="008957E3">
        <w:rPr>
          <w:rFonts w:ascii="Arial" w:hAnsi="Arial" w:cs="Arial"/>
          <w:noProof/>
          <w:sz w:val="20"/>
          <w:szCs w:val="20"/>
          <w:lang w:val="en-GB"/>
        </w:rPr>
        <w:lastRenderedPageBreak/>
        <w:drawing>
          <wp:inline distT="0" distB="0" distL="0" distR="0" wp14:anchorId="6E6CD7A7" wp14:editId="609A0AA4">
            <wp:extent cx="5760407" cy="3077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_step_vs_5_step_raw.png"/>
                    <pic:cNvPicPr/>
                  </pic:nvPicPr>
                  <pic:blipFill>
                    <a:blip r:embed="rId11"/>
                    <a:stretch>
                      <a:fillRect/>
                    </a:stretch>
                  </pic:blipFill>
                  <pic:spPr>
                    <a:xfrm>
                      <a:off x="0" y="0"/>
                      <a:ext cx="5760407" cy="3077845"/>
                    </a:xfrm>
                    <a:prstGeom prst="rect">
                      <a:avLst/>
                    </a:prstGeom>
                  </pic:spPr>
                </pic:pic>
              </a:graphicData>
            </a:graphic>
          </wp:inline>
        </w:drawing>
      </w:r>
    </w:p>
    <w:p w14:paraId="65F71EA0" w14:textId="77777777" w:rsidR="00684913" w:rsidRPr="008957E3" w:rsidRDefault="00684913" w:rsidP="00684913">
      <w:pPr>
        <w:spacing w:line="360" w:lineRule="auto"/>
        <w:jc w:val="both"/>
        <w:rPr>
          <w:rFonts w:ascii="Arial" w:hAnsi="Arial" w:cs="Arial"/>
          <w:sz w:val="20"/>
          <w:szCs w:val="20"/>
          <w:lang w:val="en-GB"/>
        </w:rPr>
      </w:pPr>
      <w:r w:rsidRPr="008957E3">
        <w:rPr>
          <w:rFonts w:ascii="Arial" w:hAnsi="Arial" w:cs="Arial"/>
          <w:b/>
          <w:sz w:val="20"/>
          <w:szCs w:val="20"/>
          <w:lang w:val="en-GB"/>
        </w:rPr>
        <w:t>Fig. 2</w:t>
      </w:r>
      <w:r w:rsidRPr="008957E3">
        <w:rPr>
          <w:rFonts w:ascii="Arial" w:hAnsi="Arial" w:cs="Arial"/>
          <w:sz w:val="20"/>
          <w:szCs w:val="20"/>
          <w:lang w:val="en-GB"/>
        </w:rPr>
        <w:t xml:space="preserve"> </w:t>
      </w:r>
      <w:r w:rsidRPr="008957E3">
        <w:rPr>
          <w:rFonts w:ascii="Arial" w:hAnsi="Arial" w:cs="Arial"/>
          <w:b/>
          <w:sz w:val="20"/>
          <w:szCs w:val="20"/>
          <w:lang w:val="en-GB"/>
        </w:rPr>
        <w:t>(</w:t>
      </w:r>
      <w:r w:rsidRPr="008957E3">
        <w:rPr>
          <w:rFonts w:ascii="Arial" w:hAnsi="Arial" w:cs="Arial"/>
          <w:b/>
          <w:bCs/>
          <w:sz w:val="20"/>
          <w:szCs w:val="20"/>
          <w:lang w:val="en-GB"/>
        </w:rPr>
        <w:t>a)</w:t>
      </w:r>
      <w:r w:rsidRPr="008957E3">
        <w:rPr>
          <w:rFonts w:ascii="Arial" w:hAnsi="Arial" w:cs="Arial"/>
          <w:bCs/>
          <w:sz w:val="20"/>
          <w:szCs w:val="20"/>
          <w:lang w:val="en-GB"/>
        </w:rPr>
        <w:t> </w:t>
      </w:r>
      <w:r w:rsidRPr="008957E3">
        <w:rPr>
          <w:rFonts w:ascii="Arial" w:hAnsi="Arial" w:cs="Arial"/>
          <w:sz w:val="20"/>
          <w:szCs w:val="20"/>
          <w:lang w:val="en-GB"/>
        </w:rPr>
        <w:t xml:space="preserve">Production costs and </w:t>
      </w:r>
      <w:r w:rsidRPr="008957E3">
        <w:rPr>
          <w:rFonts w:ascii="Arial" w:hAnsi="Arial" w:cs="Arial"/>
          <w:b/>
          <w:sz w:val="20"/>
          <w:szCs w:val="20"/>
          <w:lang w:val="en-GB"/>
        </w:rPr>
        <w:t>(b)</w:t>
      </w:r>
      <w:r w:rsidRPr="008957E3">
        <w:rPr>
          <w:rFonts w:ascii="Arial" w:hAnsi="Arial" w:cs="Arial"/>
          <w:sz w:val="20"/>
          <w:szCs w:val="20"/>
          <w:lang w:val="en-GB"/>
        </w:rPr>
        <w:t> climate change impacts per kg of N</w:t>
      </w:r>
      <w:r w:rsidRPr="008957E3">
        <w:rPr>
          <w:rFonts w:ascii="Arial" w:hAnsi="Arial" w:cs="Arial"/>
          <w:sz w:val="20"/>
          <w:szCs w:val="20"/>
          <w:vertAlign w:val="subscript"/>
          <w:lang w:val="en-GB"/>
        </w:rPr>
        <w:t>2</w:t>
      </w:r>
      <w:r w:rsidRPr="008957E3">
        <w:rPr>
          <w:rFonts w:ascii="Arial" w:hAnsi="Arial" w:cs="Arial"/>
          <w:sz w:val="20"/>
          <w:szCs w:val="20"/>
          <w:lang w:val="en-GB"/>
        </w:rPr>
        <w:t>O produced using two technologies: 1-step ammonia oxidation and 5-step thermal decomposition of ammonium nitrate. The analysis includes N</w:t>
      </w:r>
      <w:r w:rsidRPr="008957E3">
        <w:rPr>
          <w:rFonts w:ascii="Arial" w:hAnsi="Arial" w:cs="Arial"/>
          <w:sz w:val="20"/>
          <w:szCs w:val="20"/>
          <w:vertAlign w:val="subscript"/>
          <w:lang w:val="en-GB"/>
        </w:rPr>
        <w:t>2</w:t>
      </w:r>
      <w:r w:rsidRPr="008957E3">
        <w:rPr>
          <w:rFonts w:ascii="Arial" w:hAnsi="Arial" w:cs="Arial"/>
          <w:sz w:val="20"/>
          <w:szCs w:val="20"/>
          <w:lang w:val="en-GB"/>
        </w:rPr>
        <w:t>O production via both fossil</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based ammonia (derived from natural gas) and green ammonia (produced via the electrolytic hydrogen-based Haber</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Bosch process). Future projections for 2050 are provided to highlight potential reductions in production costs and climate change impacts across all technologies.</w:t>
      </w:r>
    </w:p>
    <w:p w14:paraId="545ECA73" w14:textId="77777777" w:rsidR="00684913" w:rsidRPr="008957E3" w:rsidRDefault="00684913" w:rsidP="00684913">
      <w:pPr>
        <w:pStyle w:val="ListParagraph"/>
        <w:numPr>
          <w:ilvl w:val="0"/>
          <w:numId w:val="3"/>
        </w:numPr>
        <w:spacing w:line="360" w:lineRule="auto"/>
        <w:jc w:val="both"/>
        <w:rPr>
          <w:rFonts w:ascii="Arial" w:hAnsi="Arial" w:cs="Arial"/>
          <w:sz w:val="20"/>
          <w:szCs w:val="20"/>
          <w:lang w:val="en-GB"/>
        </w:rPr>
      </w:pPr>
      <w:r w:rsidRPr="008957E3">
        <w:rPr>
          <w:rFonts w:ascii="Arial" w:hAnsi="Arial" w:cs="Arial"/>
          <w:sz w:val="20"/>
          <w:szCs w:val="20"/>
          <w:lang w:val="en-GB"/>
        </w:rPr>
        <w:t>The 1</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step direct oxidation of ammonia to N</w:t>
      </w:r>
      <w:r w:rsidRPr="008957E3">
        <w:rPr>
          <w:rFonts w:ascii="Arial" w:hAnsi="Arial" w:cs="Arial"/>
          <w:sz w:val="20"/>
          <w:szCs w:val="20"/>
          <w:vertAlign w:val="subscript"/>
          <w:lang w:val="en-GB"/>
        </w:rPr>
        <w:t>2</w:t>
      </w:r>
      <w:r w:rsidRPr="008957E3">
        <w:rPr>
          <w:rFonts w:ascii="Arial" w:hAnsi="Arial" w:cs="Arial"/>
          <w:sz w:val="20"/>
          <w:szCs w:val="20"/>
          <w:lang w:val="en-GB"/>
        </w:rPr>
        <w:t>O performs better than the conventional 5</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step process of ammonia to N</w:t>
      </w:r>
      <w:r w:rsidRPr="008957E3">
        <w:rPr>
          <w:rFonts w:ascii="Arial" w:hAnsi="Arial" w:cs="Arial"/>
          <w:sz w:val="20"/>
          <w:szCs w:val="20"/>
          <w:vertAlign w:val="subscript"/>
          <w:lang w:val="en-GB"/>
        </w:rPr>
        <w:t>2</w:t>
      </w:r>
      <w:r w:rsidRPr="008957E3">
        <w:rPr>
          <w:rFonts w:ascii="Arial" w:hAnsi="Arial" w:cs="Arial"/>
          <w:sz w:val="20"/>
          <w:szCs w:val="20"/>
          <w:lang w:val="en-GB"/>
        </w:rPr>
        <w:t>O via ammonia nitrate decomposition in terms of both production costs and climate change impacts.</w:t>
      </w:r>
    </w:p>
    <w:p w14:paraId="53896DF3" w14:textId="77777777" w:rsidR="00684913" w:rsidRPr="008957E3" w:rsidRDefault="00684913" w:rsidP="00966D82">
      <w:pPr>
        <w:pStyle w:val="ListParagraph"/>
        <w:numPr>
          <w:ilvl w:val="0"/>
          <w:numId w:val="3"/>
        </w:numPr>
        <w:spacing w:after="0" w:line="360" w:lineRule="auto"/>
        <w:jc w:val="both"/>
        <w:rPr>
          <w:rFonts w:ascii="Arial" w:hAnsi="Arial" w:cs="Arial"/>
          <w:sz w:val="20"/>
          <w:szCs w:val="20"/>
          <w:lang w:val="en-GB"/>
        </w:rPr>
      </w:pPr>
      <w:r w:rsidRPr="008957E3">
        <w:rPr>
          <w:rFonts w:ascii="Arial" w:hAnsi="Arial" w:cs="Arial"/>
          <w:sz w:val="20"/>
          <w:szCs w:val="20"/>
          <w:lang w:val="en-GB"/>
        </w:rPr>
        <w:t>Ammonia is the main contributing factor to both production costs and climate change impacts. However, CAPEX contributes more to production costs, and electricity contributes more to climate change impacts in the 5</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step process compared to the 1</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step direct oxidation technology.</w:t>
      </w:r>
    </w:p>
    <w:p w14:paraId="5A4BEAC1" w14:textId="77777777" w:rsidR="002F1A80" w:rsidRPr="008957E3" w:rsidRDefault="002F1A80" w:rsidP="00C07F23">
      <w:pPr>
        <w:spacing w:line="360" w:lineRule="auto"/>
        <w:jc w:val="both"/>
        <w:rPr>
          <w:rFonts w:ascii="Arial" w:hAnsi="Arial" w:cs="Arial"/>
          <w:sz w:val="20"/>
          <w:szCs w:val="20"/>
          <w:lang w:val="en-GB"/>
        </w:rPr>
      </w:pPr>
      <w:r w:rsidRPr="008957E3">
        <w:rPr>
          <w:rFonts w:ascii="Arial" w:hAnsi="Arial" w:cs="Arial"/>
          <w:sz w:val="20"/>
          <w:szCs w:val="20"/>
          <w:lang w:val="en-GB"/>
        </w:rPr>
        <w:br w:type="page"/>
      </w:r>
    </w:p>
    <w:p w14:paraId="2D79C209" w14:textId="77777777" w:rsidR="00BB5698" w:rsidRPr="008957E3" w:rsidRDefault="00BB5698" w:rsidP="00C07F23">
      <w:pPr>
        <w:spacing w:line="360" w:lineRule="auto"/>
        <w:jc w:val="both"/>
        <w:rPr>
          <w:rFonts w:ascii="Arial" w:hAnsi="Arial" w:cs="Arial"/>
          <w:sz w:val="20"/>
          <w:szCs w:val="20"/>
          <w:lang w:val="en-GB"/>
        </w:rPr>
      </w:pPr>
      <w:r w:rsidRPr="008957E3">
        <w:rPr>
          <w:rFonts w:ascii="Arial" w:hAnsi="Arial" w:cs="Arial"/>
          <w:b/>
          <w:sz w:val="20"/>
          <w:szCs w:val="20"/>
          <w:lang w:val="en-GB"/>
        </w:rPr>
        <w:lastRenderedPageBreak/>
        <w:t>Table 1</w:t>
      </w:r>
      <w:r w:rsidR="00632EDA" w:rsidRPr="008957E3">
        <w:rPr>
          <w:rFonts w:ascii="Arial" w:hAnsi="Arial" w:cs="Arial"/>
          <w:sz w:val="20"/>
          <w:szCs w:val="20"/>
          <w:lang w:val="en-GB"/>
        </w:rPr>
        <w:t xml:space="preserve"> </w:t>
      </w:r>
      <w:r w:rsidR="003C02D7" w:rsidRPr="008957E3">
        <w:rPr>
          <w:rFonts w:ascii="Arial" w:hAnsi="Arial" w:cs="Arial"/>
          <w:sz w:val="20"/>
          <w:szCs w:val="20"/>
          <w:lang w:val="en-GB"/>
        </w:rPr>
        <w:t>Risk assessment metrics for the 1</w:t>
      </w:r>
      <w:r w:rsidR="003C02D7" w:rsidRPr="008957E3">
        <w:rPr>
          <w:rFonts w:ascii="Arial" w:eastAsiaTheme="minorEastAsia" w:hAnsi="Arial" w:cs="Arial"/>
          <w:bCs/>
          <w:sz w:val="20"/>
          <w:szCs w:val="20"/>
          <w:lang w:val="en-GB" w:eastAsia="zh-CN"/>
        </w:rPr>
        <w:noBreakHyphen/>
      </w:r>
      <w:r w:rsidR="003C02D7" w:rsidRPr="008957E3">
        <w:rPr>
          <w:rFonts w:ascii="Arial" w:hAnsi="Arial" w:cs="Arial"/>
          <w:sz w:val="20"/>
          <w:szCs w:val="20"/>
          <w:lang w:val="en-GB"/>
        </w:rPr>
        <w:t>step and 5</w:t>
      </w:r>
      <w:r w:rsidR="003C02D7" w:rsidRPr="008957E3">
        <w:rPr>
          <w:rFonts w:ascii="Arial" w:eastAsiaTheme="minorEastAsia" w:hAnsi="Arial" w:cs="Arial"/>
          <w:bCs/>
          <w:sz w:val="20"/>
          <w:szCs w:val="20"/>
          <w:lang w:val="en-GB" w:eastAsia="zh-CN"/>
        </w:rPr>
        <w:noBreakHyphen/>
      </w:r>
      <w:r w:rsidR="003C02D7" w:rsidRPr="008957E3">
        <w:rPr>
          <w:rFonts w:ascii="Arial" w:hAnsi="Arial" w:cs="Arial"/>
          <w:sz w:val="20"/>
          <w:szCs w:val="20"/>
          <w:lang w:val="en-GB"/>
        </w:rPr>
        <w:t>step N</w:t>
      </w:r>
      <w:r w:rsidR="003C02D7" w:rsidRPr="008957E3">
        <w:rPr>
          <w:rFonts w:ascii="Arial" w:hAnsi="Arial" w:cs="Arial"/>
          <w:sz w:val="20"/>
          <w:szCs w:val="20"/>
          <w:vertAlign w:val="subscript"/>
          <w:lang w:val="en-GB"/>
        </w:rPr>
        <w:t>2</w:t>
      </w:r>
      <w:r w:rsidR="003C02D7" w:rsidRPr="008957E3">
        <w:rPr>
          <w:rFonts w:ascii="Arial" w:hAnsi="Arial" w:cs="Arial"/>
          <w:sz w:val="20"/>
          <w:szCs w:val="20"/>
          <w:lang w:val="en-GB"/>
        </w:rPr>
        <w:t>O production routes are evaluated using the Dow fire and explosion index framework, highlighting estimated financial and operational impacts.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8"/>
        <w:gridCol w:w="806"/>
        <w:gridCol w:w="850"/>
      </w:tblGrid>
      <w:tr w:rsidR="00632EDA" w:rsidRPr="008957E3" w14:paraId="0D1142C1" w14:textId="77777777" w:rsidTr="00B610A0">
        <w:trPr>
          <w:trHeight w:hRule="exact" w:val="360"/>
          <w:jc w:val="center"/>
        </w:trPr>
        <w:tc>
          <w:tcPr>
            <w:tcW w:w="0" w:type="auto"/>
            <w:tcBorders>
              <w:top w:val="single" w:sz="4" w:space="0" w:color="auto"/>
              <w:bottom w:val="single" w:sz="4" w:space="0" w:color="auto"/>
            </w:tcBorders>
            <w:vAlign w:val="center"/>
          </w:tcPr>
          <w:p w14:paraId="33159788" w14:textId="77777777" w:rsidR="00632EDA" w:rsidRPr="008957E3" w:rsidRDefault="00632EDA" w:rsidP="00C07F23">
            <w:pPr>
              <w:spacing w:line="360" w:lineRule="auto"/>
              <w:rPr>
                <w:rFonts w:ascii="Arial" w:hAnsi="Arial" w:cs="Arial"/>
                <w:b/>
                <w:sz w:val="20"/>
                <w:szCs w:val="20"/>
                <w:lang w:val="en-GB"/>
              </w:rPr>
            </w:pPr>
            <w:r w:rsidRPr="008957E3">
              <w:rPr>
                <w:rFonts w:ascii="Arial" w:hAnsi="Arial" w:cs="Arial"/>
                <w:b/>
                <w:sz w:val="20"/>
                <w:szCs w:val="20"/>
                <w:lang w:val="en-GB"/>
              </w:rPr>
              <w:t>Metric</w:t>
            </w:r>
          </w:p>
        </w:tc>
        <w:tc>
          <w:tcPr>
            <w:tcW w:w="0" w:type="auto"/>
            <w:tcBorders>
              <w:top w:val="single" w:sz="4" w:space="0" w:color="auto"/>
              <w:bottom w:val="single" w:sz="4" w:space="0" w:color="auto"/>
            </w:tcBorders>
            <w:vAlign w:val="center"/>
          </w:tcPr>
          <w:p w14:paraId="5E630217" w14:textId="77777777" w:rsidR="00632EDA" w:rsidRPr="008957E3" w:rsidRDefault="00632EDA" w:rsidP="00C07F23">
            <w:pPr>
              <w:spacing w:line="360" w:lineRule="auto"/>
              <w:jc w:val="center"/>
              <w:rPr>
                <w:rFonts w:ascii="Arial" w:hAnsi="Arial" w:cs="Arial"/>
                <w:b/>
                <w:sz w:val="20"/>
                <w:szCs w:val="20"/>
                <w:lang w:val="en-GB"/>
              </w:rPr>
            </w:pPr>
            <w:r w:rsidRPr="008957E3">
              <w:rPr>
                <w:rFonts w:ascii="Arial" w:hAnsi="Arial" w:cs="Arial"/>
                <w:b/>
                <w:sz w:val="20"/>
                <w:szCs w:val="20"/>
                <w:lang w:val="en-GB"/>
              </w:rPr>
              <w:t>1-step</w:t>
            </w:r>
          </w:p>
        </w:tc>
        <w:tc>
          <w:tcPr>
            <w:tcW w:w="0" w:type="auto"/>
            <w:tcBorders>
              <w:top w:val="single" w:sz="4" w:space="0" w:color="auto"/>
              <w:bottom w:val="single" w:sz="4" w:space="0" w:color="auto"/>
            </w:tcBorders>
            <w:vAlign w:val="center"/>
          </w:tcPr>
          <w:p w14:paraId="1754035A" w14:textId="77777777" w:rsidR="00632EDA" w:rsidRPr="008957E3" w:rsidRDefault="00632EDA" w:rsidP="00C07F23">
            <w:pPr>
              <w:spacing w:line="360" w:lineRule="auto"/>
              <w:jc w:val="center"/>
              <w:rPr>
                <w:rFonts w:ascii="Arial" w:hAnsi="Arial" w:cs="Arial"/>
                <w:b/>
                <w:sz w:val="20"/>
                <w:szCs w:val="20"/>
                <w:lang w:val="en-GB"/>
              </w:rPr>
            </w:pPr>
            <w:r w:rsidRPr="008957E3">
              <w:rPr>
                <w:rFonts w:ascii="Arial" w:hAnsi="Arial" w:cs="Arial"/>
                <w:b/>
                <w:sz w:val="20"/>
                <w:szCs w:val="20"/>
                <w:lang w:val="en-GB"/>
              </w:rPr>
              <w:t>5-step</w:t>
            </w:r>
          </w:p>
        </w:tc>
      </w:tr>
      <w:tr w:rsidR="00632EDA" w:rsidRPr="008957E3" w14:paraId="53807AD9" w14:textId="77777777" w:rsidTr="00B610A0">
        <w:trPr>
          <w:trHeight w:hRule="exact" w:val="360"/>
          <w:jc w:val="center"/>
        </w:trPr>
        <w:tc>
          <w:tcPr>
            <w:tcW w:w="0" w:type="auto"/>
            <w:tcBorders>
              <w:top w:val="single" w:sz="4" w:space="0" w:color="auto"/>
            </w:tcBorders>
            <w:vAlign w:val="center"/>
          </w:tcPr>
          <w:p w14:paraId="6A3A9C49" w14:textId="77777777" w:rsidR="00632EDA" w:rsidRPr="008957E3" w:rsidRDefault="00632EDA" w:rsidP="00C07F23">
            <w:pPr>
              <w:spacing w:line="360" w:lineRule="auto"/>
              <w:rPr>
                <w:rFonts w:ascii="Arial" w:hAnsi="Arial" w:cs="Arial"/>
                <w:sz w:val="20"/>
                <w:szCs w:val="20"/>
                <w:lang w:val="en-GB"/>
              </w:rPr>
            </w:pPr>
            <w:r w:rsidRPr="008957E3">
              <w:rPr>
                <w:rFonts w:ascii="Arial" w:hAnsi="Arial" w:cs="Arial"/>
                <w:sz w:val="20"/>
                <w:szCs w:val="20"/>
                <w:lang w:val="en-GB"/>
              </w:rPr>
              <w:t>Fire and explosion index</w:t>
            </w:r>
          </w:p>
        </w:tc>
        <w:tc>
          <w:tcPr>
            <w:tcW w:w="0" w:type="auto"/>
            <w:tcBorders>
              <w:top w:val="single" w:sz="4" w:space="0" w:color="auto"/>
            </w:tcBorders>
            <w:vAlign w:val="center"/>
          </w:tcPr>
          <w:p w14:paraId="658A82DF"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47</w:t>
            </w:r>
          </w:p>
        </w:tc>
        <w:tc>
          <w:tcPr>
            <w:tcW w:w="0" w:type="auto"/>
            <w:tcBorders>
              <w:top w:val="single" w:sz="4" w:space="0" w:color="auto"/>
            </w:tcBorders>
            <w:vAlign w:val="center"/>
          </w:tcPr>
          <w:p w14:paraId="0DCB8380"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238</w:t>
            </w:r>
          </w:p>
        </w:tc>
      </w:tr>
      <w:tr w:rsidR="00632EDA" w:rsidRPr="008957E3" w14:paraId="2ED8C807" w14:textId="77777777" w:rsidTr="00B610A0">
        <w:trPr>
          <w:trHeight w:hRule="exact" w:val="360"/>
          <w:jc w:val="center"/>
        </w:trPr>
        <w:tc>
          <w:tcPr>
            <w:tcW w:w="0" w:type="auto"/>
            <w:vAlign w:val="center"/>
          </w:tcPr>
          <w:p w14:paraId="02F5BD43" w14:textId="77777777" w:rsidR="00632EDA" w:rsidRPr="008957E3" w:rsidRDefault="00632EDA" w:rsidP="00C07F23">
            <w:pPr>
              <w:spacing w:line="360" w:lineRule="auto"/>
              <w:rPr>
                <w:rFonts w:ascii="Arial" w:hAnsi="Arial" w:cs="Arial"/>
                <w:sz w:val="20"/>
                <w:szCs w:val="20"/>
                <w:lang w:val="en-GB"/>
              </w:rPr>
            </w:pPr>
            <w:r w:rsidRPr="008957E3">
              <w:rPr>
                <w:rFonts w:ascii="Arial" w:hAnsi="Arial" w:cs="Arial"/>
                <w:sz w:val="20"/>
                <w:szCs w:val="20"/>
                <w:lang w:val="en-GB"/>
              </w:rPr>
              <w:t>Degree of hazard</w:t>
            </w:r>
          </w:p>
        </w:tc>
        <w:tc>
          <w:tcPr>
            <w:tcW w:w="0" w:type="auto"/>
            <w:shd w:val="clear" w:color="auto" w:fill="A8D08D" w:themeFill="accent6" w:themeFillTint="99"/>
            <w:vAlign w:val="center"/>
          </w:tcPr>
          <w:p w14:paraId="286A726E"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Light</w:t>
            </w:r>
          </w:p>
        </w:tc>
        <w:tc>
          <w:tcPr>
            <w:tcW w:w="0" w:type="auto"/>
            <w:shd w:val="clear" w:color="auto" w:fill="F3786B"/>
            <w:vAlign w:val="center"/>
          </w:tcPr>
          <w:p w14:paraId="16B4BD8F"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Severe</w:t>
            </w:r>
          </w:p>
        </w:tc>
      </w:tr>
      <w:tr w:rsidR="00632EDA" w:rsidRPr="008957E3" w14:paraId="00C880E2" w14:textId="77777777" w:rsidTr="00B610A0">
        <w:trPr>
          <w:trHeight w:hRule="exact" w:val="360"/>
          <w:jc w:val="center"/>
        </w:trPr>
        <w:tc>
          <w:tcPr>
            <w:tcW w:w="0" w:type="auto"/>
            <w:vAlign w:val="center"/>
          </w:tcPr>
          <w:p w14:paraId="4D7E8D68" w14:textId="77777777" w:rsidR="00632EDA" w:rsidRPr="008957E3" w:rsidRDefault="00632EDA" w:rsidP="00C07F23">
            <w:pPr>
              <w:spacing w:line="360" w:lineRule="auto"/>
              <w:rPr>
                <w:rFonts w:ascii="Arial" w:hAnsi="Arial" w:cs="Arial"/>
                <w:sz w:val="20"/>
                <w:szCs w:val="20"/>
                <w:lang w:val="en-GB"/>
              </w:rPr>
            </w:pPr>
            <w:r w:rsidRPr="008957E3">
              <w:rPr>
                <w:rFonts w:ascii="Arial" w:hAnsi="Arial" w:cs="Arial"/>
                <w:sz w:val="20"/>
                <w:szCs w:val="20"/>
                <w:lang w:val="en-GB"/>
              </w:rPr>
              <w:t>Radius of exposure (m)</w:t>
            </w:r>
          </w:p>
        </w:tc>
        <w:tc>
          <w:tcPr>
            <w:tcW w:w="0" w:type="auto"/>
            <w:vAlign w:val="center"/>
          </w:tcPr>
          <w:p w14:paraId="0B03B8F5"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12</w:t>
            </w:r>
          </w:p>
        </w:tc>
        <w:tc>
          <w:tcPr>
            <w:tcW w:w="0" w:type="auto"/>
            <w:vAlign w:val="center"/>
          </w:tcPr>
          <w:p w14:paraId="28DB513E"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61</w:t>
            </w:r>
          </w:p>
        </w:tc>
      </w:tr>
      <w:tr w:rsidR="00632EDA" w:rsidRPr="008957E3" w14:paraId="582F8D98" w14:textId="77777777" w:rsidTr="00B610A0">
        <w:trPr>
          <w:trHeight w:hRule="exact" w:val="360"/>
          <w:jc w:val="center"/>
        </w:trPr>
        <w:tc>
          <w:tcPr>
            <w:tcW w:w="0" w:type="auto"/>
            <w:vAlign w:val="center"/>
          </w:tcPr>
          <w:p w14:paraId="27050AE9" w14:textId="77777777" w:rsidR="00632EDA" w:rsidRPr="008957E3" w:rsidRDefault="00632EDA" w:rsidP="00C07F23">
            <w:pPr>
              <w:spacing w:line="360" w:lineRule="auto"/>
              <w:rPr>
                <w:rFonts w:ascii="Arial" w:hAnsi="Arial" w:cs="Arial"/>
                <w:sz w:val="20"/>
                <w:szCs w:val="20"/>
                <w:lang w:val="en-GB"/>
              </w:rPr>
            </w:pPr>
            <w:r w:rsidRPr="008957E3">
              <w:rPr>
                <w:rFonts w:ascii="Arial" w:hAnsi="Arial" w:cs="Arial"/>
                <w:sz w:val="20"/>
                <w:szCs w:val="20"/>
                <w:lang w:val="en-GB"/>
              </w:rPr>
              <w:t>Area of exposure (m</w:t>
            </w:r>
            <w:r w:rsidRPr="008957E3">
              <w:rPr>
                <w:rFonts w:ascii="Arial" w:hAnsi="Arial" w:cs="Arial"/>
                <w:sz w:val="20"/>
                <w:szCs w:val="20"/>
                <w:vertAlign w:val="superscript"/>
                <w:lang w:val="en-GB"/>
              </w:rPr>
              <w:t>2</w:t>
            </w:r>
            <w:r w:rsidRPr="008957E3">
              <w:rPr>
                <w:rFonts w:ascii="Arial" w:hAnsi="Arial" w:cs="Arial"/>
                <w:sz w:val="20"/>
                <w:szCs w:val="20"/>
                <w:lang w:val="en-GB"/>
              </w:rPr>
              <w:t>)</w:t>
            </w:r>
          </w:p>
        </w:tc>
        <w:tc>
          <w:tcPr>
            <w:tcW w:w="0" w:type="auto"/>
            <w:vAlign w:val="center"/>
          </w:tcPr>
          <w:p w14:paraId="078057F4"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464</w:t>
            </w:r>
          </w:p>
        </w:tc>
        <w:tc>
          <w:tcPr>
            <w:tcW w:w="0" w:type="auto"/>
            <w:vAlign w:val="center"/>
          </w:tcPr>
          <w:p w14:paraId="61BAD94F"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11678</w:t>
            </w:r>
          </w:p>
        </w:tc>
      </w:tr>
      <w:tr w:rsidR="00632EDA" w:rsidRPr="008957E3" w14:paraId="2E4B72A2" w14:textId="77777777" w:rsidTr="00B610A0">
        <w:trPr>
          <w:trHeight w:hRule="exact" w:val="360"/>
          <w:jc w:val="center"/>
        </w:trPr>
        <w:tc>
          <w:tcPr>
            <w:tcW w:w="0" w:type="auto"/>
            <w:vAlign w:val="center"/>
          </w:tcPr>
          <w:p w14:paraId="3357D2F1" w14:textId="77777777" w:rsidR="00632EDA" w:rsidRPr="008957E3" w:rsidRDefault="00632EDA" w:rsidP="00C07F23">
            <w:pPr>
              <w:spacing w:line="360" w:lineRule="auto"/>
              <w:rPr>
                <w:rFonts w:ascii="Arial" w:hAnsi="Arial" w:cs="Arial"/>
                <w:sz w:val="20"/>
                <w:szCs w:val="20"/>
                <w:lang w:val="en-GB"/>
              </w:rPr>
            </w:pPr>
            <w:r w:rsidRPr="008957E3">
              <w:rPr>
                <w:rFonts w:ascii="Arial" w:hAnsi="Arial" w:cs="Arial"/>
                <w:sz w:val="20"/>
                <w:szCs w:val="20"/>
                <w:lang w:val="en-GB"/>
              </w:rPr>
              <w:t>Maximum probable property damage (million USD)</w:t>
            </w:r>
          </w:p>
        </w:tc>
        <w:tc>
          <w:tcPr>
            <w:tcW w:w="0" w:type="auto"/>
            <w:vAlign w:val="center"/>
          </w:tcPr>
          <w:p w14:paraId="4B442F68"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2</w:t>
            </w:r>
          </w:p>
        </w:tc>
        <w:tc>
          <w:tcPr>
            <w:tcW w:w="0" w:type="auto"/>
            <w:vAlign w:val="center"/>
          </w:tcPr>
          <w:p w14:paraId="11DB8A0B"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32</w:t>
            </w:r>
          </w:p>
        </w:tc>
      </w:tr>
      <w:tr w:rsidR="00632EDA" w:rsidRPr="008957E3" w14:paraId="401E85F1" w14:textId="77777777" w:rsidTr="00B610A0">
        <w:trPr>
          <w:trHeight w:hRule="exact" w:val="360"/>
          <w:jc w:val="center"/>
        </w:trPr>
        <w:tc>
          <w:tcPr>
            <w:tcW w:w="0" w:type="auto"/>
            <w:vAlign w:val="center"/>
          </w:tcPr>
          <w:p w14:paraId="1F7971E4" w14:textId="77777777" w:rsidR="00632EDA" w:rsidRPr="008957E3" w:rsidRDefault="00632EDA" w:rsidP="00C07F23">
            <w:pPr>
              <w:spacing w:line="360" w:lineRule="auto"/>
              <w:rPr>
                <w:rFonts w:ascii="Arial" w:hAnsi="Arial" w:cs="Arial"/>
                <w:sz w:val="20"/>
                <w:szCs w:val="20"/>
                <w:lang w:val="en-GB"/>
              </w:rPr>
            </w:pPr>
            <w:r w:rsidRPr="008957E3">
              <w:rPr>
                <w:rFonts w:ascii="Arial" w:hAnsi="Arial" w:cs="Arial"/>
                <w:sz w:val="20"/>
                <w:szCs w:val="20"/>
                <w:lang w:val="en-GB"/>
              </w:rPr>
              <w:t>Maximum probable days outage</w:t>
            </w:r>
          </w:p>
        </w:tc>
        <w:tc>
          <w:tcPr>
            <w:tcW w:w="0" w:type="auto"/>
            <w:vAlign w:val="center"/>
          </w:tcPr>
          <w:p w14:paraId="111304C8"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28</w:t>
            </w:r>
          </w:p>
        </w:tc>
        <w:tc>
          <w:tcPr>
            <w:tcW w:w="0" w:type="auto"/>
            <w:vAlign w:val="center"/>
          </w:tcPr>
          <w:p w14:paraId="21AB350A"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166</w:t>
            </w:r>
          </w:p>
        </w:tc>
      </w:tr>
      <w:tr w:rsidR="00632EDA" w:rsidRPr="008957E3" w14:paraId="14F37740" w14:textId="77777777" w:rsidTr="00B610A0">
        <w:trPr>
          <w:trHeight w:hRule="exact" w:val="360"/>
          <w:jc w:val="center"/>
        </w:trPr>
        <w:tc>
          <w:tcPr>
            <w:tcW w:w="0" w:type="auto"/>
            <w:tcBorders>
              <w:bottom w:val="single" w:sz="4" w:space="0" w:color="auto"/>
            </w:tcBorders>
            <w:vAlign w:val="center"/>
          </w:tcPr>
          <w:p w14:paraId="6E054910" w14:textId="77777777" w:rsidR="00632EDA" w:rsidRPr="008957E3" w:rsidRDefault="00632EDA" w:rsidP="00C07F23">
            <w:pPr>
              <w:spacing w:line="360" w:lineRule="auto"/>
              <w:rPr>
                <w:rFonts w:ascii="Arial" w:hAnsi="Arial" w:cs="Arial"/>
                <w:sz w:val="20"/>
                <w:szCs w:val="20"/>
                <w:lang w:val="en-GB"/>
              </w:rPr>
            </w:pPr>
            <w:r w:rsidRPr="008957E3">
              <w:rPr>
                <w:rFonts w:ascii="Arial" w:hAnsi="Arial" w:cs="Arial"/>
                <w:sz w:val="20"/>
                <w:szCs w:val="20"/>
                <w:lang w:val="en-GB"/>
              </w:rPr>
              <w:t>Business interruption (million USD)</w:t>
            </w:r>
          </w:p>
        </w:tc>
        <w:tc>
          <w:tcPr>
            <w:tcW w:w="0" w:type="auto"/>
            <w:tcBorders>
              <w:bottom w:val="single" w:sz="4" w:space="0" w:color="auto"/>
            </w:tcBorders>
            <w:vAlign w:val="center"/>
          </w:tcPr>
          <w:p w14:paraId="5BD0D4D6"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11</w:t>
            </w:r>
          </w:p>
        </w:tc>
        <w:tc>
          <w:tcPr>
            <w:tcW w:w="0" w:type="auto"/>
            <w:tcBorders>
              <w:bottom w:val="single" w:sz="4" w:space="0" w:color="auto"/>
            </w:tcBorders>
            <w:vAlign w:val="center"/>
          </w:tcPr>
          <w:p w14:paraId="7581F07A" w14:textId="77777777" w:rsidR="00632EDA" w:rsidRPr="008957E3" w:rsidRDefault="00632EDA" w:rsidP="00C07F23">
            <w:pPr>
              <w:spacing w:line="360" w:lineRule="auto"/>
              <w:jc w:val="center"/>
              <w:rPr>
                <w:rFonts w:ascii="Arial" w:hAnsi="Arial" w:cs="Arial"/>
                <w:sz w:val="20"/>
                <w:szCs w:val="20"/>
                <w:lang w:val="en-GB"/>
              </w:rPr>
            </w:pPr>
            <w:r w:rsidRPr="008957E3">
              <w:rPr>
                <w:rFonts w:ascii="Arial" w:hAnsi="Arial" w:cs="Arial"/>
                <w:sz w:val="20"/>
                <w:szCs w:val="20"/>
                <w:lang w:val="en-GB"/>
              </w:rPr>
              <w:t>89</w:t>
            </w:r>
          </w:p>
        </w:tc>
      </w:tr>
    </w:tbl>
    <w:p w14:paraId="5B32A0B3" w14:textId="77777777" w:rsidR="00DF27D0" w:rsidRPr="008957E3" w:rsidRDefault="00DF27D0" w:rsidP="00C07F23">
      <w:pPr>
        <w:spacing w:line="360" w:lineRule="auto"/>
        <w:rPr>
          <w:rFonts w:ascii="Arial" w:hAnsi="Arial" w:cs="Arial"/>
          <w:b/>
          <w:sz w:val="20"/>
          <w:szCs w:val="20"/>
          <w:lang w:val="en-GB"/>
        </w:rPr>
      </w:pPr>
      <w:r w:rsidRPr="008957E3">
        <w:rPr>
          <w:rFonts w:ascii="Arial" w:hAnsi="Arial" w:cs="Arial"/>
          <w:b/>
          <w:sz w:val="20"/>
          <w:szCs w:val="20"/>
          <w:lang w:val="en-GB"/>
        </w:rPr>
        <w:br w:type="page"/>
      </w:r>
    </w:p>
    <w:p w14:paraId="404BD3AF" w14:textId="77777777" w:rsidR="00DF27D0" w:rsidRPr="008957E3" w:rsidRDefault="00DF27D0" w:rsidP="00C07F23">
      <w:pPr>
        <w:spacing w:line="360" w:lineRule="auto"/>
        <w:jc w:val="both"/>
        <w:rPr>
          <w:rFonts w:ascii="Arial" w:hAnsi="Arial" w:cs="Arial"/>
          <w:sz w:val="20"/>
          <w:szCs w:val="20"/>
          <w:lang w:val="en-GB"/>
        </w:rPr>
      </w:pPr>
      <w:r w:rsidRPr="008957E3">
        <w:rPr>
          <w:rFonts w:ascii="Arial" w:hAnsi="Arial" w:cs="Arial"/>
          <w:b/>
          <w:sz w:val="20"/>
          <w:szCs w:val="20"/>
          <w:lang w:val="en-GB"/>
        </w:rPr>
        <w:lastRenderedPageBreak/>
        <w:t>Table 2</w:t>
      </w:r>
      <w:r w:rsidRPr="008957E3">
        <w:rPr>
          <w:rFonts w:ascii="Arial" w:hAnsi="Arial" w:cs="Arial"/>
          <w:sz w:val="20"/>
          <w:szCs w:val="20"/>
          <w:lang w:val="en-GB"/>
        </w:rPr>
        <w:t xml:space="preserve"> </w:t>
      </w:r>
      <w:r w:rsidR="00FC3C0F" w:rsidRPr="008957E3">
        <w:rPr>
          <w:rFonts w:ascii="Arial" w:hAnsi="Arial" w:cs="Arial"/>
          <w:sz w:val="20"/>
          <w:szCs w:val="20"/>
          <w:lang w:val="en-GB"/>
        </w:rPr>
        <w:t>Safety metrics for evaluating explosion impacts and trinitrotoluene (TNT) equivalency in 1</w:t>
      </w:r>
      <w:r w:rsidR="00FC3C0F" w:rsidRPr="008957E3">
        <w:rPr>
          <w:rFonts w:ascii="Arial" w:eastAsiaTheme="minorEastAsia" w:hAnsi="Arial" w:cs="Arial"/>
          <w:bCs/>
          <w:sz w:val="20"/>
          <w:szCs w:val="20"/>
          <w:lang w:val="en-GB" w:eastAsia="zh-CN"/>
        </w:rPr>
        <w:noBreakHyphen/>
      </w:r>
      <w:r w:rsidR="00FC3C0F" w:rsidRPr="008957E3">
        <w:rPr>
          <w:rFonts w:ascii="Arial" w:hAnsi="Arial" w:cs="Arial"/>
          <w:sz w:val="20"/>
          <w:szCs w:val="20"/>
          <w:lang w:val="en-GB"/>
        </w:rPr>
        <w:t>step and 5</w:t>
      </w:r>
      <w:r w:rsidR="00FC3C0F" w:rsidRPr="008957E3">
        <w:rPr>
          <w:rFonts w:ascii="Arial" w:eastAsiaTheme="minorEastAsia" w:hAnsi="Arial" w:cs="Arial"/>
          <w:bCs/>
          <w:sz w:val="20"/>
          <w:szCs w:val="20"/>
          <w:lang w:val="en-GB" w:eastAsia="zh-CN"/>
        </w:rPr>
        <w:noBreakHyphen/>
      </w:r>
      <w:r w:rsidR="00FC3C0F" w:rsidRPr="008957E3">
        <w:rPr>
          <w:rFonts w:ascii="Arial" w:hAnsi="Arial" w:cs="Arial"/>
          <w:sz w:val="20"/>
          <w:szCs w:val="20"/>
          <w:lang w:val="en-GB"/>
        </w:rPr>
        <w:t>step N</w:t>
      </w:r>
      <w:r w:rsidR="00FC3C0F" w:rsidRPr="008957E3">
        <w:rPr>
          <w:rFonts w:ascii="Arial" w:hAnsi="Arial" w:cs="Arial"/>
          <w:sz w:val="20"/>
          <w:szCs w:val="20"/>
          <w:vertAlign w:val="subscript"/>
          <w:lang w:val="en-GB"/>
        </w:rPr>
        <w:t>2</w:t>
      </w:r>
      <w:r w:rsidR="00FC3C0F" w:rsidRPr="008957E3">
        <w:rPr>
          <w:rFonts w:ascii="Arial" w:hAnsi="Arial" w:cs="Arial"/>
          <w:sz w:val="20"/>
          <w:szCs w:val="20"/>
          <w:lang w:val="en-GB"/>
        </w:rPr>
        <w:t>O production routes.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806"/>
        <w:gridCol w:w="806"/>
      </w:tblGrid>
      <w:tr w:rsidR="00B610A0" w:rsidRPr="008957E3" w14:paraId="53907085" w14:textId="77777777" w:rsidTr="00B610A0">
        <w:trPr>
          <w:trHeight w:val="360"/>
          <w:jc w:val="center"/>
        </w:trPr>
        <w:tc>
          <w:tcPr>
            <w:tcW w:w="0" w:type="auto"/>
            <w:tcBorders>
              <w:top w:val="single" w:sz="4" w:space="0" w:color="auto"/>
              <w:bottom w:val="single" w:sz="4" w:space="0" w:color="auto"/>
            </w:tcBorders>
            <w:vAlign w:val="center"/>
          </w:tcPr>
          <w:p w14:paraId="3804C68D" w14:textId="77777777" w:rsidR="00DF27D0" w:rsidRPr="008957E3" w:rsidRDefault="00DF27D0" w:rsidP="00C07F23">
            <w:pPr>
              <w:spacing w:line="360" w:lineRule="auto"/>
              <w:rPr>
                <w:rFonts w:ascii="Arial" w:hAnsi="Arial" w:cs="Arial"/>
                <w:b/>
                <w:sz w:val="20"/>
                <w:szCs w:val="20"/>
                <w:lang w:val="en-GB"/>
              </w:rPr>
            </w:pPr>
            <w:r w:rsidRPr="008957E3">
              <w:rPr>
                <w:rFonts w:ascii="Arial" w:hAnsi="Arial" w:cs="Arial"/>
                <w:b/>
                <w:sz w:val="20"/>
                <w:szCs w:val="20"/>
                <w:lang w:val="en-GB"/>
              </w:rPr>
              <w:t>Metric</w:t>
            </w:r>
          </w:p>
        </w:tc>
        <w:tc>
          <w:tcPr>
            <w:tcW w:w="0" w:type="auto"/>
            <w:tcBorders>
              <w:top w:val="single" w:sz="4" w:space="0" w:color="auto"/>
              <w:bottom w:val="single" w:sz="4" w:space="0" w:color="auto"/>
            </w:tcBorders>
            <w:vAlign w:val="center"/>
          </w:tcPr>
          <w:p w14:paraId="2A41F13B" w14:textId="77777777" w:rsidR="00B610A0" w:rsidRPr="008957E3" w:rsidRDefault="00DF27D0" w:rsidP="00C07F23">
            <w:pPr>
              <w:spacing w:line="360" w:lineRule="auto"/>
              <w:jc w:val="center"/>
              <w:rPr>
                <w:rFonts w:ascii="Arial" w:hAnsi="Arial" w:cs="Arial"/>
                <w:b/>
                <w:sz w:val="20"/>
                <w:szCs w:val="20"/>
                <w:lang w:val="en-GB"/>
              </w:rPr>
            </w:pPr>
            <w:r w:rsidRPr="008957E3">
              <w:rPr>
                <w:rFonts w:ascii="Arial" w:hAnsi="Arial" w:cs="Arial"/>
                <w:b/>
                <w:sz w:val="20"/>
                <w:szCs w:val="20"/>
                <w:lang w:val="en-GB"/>
              </w:rPr>
              <w:t>1-step</w:t>
            </w:r>
          </w:p>
        </w:tc>
        <w:tc>
          <w:tcPr>
            <w:tcW w:w="0" w:type="auto"/>
            <w:tcBorders>
              <w:top w:val="single" w:sz="4" w:space="0" w:color="auto"/>
              <w:bottom w:val="single" w:sz="4" w:space="0" w:color="auto"/>
            </w:tcBorders>
            <w:vAlign w:val="center"/>
          </w:tcPr>
          <w:p w14:paraId="3ED02E63" w14:textId="77777777" w:rsidR="00DF27D0" w:rsidRPr="008957E3" w:rsidRDefault="00DF27D0" w:rsidP="00C07F23">
            <w:pPr>
              <w:spacing w:line="360" w:lineRule="auto"/>
              <w:jc w:val="center"/>
              <w:rPr>
                <w:rFonts w:ascii="Arial" w:hAnsi="Arial" w:cs="Arial"/>
                <w:b/>
                <w:sz w:val="20"/>
                <w:szCs w:val="20"/>
                <w:lang w:val="en-GB"/>
              </w:rPr>
            </w:pPr>
            <w:r w:rsidRPr="008957E3">
              <w:rPr>
                <w:rFonts w:ascii="Arial" w:hAnsi="Arial" w:cs="Arial"/>
                <w:b/>
                <w:sz w:val="20"/>
                <w:szCs w:val="20"/>
                <w:lang w:val="en-GB"/>
              </w:rPr>
              <w:t>5-step</w:t>
            </w:r>
          </w:p>
        </w:tc>
      </w:tr>
      <w:tr w:rsidR="00B610A0" w:rsidRPr="008957E3" w14:paraId="16C59BA6" w14:textId="77777777" w:rsidTr="00B610A0">
        <w:trPr>
          <w:trHeight w:hRule="exact" w:val="360"/>
          <w:jc w:val="center"/>
        </w:trPr>
        <w:tc>
          <w:tcPr>
            <w:tcW w:w="0" w:type="auto"/>
            <w:tcBorders>
              <w:top w:val="single" w:sz="4" w:space="0" w:color="auto"/>
            </w:tcBorders>
            <w:vAlign w:val="center"/>
          </w:tcPr>
          <w:p w14:paraId="67396F03" w14:textId="77777777" w:rsidR="00DF27D0" w:rsidRPr="008957E3" w:rsidRDefault="00B610A0" w:rsidP="00C07F23">
            <w:pPr>
              <w:spacing w:line="360" w:lineRule="auto"/>
              <w:rPr>
                <w:rFonts w:ascii="Arial" w:hAnsi="Arial" w:cs="Arial"/>
                <w:sz w:val="20"/>
                <w:szCs w:val="20"/>
                <w:lang w:val="en-GB"/>
              </w:rPr>
            </w:pPr>
            <w:r w:rsidRPr="008957E3">
              <w:rPr>
                <w:rFonts w:ascii="Arial" w:hAnsi="Arial" w:cs="Arial"/>
                <w:sz w:val="20"/>
                <w:szCs w:val="20"/>
                <w:lang w:val="en-GB"/>
              </w:rPr>
              <w:t>Equivalent mass of TNT (kg)</w:t>
            </w:r>
          </w:p>
        </w:tc>
        <w:tc>
          <w:tcPr>
            <w:tcW w:w="0" w:type="auto"/>
            <w:tcBorders>
              <w:top w:val="single" w:sz="4" w:space="0" w:color="auto"/>
            </w:tcBorders>
            <w:vAlign w:val="center"/>
          </w:tcPr>
          <w:p w14:paraId="2164B7FC" w14:textId="77777777" w:rsidR="00DF27D0" w:rsidRPr="008957E3" w:rsidRDefault="00B610A0" w:rsidP="00C07F23">
            <w:pPr>
              <w:spacing w:line="360" w:lineRule="auto"/>
              <w:jc w:val="center"/>
              <w:rPr>
                <w:rFonts w:ascii="Arial" w:hAnsi="Arial" w:cs="Arial"/>
                <w:sz w:val="20"/>
                <w:szCs w:val="20"/>
                <w:lang w:val="en-GB"/>
              </w:rPr>
            </w:pPr>
            <w:r w:rsidRPr="008957E3">
              <w:rPr>
                <w:rFonts w:ascii="Arial" w:hAnsi="Arial" w:cs="Arial"/>
                <w:sz w:val="20"/>
                <w:szCs w:val="20"/>
                <w:lang w:val="en-GB"/>
              </w:rPr>
              <w:t>6008</w:t>
            </w:r>
          </w:p>
        </w:tc>
        <w:tc>
          <w:tcPr>
            <w:tcW w:w="0" w:type="auto"/>
            <w:tcBorders>
              <w:top w:val="single" w:sz="4" w:space="0" w:color="auto"/>
            </w:tcBorders>
            <w:vAlign w:val="center"/>
          </w:tcPr>
          <w:p w14:paraId="2FF2F59F" w14:textId="77777777" w:rsidR="00DF27D0" w:rsidRPr="008957E3" w:rsidRDefault="00B610A0" w:rsidP="00C07F23">
            <w:pPr>
              <w:spacing w:line="360" w:lineRule="auto"/>
              <w:jc w:val="center"/>
              <w:rPr>
                <w:rFonts w:ascii="Arial" w:hAnsi="Arial" w:cs="Arial"/>
                <w:sz w:val="20"/>
                <w:szCs w:val="20"/>
                <w:lang w:val="en-GB"/>
              </w:rPr>
            </w:pPr>
            <w:r w:rsidRPr="008957E3">
              <w:rPr>
                <w:rFonts w:ascii="Arial" w:hAnsi="Arial" w:cs="Arial"/>
                <w:sz w:val="20"/>
                <w:szCs w:val="20"/>
                <w:lang w:val="en-GB"/>
              </w:rPr>
              <w:t>30727</w:t>
            </w:r>
          </w:p>
        </w:tc>
      </w:tr>
      <w:tr w:rsidR="00B610A0" w:rsidRPr="008957E3" w14:paraId="4442F825" w14:textId="77777777" w:rsidTr="00B610A0">
        <w:trPr>
          <w:trHeight w:hRule="exact" w:val="360"/>
          <w:jc w:val="center"/>
        </w:trPr>
        <w:tc>
          <w:tcPr>
            <w:tcW w:w="0" w:type="auto"/>
            <w:vAlign w:val="center"/>
          </w:tcPr>
          <w:p w14:paraId="35F0DC56" w14:textId="77777777" w:rsidR="00DF27D0" w:rsidRPr="008957E3" w:rsidRDefault="00B610A0" w:rsidP="00C07F23">
            <w:pPr>
              <w:spacing w:line="360" w:lineRule="auto"/>
              <w:rPr>
                <w:rFonts w:ascii="Arial" w:hAnsi="Arial" w:cs="Arial"/>
                <w:sz w:val="20"/>
                <w:szCs w:val="20"/>
                <w:lang w:val="en-GB"/>
              </w:rPr>
            </w:pPr>
            <w:r w:rsidRPr="008957E3">
              <w:rPr>
                <w:rFonts w:ascii="Arial" w:hAnsi="Arial" w:cs="Arial"/>
                <w:sz w:val="20"/>
                <w:szCs w:val="20"/>
                <w:lang w:val="en-GB"/>
              </w:rPr>
              <w:t>Overpressure</w:t>
            </w:r>
            <w:r w:rsidR="00DF27D0" w:rsidRPr="008957E3">
              <w:rPr>
                <w:rFonts w:ascii="Arial" w:hAnsi="Arial" w:cs="Arial"/>
                <w:sz w:val="20"/>
                <w:szCs w:val="20"/>
                <w:lang w:val="en-GB"/>
              </w:rPr>
              <w:t xml:space="preserve"> (</w:t>
            </w:r>
            <w:r w:rsidRPr="008957E3">
              <w:rPr>
                <w:rFonts w:ascii="Arial" w:hAnsi="Arial" w:cs="Arial"/>
                <w:sz w:val="20"/>
                <w:szCs w:val="20"/>
                <w:lang w:val="en-GB"/>
              </w:rPr>
              <w:t>kPa</w:t>
            </w:r>
            <w:r w:rsidR="00DF27D0" w:rsidRPr="008957E3">
              <w:rPr>
                <w:rFonts w:ascii="Arial" w:hAnsi="Arial" w:cs="Arial"/>
                <w:sz w:val="20"/>
                <w:szCs w:val="20"/>
                <w:lang w:val="en-GB"/>
              </w:rPr>
              <w:t>)</w:t>
            </w:r>
          </w:p>
        </w:tc>
        <w:tc>
          <w:tcPr>
            <w:tcW w:w="0" w:type="auto"/>
            <w:vAlign w:val="center"/>
          </w:tcPr>
          <w:p w14:paraId="7441AF72" w14:textId="77777777" w:rsidR="00DF27D0" w:rsidRPr="008957E3" w:rsidRDefault="00B610A0" w:rsidP="00C07F23">
            <w:pPr>
              <w:spacing w:line="360" w:lineRule="auto"/>
              <w:jc w:val="center"/>
              <w:rPr>
                <w:rFonts w:ascii="Arial" w:hAnsi="Arial" w:cs="Arial"/>
                <w:sz w:val="20"/>
                <w:szCs w:val="20"/>
                <w:lang w:val="en-GB"/>
              </w:rPr>
            </w:pPr>
            <w:r w:rsidRPr="008957E3">
              <w:rPr>
                <w:rFonts w:ascii="Arial" w:hAnsi="Arial" w:cs="Arial"/>
                <w:sz w:val="20"/>
                <w:szCs w:val="20"/>
                <w:lang w:val="en-GB"/>
              </w:rPr>
              <w:t>49</w:t>
            </w:r>
          </w:p>
        </w:tc>
        <w:tc>
          <w:tcPr>
            <w:tcW w:w="0" w:type="auto"/>
            <w:vAlign w:val="center"/>
          </w:tcPr>
          <w:p w14:paraId="16F4B150" w14:textId="77777777" w:rsidR="00DF27D0" w:rsidRPr="008957E3" w:rsidRDefault="00B610A0" w:rsidP="00C07F23">
            <w:pPr>
              <w:spacing w:line="360" w:lineRule="auto"/>
              <w:jc w:val="center"/>
              <w:rPr>
                <w:rFonts w:ascii="Arial" w:hAnsi="Arial" w:cs="Arial"/>
                <w:sz w:val="20"/>
                <w:szCs w:val="20"/>
                <w:lang w:val="en-GB"/>
              </w:rPr>
            </w:pPr>
            <w:r w:rsidRPr="008957E3">
              <w:rPr>
                <w:rFonts w:ascii="Arial" w:hAnsi="Arial" w:cs="Arial"/>
                <w:sz w:val="20"/>
                <w:szCs w:val="20"/>
                <w:lang w:val="en-GB"/>
              </w:rPr>
              <w:t>142</w:t>
            </w:r>
          </w:p>
        </w:tc>
      </w:tr>
      <w:tr w:rsidR="00B610A0" w:rsidRPr="008957E3" w14:paraId="580B3FCB" w14:textId="77777777" w:rsidTr="00B610A0">
        <w:trPr>
          <w:trHeight w:hRule="exact" w:val="360"/>
          <w:jc w:val="center"/>
        </w:trPr>
        <w:tc>
          <w:tcPr>
            <w:tcW w:w="0" w:type="auto"/>
            <w:vAlign w:val="center"/>
          </w:tcPr>
          <w:p w14:paraId="5836721D" w14:textId="77777777" w:rsidR="00DF27D0" w:rsidRPr="008957E3" w:rsidRDefault="00B610A0" w:rsidP="00C07F23">
            <w:pPr>
              <w:spacing w:line="360" w:lineRule="auto"/>
              <w:rPr>
                <w:rFonts w:ascii="Arial" w:hAnsi="Arial" w:cs="Arial"/>
                <w:sz w:val="20"/>
                <w:szCs w:val="20"/>
                <w:lang w:val="en-GB"/>
              </w:rPr>
            </w:pPr>
            <w:r w:rsidRPr="008957E3">
              <w:rPr>
                <w:rFonts w:ascii="Arial" w:hAnsi="Arial" w:cs="Arial"/>
                <w:sz w:val="20"/>
                <w:szCs w:val="20"/>
                <w:lang w:val="en-GB"/>
              </w:rPr>
              <w:t xml:space="preserve">Number of deaths due to lung </w:t>
            </w:r>
            <w:r w:rsidR="00FC3C0F" w:rsidRPr="008957E3">
              <w:rPr>
                <w:rFonts w:ascii="Arial" w:hAnsi="Arial" w:cs="Arial"/>
                <w:sz w:val="20"/>
                <w:szCs w:val="20"/>
                <w:lang w:val="en-GB"/>
              </w:rPr>
              <w:t>haemorrhage</w:t>
            </w:r>
          </w:p>
        </w:tc>
        <w:tc>
          <w:tcPr>
            <w:tcW w:w="0" w:type="auto"/>
            <w:vAlign w:val="center"/>
          </w:tcPr>
          <w:p w14:paraId="3BC4B819" w14:textId="77777777" w:rsidR="00DF27D0" w:rsidRPr="008957E3" w:rsidRDefault="00B610A0" w:rsidP="00C07F23">
            <w:pPr>
              <w:spacing w:line="360" w:lineRule="auto"/>
              <w:jc w:val="center"/>
              <w:rPr>
                <w:rFonts w:ascii="Arial" w:hAnsi="Arial" w:cs="Arial"/>
                <w:sz w:val="20"/>
                <w:szCs w:val="20"/>
                <w:lang w:val="en-GB"/>
              </w:rPr>
            </w:pPr>
            <w:r w:rsidRPr="008957E3">
              <w:rPr>
                <w:rFonts w:ascii="Arial" w:hAnsi="Arial" w:cs="Arial"/>
                <w:sz w:val="20"/>
                <w:szCs w:val="20"/>
                <w:lang w:val="en-GB"/>
              </w:rPr>
              <w:t>0</w:t>
            </w:r>
          </w:p>
        </w:tc>
        <w:tc>
          <w:tcPr>
            <w:tcW w:w="0" w:type="auto"/>
            <w:vAlign w:val="center"/>
          </w:tcPr>
          <w:p w14:paraId="04D770B3" w14:textId="77777777" w:rsidR="00DF27D0" w:rsidRPr="008957E3" w:rsidRDefault="00B610A0" w:rsidP="00C07F23">
            <w:pPr>
              <w:spacing w:line="360" w:lineRule="auto"/>
              <w:jc w:val="center"/>
              <w:rPr>
                <w:rFonts w:ascii="Arial" w:hAnsi="Arial" w:cs="Arial"/>
                <w:sz w:val="20"/>
                <w:szCs w:val="20"/>
                <w:lang w:val="en-GB"/>
              </w:rPr>
            </w:pPr>
            <w:r w:rsidRPr="008957E3">
              <w:rPr>
                <w:rFonts w:ascii="Arial" w:hAnsi="Arial" w:cs="Arial"/>
                <w:sz w:val="20"/>
                <w:szCs w:val="20"/>
                <w:lang w:val="en-GB"/>
              </w:rPr>
              <w:t>5</w:t>
            </w:r>
          </w:p>
        </w:tc>
      </w:tr>
      <w:tr w:rsidR="00B610A0" w:rsidRPr="008957E3" w14:paraId="62F206C5" w14:textId="77777777" w:rsidTr="00B610A0">
        <w:trPr>
          <w:trHeight w:hRule="exact" w:val="360"/>
          <w:jc w:val="center"/>
        </w:trPr>
        <w:tc>
          <w:tcPr>
            <w:tcW w:w="0" w:type="auto"/>
            <w:vAlign w:val="center"/>
          </w:tcPr>
          <w:p w14:paraId="429B3480" w14:textId="77777777" w:rsidR="00DF27D0" w:rsidRPr="008957E3" w:rsidRDefault="00B610A0" w:rsidP="00C07F23">
            <w:pPr>
              <w:spacing w:line="360" w:lineRule="auto"/>
              <w:rPr>
                <w:rFonts w:ascii="Arial" w:hAnsi="Arial" w:cs="Arial"/>
                <w:sz w:val="20"/>
                <w:szCs w:val="20"/>
                <w:lang w:val="en-GB"/>
              </w:rPr>
            </w:pPr>
            <w:r w:rsidRPr="008957E3">
              <w:rPr>
                <w:rFonts w:ascii="Arial" w:hAnsi="Arial" w:cs="Arial"/>
                <w:sz w:val="20"/>
                <w:szCs w:val="20"/>
                <w:lang w:val="en-GB"/>
              </w:rPr>
              <w:t>Number of eardrum ruptures</w:t>
            </w:r>
          </w:p>
        </w:tc>
        <w:tc>
          <w:tcPr>
            <w:tcW w:w="0" w:type="auto"/>
            <w:vAlign w:val="center"/>
          </w:tcPr>
          <w:p w14:paraId="5739DF9A" w14:textId="77777777" w:rsidR="00DF27D0" w:rsidRPr="008957E3" w:rsidRDefault="00B610A0" w:rsidP="00C07F23">
            <w:pPr>
              <w:spacing w:line="360" w:lineRule="auto"/>
              <w:jc w:val="center"/>
              <w:rPr>
                <w:rFonts w:ascii="Arial" w:hAnsi="Arial" w:cs="Arial"/>
                <w:sz w:val="20"/>
                <w:szCs w:val="20"/>
                <w:lang w:val="en-GB"/>
              </w:rPr>
            </w:pPr>
            <w:r w:rsidRPr="008957E3">
              <w:rPr>
                <w:rFonts w:ascii="Arial" w:hAnsi="Arial" w:cs="Arial"/>
                <w:sz w:val="20"/>
                <w:szCs w:val="20"/>
                <w:lang w:val="en-GB"/>
              </w:rPr>
              <w:t>1</w:t>
            </w:r>
          </w:p>
        </w:tc>
        <w:tc>
          <w:tcPr>
            <w:tcW w:w="0" w:type="auto"/>
            <w:vAlign w:val="center"/>
          </w:tcPr>
          <w:p w14:paraId="6243ED43" w14:textId="77777777" w:rsidR="00DF27D0" w:rsidRPr="008957E3" w:rsidRDefault="00B610A0" w:rsidP="00C07F23">
            <w:pPr>
              <w:spacing w:line="360" w:lineRule="auto"/>
              <w:jc w:val="center"/>
              <w:rPr>
                <w:rFonts w:ascii="Arial" w:hAnsi="Arial" w:cs="Arial"/>
                <w:sz w:val="20"/>
                <w:szCs w:val="20"/>
                <w:lang w:val="en-GB"/>
              </w:rPr>
            </w:pPr>
            <w:r w:rsidRPr="008957E3">
              <w:rPr>
                <w:rFonts w:ascii="Arial" w:hAnsi="Arial" w:cs="Arial"/>
                <w:sz w:val="20"/>
                <w:szCs w:val="20"/>
                <w:lang w:val="en-GB"/>
              </w:rPr>
              <w:t>3</w:t>
            </w:r>
          </w:p>
        </w:tc>
      </w:tr>
      <w:tr w:rsidR="00B610A0" w:rsidRPr="008957E3" w14:paraId="21F0125B" w14:textId="77777777" w:rsidTr="00B610A0">
        <w:trPr>
          <w:trHeight w:hRule="exact" w:val="360"/>
          <w:jc w:val="center"/>
        </w:trPr>
        <w:tc>
          <w:tcPr>
            <w:tcW w:w="0" w:type="auto"/>
            <w:tcBorders>
              <w:bottom w:val="single" w:sz="4" w:space="0" w:color="auto"/>
            </w:tcBorders>
            <w:vAlign w:val="center"/>
          </w:tcPr>
          <w:p w14:paraId="79FA8ED3" w14:textId="77777777" w:rsidR="00DF27D0" w:rsidRPr="008957E3" w:rsidRDefault="00B610A0" w:rsidP="00C07F23">
            <w:pPr>
              <w:spacing w:line="360" w:lineRule="auto"/>
              <w:rPr>
                <w:rFonts w:ascii="Arial" w:hAnsi="Arial" w:cs="Arial"/>
                <w:sz w:val="20"/>
                <w:szCs w:val="20"/>
                <w:lang w:val="en-GB"/>
              </w:rPr>
            </w:pPr>
            <w:r w:rsidRPr="008957E3">
              <w:rPr>
                <w:rFonts w:ascii="Arial" w:hAnsi="Arial" w:cs="Arial"/>
                <w:sz w:val="20"/>
                <w:szCs w:val="20"/>
                <w:lang w:val="en-GB"/>
              </w:rPr>
              <w:t>Maximum distance at which projectiles can land (m)</w:t>
            </w:r>
          </w:p>
        </w:tc>
        <w:tc>
          <w:tcPr>
            <w:tcW w:w="0" w:type="auto"/>
            <w:tcBorders>
              <w:bottom w:val="single" w:sz="4" w:space="0" w:color="auto"/>
            </w:tcBorders>
            <w:vAlign w:val="center"/>
          </w:tcPr>
          <w:p w14:paraId="1C463E00" w14:textId="77777777" w:rsidR="00DF27D0" w:rsidRPr="008957E3" w:rsidRDefault="00B610A0" w:rsidP="00C07F23">
            <w:pPr>
              <w:spacing w:line="360" w:lineRule="auto"/>
              <w:jc w:val="center"/>
              <w:rPr>
                <w:rFonts w:ascii="Arial" w:hAnsi="Arial" w:cs="Arial"/>
                <w:sz w:val="20"/>
                <w:szCs w:val="20"/>
                <w:lang w:val="en-GB"/>
              </w:rPr>
            </w:pPr>
            <w:r w:rsidRPr="008957E3">
              <w:rPr>
                <w:rFonts w:ascii="Arial" w:hAnsi="Arial" w:cs="Arial"/>
                <w:sz w:val="20"/>
                <w:szCs w:val="20"/>
                <w:lang w:val="en-GB"/>
              </w:rPr>
              <w:t>1920</w:t>
            </w:r>
          </w:p>
        </w:tc>
        <w:tc>
          <w:tcPr>
            <w:tcW w:w="0" w:type="auto"/>
            <w:tcBorders>
              <w:bottom w:val="single" w:sz="4" w:space="0" w:color="auto"/>
            </w:tcBorders>
            <w:vAlign w:val="center"/>
          </w:tcPr>
          <w:p w14:paraId="4DC53787" w14:textId="77777777" w:rsidR="00DF27D0" w:rsidRPr="008957E3" w:rsidRDefault="00B610A0" w:rsidP="00C07F23">
            <w:pPr>
              <w:spacing w:line="360" w:lineRule="auto"/>
              <w:jc w:val="center"/>
              <w:rPr>
                <w:rFonts w:ascii="Arial" w:hAnsi="Arial" w:cs="Arial"/>
                <w:sz w:val="20"/>
                <w:szCs w:val="20"/>
                <w:lang w:val="en-GB"/>
              </w:rPr>
            </w:pPr>
            <w:r w:rsidRPr="008957E3">
              <w:rPr>
                <w:rFonts w:ascii="Arial" w:hAnsi="Arial" w:cs="Arial"/>
                <w:sz w:val="20"/>
                <w:szCs w:val="20"/>
                <w:lang w:val="en-GB"/>
              </w:rPr>
              <w:t>2737</w:t>
            </w:r>
          </w:p>
        </w:tc>
      </w:tr>
    </w:tbl>
    <w:p w14:paraId="11FCFE82" w14:textId="77777777" w:rsidR="00632EDA" w:rsidRPr="008957E3" w:rsidRDefault="00632EDA" w:rsidP="00C07F23">
      <w:pPr>
        <w:spacing w:before="240" w:after="0" w:line="360" w:lineRule="auto"/>
        <w:rPr>
          <w:rFonts w:ascii="Arial" w:hAnsi="Arial" w:cs="Arial"/>
          <w:sz w:val="20"/>
          <w:szCs w:val="20"/>
          <w:lang w:val="en-GB"/>
        </w:rPr>
      </w:pPr>
      <w:r w:rsidRPr="008957E3">
        <w:rPr>
          <w:rFonts w:ascii="Arial" w:hAnsi="Arial" w:cs="Arial"/>
          <w:sz w:val="20"/>
          <w:szCs w:val="20"/>
          <w:lang w:val="en-GB"/>
        </w:rPr>
        <w:br w:type="page"/>
      </w:r>
    </w:p>
    <w:p w14:paraId="31BC85B6" w14:textId="77777777" w:rsidR="002F1A80" w:rsidRPr="008957E3" w:rsidRDefault="002F1A80" w:rsidP="00C07F23">
      <w:pPr>
        <w:spacing w:line="360" w:lineRule="auto"/>
        <w:jc w:val="center"/>
        <w:rPr>
          <w:rFonts w:ascii="Arial" w:hAnsi="Arial" w:cs="Arial"/>
          <w:sz w:val="20"/>
          <w:szCs w:val="20"/>
          <w:lang w:val="en-GB"/>
        </w:rPr>
      </w:pPr>
      <w:r w:rsidRPr="008957E3">
        <w:rPr>
          <w:rFonts w:ascii="Arial" w:hAnsi="Arial" w:cs="Arial"/>
          <w:noProof/>
          <w:sz w:val="20"/>
          <w:szCs w:val="20"/>
          <w:lang w:val="en-GB"/>
        </w:rPr>
        <w:lastRenderedPageBreak/>
        <w:drawing>
          <wp:inline distT="0" distB="0" distL="0" distR="0" wp14:anchorId="109721DA" wp14:editId="10FA6DBB">
            <wp:extent cx="5760720" cy="307868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itrous_oxide_vs_hydrogen_peroxide_raw.png"/>
                    <pic:cNvPicPr/>
                  </pic:nvPicPr>
                  <pic:blipFill>
                    <a:blip r:embed="rId12"/>
                    <a:stretch>
                      <a:fillRect/>
                    </a:stretch>
                  </pic:blipFill>
                  <pic:spPr>
                    <a:xfrm>
                      <a:off x="0" y="0"/>
                      <a:ext cx="5760720" cy="3078682"/>
                    </a:xfrm>
                    <a:prstGeom prst="rect">
                      <a:avLst/>
                    </a:prstGeom>
                  </pic:spPr>
                </pic:pic>
              </a:graphicData>
            </a:graphic>
          </wp:inline>
        </w:drawing>
      </w:r>
    </w:p>
    <w:p w14:paraId="286271B5" w14:textId="77777777" w:rsidR="00D21E3D" w:rsidRPr="008957E3" w:rsidRDefault="00D21E3D" w:rsidP="00D21E3D">
      <w:pPr>
        <w:spacing w:line="360" w:lineRule="auto"/>
        <w:jc w:val="both"/>
        <w:rPr>
          <w:rFonts w:ascii="Arial" w:hAnsi="Arial" w:cs="Arial"/>
          <w:sz w:val="20"/>
          <w:szCs w:val="20"/>
          <w:lang w:val="en-GB"/>
        </w:rPr>
      </w:pPr>
      <w:r w:rsidRPr="008957E3">
        <w:rPr>
          <w:rFonts w:ascii="Arial" w:hAnsi="Arial" w:cs="Arial"/>
          <w:b/>
          <w:sz w:val="20"/>
          <w:szCs w:val="20"/>
          <w:lang w:val="en-GB"/>
        </w:rPr>
        <w:t>Fig. 3</w:t>
      </w:r>
      <w:r w:rsidRPr="008957E3">
        <w:rPr>
          <w:rFonts w:ascii="Arial" w:hAnsi="Arial" w:cs="Arial"/>
          <w:sz w:val="20"/>
          <w:szCs w:val="20"/>
          <w:lang w:val="en-GB"/>
        </w:rPr>
        <w:t xml:space="preserve"> </w:t>
      </w:r>
      <w:r w:rsidRPr="008957E3">
        <w:rPr>
          <w:rFonts w:ascii="Arial" w:hAnsi="Arial" w:cs="Arial"/>
          <w:b/>
          <w:sz w:val="20"/>
          <w:szCs w:val="20"/>
          <w:lang w:val="en-GB"/>
        </w:rPr>
        <w:t>(</w:t>
      </w:r>
      <w:r w:rsidRPr="008957E3">
        <w:rPr>
          <w:rFonts w:ascii="Arial" w:hAnsi="Arial" w:cs="Arial"/>
          <w:b/>
          <w:bCs/>
          <w:sz w:val="20"/>
          <w:szCs w:val="20"/>
          <w:lang w:val="en-GB"/>
        </w:rPr>
        <w:t>a)</w:t>
      </w:r>
      <w:r w:rsidRPr="008957E3">
        <w:rPr>
          <w:rFonts w:ascii="Arial" w:hAnsi="Arial" w:cs="Arial"/>
          <w:bCs/>
          <w:sz w:val="20"/>
          <w:szCs w:val="20"/>
          <w:lang w:val="en-GB"/>
        </w:rPr>
        <w:t> </w:t>
      </w:r>
      <w:r w:rsidRPr="008957E3">
        <w:rPr>
          <w:rFonts w:ascii="Arial" w:hAnsi="Arial" w:cs="Arial"/>
          <w:sz w:val="20"/>
          <w:szCs w:val="20"/>
          <w:lang w:val="en-GB"/>
        </w:rPr>
        <w:t xml:space="preserve">Production costs and </w:t>
      </w:r>
      <w:r w:rsidRPr="008957E3">
        <w:rPr>
          <w:rFonts w:ascii="Arial" w:hAnsi="Arial" w:cs="Arial"/>
          <w:b/>
          <w:sz w:val="20"/>
          <w:szCs w:val="20"/>
          <w:lang w:val="en-GB"/>
        </w:rPr>
        <w:t>(b)</w:t>
      </w:r>
      <w:r w:rsidRPr="008957E3">
        <w:rPr>
          <w:rFonts w:ascii="Arial" w:hAnsi="Arial" w:cs="Arial"/>
          <w:sz w:val="20"/>
          <w:szCs w:val="20"/>
          <w:lang w:val="en-GB"/>
        </w:rPr>
        <w:t> climate change impacts per kg of N</w:t>
      </w:r>
      <w:r w:rsidRPr="008957E3">
        <w:rPr>
          <w:rFonts w:ascii="Arial" w:hAnsi="Arial" w:cs="Arial"/>
          <w:sz w:val="20"/>
          <w:szCs w:val="20"/>
          <w:vertAlign w:val="subscript"/>
          <w:lang w:val="en-GB"/>
        </w:rPr>
        <w:t>2</w:t>
      </w:r>
      <w:r w:rsidRPr="008957E3">
        <w:rPr>
          <w:rFonts w:ascii="Arial" w:hAnsi="Arial" w:cs="Arial"/>
          <w:sz w:val="20"/>
          <w:szCs w:val="20"/>
          <w:lang w:val="en-GB"/>
        </w:rPr>
        <w:t>O and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For N</w:t>
      </w:r>
      <w:r w:rsidRPr="008957E3">
        <w:rPr>
          <w:rFonts w:ascii="Arial" w:hAnsi="Arial" w:cs="Arial"/>
          <w:sz w:val="20"/>
          <w:szCs w:val="20"/>
          <w:vertAlign w:val="subscript"/>
          <w:lang w:val="en-GB"/>
        </w:rPr>
        <w:t>2</w:t>
      </w:r>
      <w:r w:rsidRPr="008957E3">
        <w:rPr>
          <w:rFonts w:ascii="Arial" w:hAnsi="Arial" w:cs="Arial"/>
          <w:sz w:val="20"/>
          <w:szCs w:val="20"/>
          <w:lang w:val="en-GB"/>
        </w:rPr>
        <w:t>O production, the 1</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step process using ammonia derived from either natural gas (fossil-based) or the electrolytic hydrogen-based Haber</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Bosch process (green) is shown. Similarly, the anthraquinone process for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xml:space="preserve"> production, utilizing hydrogen from either natural gas reforming or electrolytic sources, is presented. Future projections for 2050 of production costs and climate change impacts for all technologies are indicated to illustrate potential reductions.</w:t>
      </w:r>
    </w:p>
    <w:p w14:paraId="63B0F761" w14:textId="77777777" w:rsidR="00D21E3D" w:rsidRPr="008957E3" w:rsidRDefault="00D21E3D" w:rsidP="00D21E3D">
      <w:pPr>
        <w:pStyle w:val="ListParagraph"/>
        <w:numPr>
          <w:ilvl w:val="0"/>
          <w:numId w:val="1"/>
        </w:numPr>
        <w:spacing w:after="120" w:line="360" w:lineRule="auto"/>
        <w:jc w:val="both"/>
        <w:rPr>
          <w:rFonts w:ascii="Arial" w:hAnsi="Arial" w:cs="Arial"/>
          <w:sz w:val="20"/>
          <w:szCs w:val="20"/>
          <w:lang w:val="en-GB"/>
        </w:rPr>
      </w:pPr>
      <w:r w:rsidRPr="008957E3">
        <w:rPr>
          <w:rFonts w:ascii="Arial" w:hAnsi="Arial" w:cs="Arial"/>
          <w:sz w:val="20"/>
          <w:szCs w:val="20"/>
          <w:lang w:val="en-GB"/>
        </w:rPr>
        <w:t>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xml:space="preserve"> is significantly more expensive than N</w:t>
      </w:r>
      <w:r w:rsidRPr="008957E3">
        <w:rPr>
          <w:rFonts w:ascii="Arial" w:hAnsi="Arial" w:cs="Arial"/>
          <w:sz w:val="20"/>
          <w:szCs w:val="20"/>
          <w:vertAlign w:val="subscript"/>
          <w:lang w:val="en-GB"/>
        </w:rPr>
        <w:t>2</w:t>
      </w:r>
      <w:r w:rsidRPr="008957E3">
        <w:rPr>
          <w:rFonts w:ascii="Arial" w:hAnsi="Arial" w:cs="Arial"/>
          <w:sz w:val="20"/>
          <w:szCs w:val="20"/>
          <w:lang w:val="en-GB"/>
        </w:rPr>
        <w:t>O alternatives (2.6 times in the fossil scenario and 1.7 times in the green scenario) due to the costly anthraquinone working solution required for the process.</w:t>
      </w:r>
    </w:p>
    <w:p w14:paraId="170F4126" w14:textId="77777777" w:rsidR="00D21E3D" w:rsidRPr="008957E3" w:rsidRDefault="00D21E3D" w:rsidP="00D21E3D">
      <w:pPr>
        <w:pStyle w:val="ListParagraph"/>
        <w:numPr>
          <w:ilvl w:val="0"/>
          <w:numId w:val="1"/>
        </w:numPr>
        <w:spacing w:after="120" w:line="360" w:lineRule="auto"/>
        <w:jc w:val="both"/>
        <w:rPr>
          <w:rFonts w:ascii="Arial" w:hAnsi="Arial" w:cs="Arial"/>
          <w:sz w:val="20"/>
          <w:szCs w:val="20"/>
          <w:lang w:val="en-GB"/>
        </w:rPr>
      </w:pPr>
      <w:r w:rsidRPr="008957E3">
        <w:rPr>
          <w:rFonts w:ascii="Arial" w:hAnsi="Arial" w:cs="Arial"/>
          <w:sz w:val="20"/>
          <w:szCs w:val="20"/>
          <w:lang w:val="en-GB"/>
        </w:rPr>
        <w:t>Regarding climate change impacts, in the fossil scenario, N</w:t>
      </w:r>
      <w:r w:rsidRPr="008957E3">
        <w:rPr>
          <w:rFonts w:ascii="Arial" w:hAnsi="Arial" w:cs="Arial"/>
          <w:sz w:val="20"/>
          <w:szCs w:val="20"/>
          <w:vertAlign w:val="subscript"/>
          <w:lang w:val="en-GB"/>
        </w:rPr>
        <w:t>2</w:t>
      </w:r>
      <w:r w:rsidRPr="008957E3">
        <w:rPr>
          <w:rFonts w:ascii="Arial" w:hAnsi="Arial" w:cs="Arial"/>
          <w:sz w:val="20"/>
          <w:szCs w:val="20"/>
          <w:lang w:val="en-GB"/>
        </w:rPr>
        <w:t xml:space="preserve">O has an impact of </w:t>
      </w:r>
      <w:r w:rsidRPr="008957E3">
        <w:rPr>
          <w:rFonts w:ascii="Arial" w:hAnsi="Arial" w:cs="Arial"/>
          <w:sz w:val="20"/>
          <w:szCs w:val="20"/>
          <w:lang w:val="en-GB"/>
        </w:rPr>
        <w:br/>
        <w:t>2.8 kg CO</w:t>
      </w:r>
      <w:r w:rsidRPr="008957E3">
        <w:rPr>
          <w:rFonts w:ascii="Arial" w:hAnsi="Arial" w:cs="Arial"/>
          <w:sz w:val="20"/>
          <w:szCs w:val="20"/>
          <w:vertAlign w:val="subscript"/>
          <w:lang w:val="en-GB"/>
        </w:rPr>
        <w:t>2</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eq kg</w:t>
      </w:r>
      <w:r w:rsidRPr="008957E3">
        <w:rPr>
          <w:rFonts w:ascii="Arial" w:hAnsi="Arial" w:cs="Arial"/>
          <w:sz w:val="20"/>
          <w:szCs w:val="20"/>
          <w:vertAlign w:val="superscript"/>
          <w:lang w:val="en-GB"/>
        </w:rPr>
        <w:t>–1</w:t>
      </w:r>
      <w:r w:rsidRPr="008957E3">
        <w:rPr>
          <w:rFonts w:ascii="Arial" w:hAnsi="Arial" w:cs="Arial"/>
          <w:sz w:val="20"/>
          <w:szCs w:val="20"/>
          <w:lang w:val="en-GB"/>
        </w:rPr>
        <w:t>, compared to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’s impact of 1.3 kg CO</w:t>
      </w:r>
      <w:r w:rsidRPr="008957E3">
        <w:rPr>
          <w:rFonts w:ascii="Arial" w:hAnsi="Arial" w:cs="Arial"/>
          <w:sz w:val="20"/>
          <w:szCs w:val="20"/>
          <w:vertAlign w:val="subscript"/>
          <w:lang w:val="en-GB"/>
        </w:rPr>
        <w:t>2</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eq kg</w:t>
      </w:r>
      <w:r w:rsidRPr="008957E3">
        <w:rPr>
          <w:rFonts w:ascii="Arial" w:hAnsi="Arial" w:cs="Arial"/>
          <w:sz w:val="20"/>
          <w:szCs w:val="20"/>
          <w:vertAlign w:val="superscript"/>
          <w:lang w:val="en-GB"/>
        </w:rPr>
        <w:t>–1</w:t>
      </w:r>
      <w:r w:rsidRPr="008957E3">
        <w:rPr>
          <w:rFonts w:ascii="Arial" w:hAnsi="Arial" w:cs="Arial"/>
          <w:sz w:val="20"/>
          <w:szCs w:val="20"/>
          <w:lang w:val="en-GB"/>
        </w:rPr>
        <w:t>. In the green scenario, these impacts decrease to 0.7 kg CO</w:t>
      </w:r>
      <w:r w:rsidRPr="008957E3">
        <w:rPr>
          <w:rFonts w:ascii="Arial" w:hAnsi="Arial" w:cs="Arial"/>
          <w:sz w:val="20"/>
          <w:szCs w:val="20"/>
          <w:vertAlign w:val="subscript"/>
          <w:lang w:val="en-GB"/>
        </w:rPr>
        <w:t>2</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eq kg</w:t>
      </w:r>
      <w:r w:rsidRPr="008957E3">
        <w:rPr>
          <w:rFonts w:ascii="Arial" w:hAnsi="Arial" w:cs="Arial"/>
          <w:sz w:val="20"/>
          <w:szCs w:val="20"/>
          <w:vertAlign w:val="superscript"/>
          <w:lang w:val="en-GB"/>
        </w:rPr>
        <w:t>–1</w:t>
      </w:r>
      <w:r w:rsidRPr="008957E3">
        <w:rPr>
          <w:rFonts w:ascii="Arial" w:hAnsi="Arial" w:cs="Arial"/>
          <w:sz w:val="20"/>
          <w:szCs w:val="20"/>
          <w:lang w:val="en-GB"/>
        </w:rPr>
        <w:t xml:space="preserve"> for N</w:t>
      </w:r>
      <w:r w:rsidRPr="008957E3">
        <w:rPr>
          <w:rFonts w:ascii="Arial" w:hAnsi="Arial" w:cs="Arial"/>
          <w:sz w:val="20"/>
          <w:szCs w:val="20"/>
          <w:vertAlign w:val="subscript"/>
          <w:lang w:val="en-GB"/>
        </w:rPr>
        <w:t>2</w:t>
      </w:r>
      <w:r w:rsidRPr="008957E3">
        <w:rPr>
          <w:rFonts w:ascii="Arial" w:hAnsi="Arial" w:cs="Arial"/>
          <w:sz w:val="20"/>
          <w:szCs w:val="20"/>
          <w:lang w:val="en-GB"/>
        </w:rPr>
        <w:t>O and 0.5 kg CO</w:t>
      </w:r>
      <w:r w:rsidRPr="008957E3">
        <w:rPr>
          <w:rFonts w:ascii="Arial" w:hAnsi="Arial" w:cs="Arial"/>
          <w:sz w:val="20"/>
          <w:szCs w:val="20"/>
          <w:vertAlign w:val="subscript"/>
          <w:lang w:val="en-GB"/>
        </w:rPr>
        <w:t>2</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eq kg</w:t>
      </w:r>
      <w:r w:rsidRPr="008957E3">
        <w:rPr>
          <w:rFonts w:ascii="Arial" w:hAnsi="Arial" w:cs="Arial"/>
          <w:sz w:val="20"/>
          <w:szCs w:val="20"/>
          <w:vertAlign w:val="superscript"/>
          <w:lang w:val="en-GB"/>
        </w:rPr>
        <w:t>–1</w:t>
      </w:r>
      <w:r w:rsidRPr="008957E3">
        <w:rPr>
          <w:rFonts w:ascii="Arial" w:hAnsi="Arial" w:cs="Arial"/>
          <w:sz w:val="20"/>
          <w:szCs w:val="20"/>
          <w:lang w:val="en-GB"/>
        </w:rPr>
        <w:t xml:space="preserve"> for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The N</w:t>
      </w:r>
      <w:r w:rsidRPr="008957E3">
        <w:rPr>
          <w:rFonts w:ascii="Arial" w:hAnsi="Arial" w:cs="Arial"/>
          <w:sz w:val="20"/>
          <w:szCs w:val="20"/>
          <w:vertAlign w:val="subscript"/>
          <w:lang w:val="en-GB"/>
        </w:rPr>
        <w:t>2</w:t>
      </w:r>
      <w:r w:rsidRPr="008957E3">
        <w:rPr>
          <w:rFonts w:ascii="Arial" w:hAnsi="Arial" w:cs="Arial"/>
          <w:sz w:val="20"/>
          <w:szCs w:val="20"/>
          <w:lang w:val="en-GB"/>
        </w:rPr>
        <w:t>O production process exhibits significantly higher impacts than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xml:space="preserve"> production, primarily due to the hydrogen required (2.3 times more in the case of N</w:t>
      </w:r>
      <w:r w:rsidRPr="008957E3">
        <w:rPr>
          <w:rFonts w:ascii="Arial" w:hAnsi="Arial" w:cs="Arial"/>
          <w:sz w:val="20"/>
          <w:szCs w:val="20"/>
          <w:vertAlign w:val="subscript"/>
          <w:lang w:val="en-GB"/>
        </w:rPr>
        <w:t>2</w:t>
      </w:r>
      <w:r w:rsidRPr="008957E3">
        <w:rPr>
          <w:rFonts w:ascii="Arial" w:hAnsi="Arial" w:cs="Arial"/>
          <w:sz w:val="20"/>
          <w:szCs w:val="20"/>
          <w:lang w:val="en-GB"/>
        </w:rPr>
        <w:t>O than in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w:t>
      </w:r>
    </w:p>
    <w:p w14:paraId="3F42FA6A" w14:textId="77777777" w:rsidR="00D21E3D" w:rsidRPr="008957E3" w:rsidRDefault="00D21E3D" w:rsidP="00593369">
      <w:pPr>
        <w:pStyle w:val="ListParagraph"/>
        <w:numPr>
          <w:ilvl w:val="0"/>
          <w:numId w:val="1"/>
        </w:numPr>
        <w:spacing w:after="0" w:line="360" w:lineRule="auto"/>
        <w:jc w:val="both"/>
        <w:rPr>
          <w:rFonts w:ascii="Arial" w:hAnsi="Arial" w:cs="Arial"/>
          <w:sz w:val="20"/>
          <w:szCs w:val="20"/>
          <w:lang w:val="en-GB"/>
        </w:rPr>
      </w:pPr>
      <w:r w:rsidRPr="008957E3">
        <w:rPr>
          <w:rFonts w:ascii="Arial" w:hAnsi="Arial" w:cs="Arial"/>
          <w:sz w:val="20"/>
          <w:szCs w:val="20"/>
          <w:lang w:val="en-GB"/>
        </w:rPr>
        <w:t>In the future, as electricity becomes highly decarbonized, the impacts of N</w:t>
      </w:r>
      <w:r w:rsidRPr="008957E3">
        <w:rPr>
          <w:rFonts w:ascii="Arial" w:hAnsi="Arial" w:cs="Arial"/>
          <w:sz w:val="20"/>
          <w:szCs w:val="20"/>
          <w:vertAlign w:val="subscript"/>
          <w:lang w:val="en-GB"/>
        </w:rPr>
        <w:t>2</w:t>
      </w:r>
      <w:r w:rsidRPr="008957E3">
        <w:rPr>
          <w:rFonts w:ascii="Arial" w:hAnsi="Arial" w:cs="Arial"/>
          <w:sz w:val="20"/>
          <w:szCs w:val="20"/>
          <w:lang w:val="en-GB"/>
        </w:rPr>
        <w:t>O in the green scenario decrease to 0.3 kg CO</w:t>
      </w:r>
      <w:r w:rsidRPr="008957E3">
        <w:rPr>
          <w:rFonts w:ascii="Arial" w:hAnsi="Arial" w:cs="Arial"/>
          <w:sz w:val="20"/>
          <w:szCs w:val="20"/>
          <w:vertAlign w:val="subscript"/>
          <w:lang w:val="en-GB"/>
        </w:rPr>
        <w:t>2</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eq kg</w:t>
      </w:r>
      <w:r w:rsidRPr="008957E3">
        <w:rPr>
          <w:rFonts w:ascii="Arial" w:hAnsi="Arial" w:cs="Arial"/>
          <w:sz w:val="20"/>
          <w:szCs w:val="20"/>
          <w:vertAlign w:val="superscript"/>
          <w:lang w:val="en-GB"/>
        </w:rPr>
        <w:t>–1</w:t>
      </w:r>
      <w:r w:rsidRPr="008957E3">
        <w:rPr>
          <w:rFonts w:ascii="Arial" w:hAnsi="Arial" w:cs="Arial"/>
          <w:sz w:val="20"/>
          <w:szCs w:val="20"/>
          <w:lang w:val="en-GB"/>
        </w:rPr>
        <w:t>, while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xml:space="preserve"> remains at 0.4 kg CO</w:t>
      </w:r>
      <w:r w:rsidRPr="008957E3">
        <w:rPr>
          <w:rFonts w:ascii="Arial" w:hAnsi="Arial" w:cs="Arial"/>
          <w:sz w:val="20"/>
          <w:szCs w:val="20"/>
          <w:vertAlign w:val="subscript"/>
          <w:lang w:val="en-GB"/>
        </w:rPr>
        <w:t>2</w:t>
      </w:r>
      <w:r w:rsidRPr="008957E3">
        <w:rPr>
          <w:rFonts w:ascii="Arial" w:eastAsiaTheme="minorEastAsia" w:hAnsi="Arial" w:cs="Arial"/>
          <w:bCs/>
          <w:sz w:val="20"/>
          <w:szCs w:val="20"/>
          <w:lang w:val="en-GB" w:eastAsia="zh-CN"/>
        </w:rPr>
        <w:noBreakHyphen/>
      </w:r>
      <w:r w:rsidRPr="008957E3">
        <w:rPr>
          <w:rFonts w:ascii="Arial" w:hAnsi="Arial" w:cs="Arial"/>
          <w:sz w:val="20"/>
          <w:szCs w:val="20"/>
          <w:lang w:val="en-GB"/>
        </w:rPr>
        <w:t>eq kg</w:t>
      </w:r>
      <w:r w:rsidRPr="008957E3">
        <w:rPr>
          <w:rFonts w:ascii="Arial" w:hAnsi="Arial" w:cs="Arial"/>
          <w:sz w:val="20"/>
          <w:szCs w:val="20"/>
          <w:vertAlign w:val="superscript"/>
          <w:lang w:val="en-GB"/>
        </w:rPr>
        <w:t>–1</w:t>
      </w:r>
      <w:r w:rsidRPr="008957E3">
        <w:rPr>
          <w:rFonts w:ascii="Arial" w:hAnsi="Arial" w:cs="Arial"/>
          <w:sz w:val="20"/>
          <w:szCs w:val="20"/>
          <w:lang w:val="en-GB"/>
        </w:rPr>
        <w:t>.</w:t>
      </w:r>
    </w:p>
    <w:p w14:paraId="078D8369" w14:textId="77777777" w:rsidR="002F1A80" w:rsidRPr="008957E3" w:rsidRDefault="002F1A80" w:rsidP="00C07F23">
      <w:pPr>
        <w:spacing w:line="360" w:lineRule="auto"/>
        <w:rPr>
          <w:rFonts w:ascii="Arial" w:hAnsi="Arial" w:cs="Arial"/>
          <w:sz w:val="20"/>
          <w:szCs w:val="20"/>
          <w:lang w:val="en-GB"/>
        </w:rPr>
      </w:pPr>
      <w:r w:rsidRPr="008957E3">
        <w:rPr>
          <w:rFonts w:ascii="Arial" w:hAnsi="Arial" w:cs="Arial"/>
          <w:sz w:val="20"/>
          <w:szCs w:val="20"/>
          <w:lang w:val="en-GB"/>
        </w:rPr>
        <w:br w:type="page"/>
      </w:r>
    </w:p>
    <w:p w14:paraId="5AF710E2" w14:textId="77777777" w:rsidR="002F1A80" w:rsidRPr="008957E3" w:rsidRDefault="002F1A80" w:rsidP="00C07F23">
      <w:pPr>
        <w:spacing w:line="360" w:lineRule="auto"/>
        <w:jc w:val="center"/>
        <w:rPr>
          <w:rFonts w:ascii="Arial" w:hAnsi="Arial" w:cs="Arial"/>
          <w:sz w:val="20"/>
          <w:szCs w:val="20"/>
          <w:lang w:val="en-GB"/>
        </w:rPr>
      </w:pPr>
      <w:r w:rsidRPr="008957E3">
        <w:rPr>
          <w:rFonts w:ascii="Arial" w:hAnsi="Arial" w:cs="Arial"/>
          <w:noProof/>
          <w:sz w:val="20"/>
          <w:szCs w:val="20"/>
          <w:lang w:val="en-GB"/>
        </w:rPr>
        <w:lastRenderedPageBreak/>
        <w:drawing>
          <wp:inline distT="0" distB="0" distL="0" distR="0" wp14:anchorId="725067FC" wp14:editId="11B23293">
            <wp:extent cx="3374905" cy="3797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end_raw.png"/>
                    <pic:cNvPicPr/>
                  </pic:nvPicPr>
                  <pic:blipFill>
                    <a:blip r:embed="rId13"/>
                    <a:stretch>
                      <a:fillRect/>
                    </a:stretch>
                  </pic:blipFill>
                  <pic:spPr>
                    <a:xfrm>
                      <a:off x="0" y="0"/>
                      <a:ext cx="3374905" cy="3797816"/>
                    </a:xfrm>
                    <a:prstGeom prst="rect">
                      <a:avLst/>
                    </a:prstGeom>
                  </pic:spPr>
                </pic:pic>
              </a:graphicData>
            </a:graphic>
          </wp:inline>
        </w:drawing>
      </w:r>
    </w:p>
    <w:p w14:paraId="534FA1B7" w14:textId="77777777" w:rsidR="00606F2F" w:rsidRPr="008957E3" w:rsidRDefault="00606F2F" w:rsidP="00606F2F">
      <w:pPr>
        <w:spacing w:line="360" w:lineRule="auto"/>
        <w:jc w:val="both"/>
        <w:rPr>
          <w:rFonts w:ascii="Arial" w:hAnsi="Arial" w:cs="Arial"/>
          <w:sz w:val="20"/>
          <w:szCs w:val="20"/>
          <w:lang w:val="en-GB"/>
        </w:rPr>
      </w:pPr>
      <w:r w:rsidRPr="008957E3">
        <w:rPr>
          <w:rFonts w:ascii="Arial" w:hAnsi="Arial" w:cs="Arial"/>
          <w:b/>
          <w:sz w:val="20"/>
          <w:szCs w:val="20"/>
          <w:lang w:val="en-GB"/>
        </w:rPr>
        <w:t>Fig. 4</w:t>
      </w:r>
      <w:r w:rsidRPr="008957E3">
        <w:rPr>
          <w:rFonts w:ascii="Arial" w:hAnsi="Arial" w:cs="Arial"/>
          <w:sz w:val="20"/>
          <w:szCs w:val="20"/>
          <w:lang w:val="en-GB"/>
        </w:rPr>
        <w:t xml:space="preserve"> Production costs of N</w:t>
      </w:r>
      <w:r w:rsidRPr="008957E3">
        <w:rPr>
          <w:rFonts w:ascii="Arial" w:hAnsi="Arial" w:cs="Arial"/>
          <w:sz w:val="20"/>
          <w:szCs w:val="20"/>
          <w:vertAlign w:val="subscript"/>
          <w:lang w:val="en-GB"/>
        </w:rPr>
        <w:t>2</w:t>
      </w:r>
      <w:r w:rsidRPr="008957E3">
        <w:rPr>
          <w:rFonts w:ascii="Arial" w:hAnsi="Arial" w:cs="Arial"/>
          <w:sz w:val="20"/>
          <w:szCs w:val="20"/>
          <w:lang w:val="en-GB"/>
        </w:rPr>
        <w:t>O and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xml:space="preserve"> are compared under the condition of having the same carbon footprint. To match the climate change impact of fossil-based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a blend of N</w:t>
      </w:r>
      <w:r w:rsidRPr="008957E3">
        <w:rPr>
          <w:rFonts w:ascii="Arial" w:hAnsi="Arial" w:cs="Arial"/>
          <w:sz w:val="20"/>
          <w:szCs w:val="20"/>
          <w:vertAlign w:val="subscript"/>
          <w:lang w:val="en-GB"/>
        </w:rPr>
        <w:t>2</w:t>
      </w:r>
      <w:r w:rsidRPr="008957E3">
        <w:rPr>
          <w:rFonts w:ascii="Arial" w:hAnsi="Arial" w:cs="Arial"/>
          <w:sz w:val="20"/>
          <w:szCs w:val="20"/>
          <w:lang w:val="en-GB"/>
        </w:rPr>
        <w:t>O—comprising 28% fossil-derived and 72% green N</w:t>
      </w:r>
      <w:r w:rsidRPr="008957E3">
        <w:rPr>
          <w:rFonts w:ascii="Arial" w:hAnsi="Arial" w:cs="Arial"/>
          <w:sz w:val="20"/>
          <w:szCs w:val="20"/>
          <w:vertAlign w:val="subscript"/>
          <w:lang w:val="en-GB"/>
        </w:rPr>
        <w:t>2</w:t>
      </w:r>
      <w:r w:rsidRPr="008957E3">
        <w:rPr>
          <w:rFonts w:ascii="Arial" w:hAnsi="Arial" w:cs="Arial"/>
          <w:sz w:val="20"/>
          <w:szCs w:val="20"/>
          <w:lang w:val="en-GB"/>
        </w:rPr>
        <w:t xml:space="preserve">O (see </w:t>
      </w:r>
      <w:r w:rsidRPr="008957E3">
        <w:rPr>
          <w:rFonts w:ascii="Arial" w:hAnsi="Arial" w:cs="Arial"/>
          <w:b/>
          <w:sz w:val="20"/>
          <w:szCs w:val="20"/>
          <w:lang w:val="en-GB"/>
        </w:rPr>
        <w:t>Fig. 3</w:t>
      </w:r>
      <w:r w:rsidRPr="008957E3">
        <w:rPr>
          <w:rFonts w:ascii="Arial" w:hAnsi="Arial" w:cs="Arial"/>
          <w:sz w:val="20"/>
          <w:szCs w:val="20"/>
          <w:lang w:val="en-GB"/>
        </w:rPr>
        <w:t>)—is utilized. By 2050, projections illustrate potential reductions in production costs and climate change impacts across various technologies.</w:t>
      </w:r>
    </w:p>
    <w:p w14:paraId="30FBCDBC" w14:textId="77777777" w:rsidR="00606F2F" w:rsidRPr="008957E3" w:rsidRDefault="00606F2F" w:rsidP="00593369">
      <w:pPr>
        <w:pStyle w:val="ListParagraph"/>
        <w:numPr>
          <w:ilvl w:val="0"/>
          <w:numId w:val="2"/>
        </w:numPr>
        <w:spacing w:after="0" w:line="360" w:lineRule="auto"/>
        <w:jc w:val="both"/>
        <w:rPr>
          <w:rFonts w:ascii="Arial" w:hAnsi="Arial" w:cs="Arial"/>
          <w:sz w:val="20"/>
          <w:szCs w:val="20"/>
          <w:lang w:val="en-GB"/>
        </w:rPr>
      </w:pPr>
      <w:r w:rsidRPr="008957E3">
        <w:rPr>
          <w:rFonts w:ascii="Arial" w:hAnsi="Arial" w:cs="Arial"/>
          <w:sz w:val="20"/>
          <w:szCs w:val="20"/>
          <w:lang w:val="en-GB"/>
        </w:rPr>
        <w:t>A blending scenario between fossil and green ammonia for N</w:t>
      </w:r>
      <w:r w:rsidRPr="008957E3">
        <w:rPr>
          <w:rFonts w:ascii="Arial" w:hAnsi="Arial" w:cs="Arial"/>
          <w:sz w:val="20"/>
          <w:szCs w:val="20"/>
          <w:vertAlign w:val="subscript"/>
          <w:lang w:val="en-GB"/>
        </w:rPr>
        <w:t>2</w:t>
      </w:r>
      <w:r w:rsidRPr="008957E3">
        <w:rPr>
          <w:rFonts w:ascii="Arial" w:hAnsi="Arial" w:cs="Arial"/>
          <w:sz w:val="20"/>
          <w:szCs w:val="20"/>
          <w:lang w:val="en-GB"/>
        </w:rPr>
        <w:t>O production suggests that, at a blend ratio of 28% fossil and 72% green ammonia, the carbon footprint of N</w:t>
      </w:r>
      <w:r w:rsidRPr="008957E3">
        <w:rPr>
          <w:rFonts w:ascii="Arial" w:hAnsi="Arial" w:cs="Arial"/>
          <w:sz w:val="20"/>
          <w:szCs w:val="20"/>
          <w:vertAlign w:val="subscript"/>
          <w:lang w:val="en-GB"/>
        </w:rPr>
        <w:t>2</w:t>
      </w:r>
      <w:r w:rsidRPr="008957E3">
        <w:rPr>
          <w:rFonts w:ascii="Arial" w:hAnsi="Arial" w:cs="Arial"/>
          <w:sz w:val="20"/>
          <w:szCs w:val="20"/>
          <w:lang w:val="en-GB"/>
        </w:rPr>
        <w:t>O production can match that of fossil-based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xml:space="preserve"> production at a 38% lower production cost.</w:t>
      </w:r>
    </w:p>
    <w:p w14:paraId="4710807C" w14:textId="77777777" w:rsidR="002F1A80" w:rsidRPr="008957E3" w:rsidRDefault="002F1A80" w:rsidP="00C07F23">
      <w:pPr>
        <w:spacing w:line="360" w:lineRule="auto"/>
        <w:rPr>
          <w:rFonts w:ascii="Arial" w:hAnsi="Arial" w:cs="Arial"/>
          <w:sz w:val="20"/>
          <w:szCs w:val="20"/>
          <w:lang w:val="en-GB"/>
        </w:rPr>
      </w:pPr>
      <w:r w:rsidRPr="008957E3">
        <w:rPr>
          <w:rFonts w:ascii="Arial" w:hAnsi="Arial" w:cs="Arial"/>
          <w:sz w:val="20"/>
          <w:szCs w:val="20"/>
          <w:lang w:val="en-GB"/>
        </w:rPr>
        <w:br w:type="page"/>
      </w:r>
    </w:p>
    <w:p w14:paraId="5F1DF10F" w14:textId="77777777" w:rsidR="002F1A80" w:rsidRPr="008957E3" w:rsidRDefault="002F1A80" w:rsidP="00C07F23">
      <w:pPr>
        <w:spacing w:line="360" w:lineRule="auto"/>
        <w:jc w:val="center"/>
        <w:rPr>
          <w:rFonts w:ascii="Arial" w:hAnsi="Arial" w:cs="Arial"/>
          <w:sz w:val="20"/>
          <w:szCs w:val="20"/>
          <w:lang w:val="en-GB"/>
        </w:rPr>
      </w:pPr>
      <w:r w:rsidRPr="008957E3">
        <w:rPr>
          <w:rFonts w:ascii="Arial" w:hAnsi="Arial" w:cs="Arial"/>
          <w:noProof/>
          <w:sz w:val="20"/>
          <w:szCs w:val="20"/>
          <w:lang w:val="en-GB"/>
        </w:rPr>
        <w:lastRenderedPageBreak/>
        <w:drawing>
          <wp:inline distT="0" distB="0" distL="0" distR="0" wp14:anchorId="7C4AE6F9" wp14:editId="608BD9CA">
            <wp:extent cx="5760407" cy="30778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enol_production.png"/>
                    <pic:cNvPicPr/>
                  </pic:nvPicPr>
                  <pic:blipFill>
                    <a:blip r:embed="rId14"/>
                    <a:stretch>
                      <a:fillRect/>
                    </a:stretch>
                  </pic:blipFill>
                  <pic:spPr>
                    <a:xfrm>
                      <a:off x="0" y="0"/>
                      <a:ext cx="5760407" cy="3077845"/>
                    </a:xfrm>
                    <a:prstGeom prst="rect">
                      <a:avLst/>
                    </a:prstGeom>
                  </pic:spPr>
                </pic:pic>
              </a:graphicData>
            </a:graphic>
          </wp:inline>
        </w:drawing>
      </w:r>
    </w:p>
    <w:p w14:paraId="1AB5A864" w14:textId="77777777" w:rsidR="00593369" w:rsidRPr="008957E3" w:rsidRDefault="00593369" w:rsidP="00593369">
      <w:pPr>
        <w:spacing w:line="360" w:lineRule="auto"/>
        <w:jc w:val="both"/>
        <w:rPr>
          <w:rFonts w:ascii="Arial" w:hAnsi="Arial" w:cs="Arial"/>
          <w:sz w:val="20"/>
          <w:szCs w:val="20"/>
          <w:lang w:val="en-GB"/>
        </w:rPr>
      </w:pPr>
      <w:r w:rsidRPr="008957E3">
        <w:rPr>
          <w:rFonts w:ascii="Arial" w:hAnsi="Arial" w:cs="Arial"/>
          <w:b/>
          <w:sz w:val="20"/>
          <w:szCs w:val="20"/>
          <w:lang w:val="en-GB"/>
        </w:rPr>
        <w:t>Fig. 5</w:t>
      </w:r>
      <w:r w:rsidRPr="008957E3">
        <w:rPr>
          <w:rFonts w:ascii="Arial" w:hAnsi="Arial" w:cs="Arial"/>
          <w:sz w:val="20"/>
          <w:szCs w:val="20"/>
          <w:lang w:val="en-GB"/>
        </w:rPr>
        <w:t xml:space="preserve"> </w:t>
      </w:r>
      <w:r w:rsidRPr="008957E3">
        <w:rPr>
          <w:rFonts w:ascii="Arial" w:hAnsi="Arial" w:cs="Arial"/>
          <w:b/>
          <w:sz w:val="20"/>
          <w:szCs w:val="20"/>
          <w:lang w:val="en-GB"/>
        </w:rPr>
        <w:t>(</w:t>
      </w:r>
      <w:r w:rsidRPr="008957E3">
        <w:rPr>
          <w:rFonts w:ascii="Arial" w:hAnsi="Arial" w:cs="Arial"/>
          <w:b/>
          <w:bCs/>
          <w:sz w:val="20"/>
          <w:szCs w:val="20"/>
          <w:lang w:val="en-GB"/>
        </w:rPr>
        <w:t>a)</w:t>
      </w:r>
      <w:r w:rsidRPr="008957E3">
        <w:rPr>
          <w:rFonts w:ascii="Arial" w:hAnsi="Arial" w:cs="Arial"/>
          <w:bCs/>
          <w:sz w:val="20"/>
          <w:szCs w:val="20"/>
          <w:lang w:val="en-GB"/>
        </w:rPr>
        <w:t> </w:t>
      </w:r>
      <w:r w:rsidRPr="008957E3">
        <w:rPr>
          <w:rFonts w:ascii="Arial" w:hAnsi="Arial" w:cs="Arial"/>
          <w:sz w:val="20"/>
          <w:szCs w:val="20"/>
          <w:lang w:val="en-GB"/>
        </w:rPr>
        <w:t xml:space="preserve">Production costs and </w:t>
      </w:r>
      <w:r w:rsidRPr="008957E3">
        <w:rPr>
          <w:rFonts w:ascii="Arial" w:hAnsi="Arial" w:cs="Arial"/>
          <w:b/>
          <w:sz w:val="20"/>
          <w:szCs w:val="20"/>
          <w:lang w:val="en-GB"/>
        </w:rPr>
        <w:t>(b)</w:t>
      </w:r>
      <w:r w:rsidRPr="008957E3">
        <w:rPr>
          <w:rFonts w:ascii="Arial" w:hAnsi="Arial" w:cs="Arial"/>
          <w:sz w:val="20"/>
          <w:szCs w:val="20"/>
          <w:lang w:val="en-GB"/>
        </w:rPr>
        <w:t> climate change impacts per kg of phenol production using the business-as-usual cumene oxidation process, and the direct oxidation of benzene to phenol using N</w:t>
      </w:r>
      <w:r w:rsidRPr="008957E3">
        <w:rPr>
          <w:rFonts w:ascii="Arial" w:hAnsi="Arial" w:cs="Arial"/>
          <w:sz w:val="20"/>
          <w:szCs w:val="20"/>
          <w:vertAlign w:val="subscript"/>
          <w:lang w:val="en-GB"/>
        </w:rPr>
        <w:t>2</w:t>
      </w:r>
      <w:r w:rsidRPr="008957E3">
        <w:rPr>
          <w:rFonts w:ascii="Arial" w:hAnsi="Arial" w:cs="Arial"/>
          <w:sz w:val="20"/>
          <w:szCs w:val="20"/>
          <w:lang w:val="en-GB"/>
        </w:rPr>
        <w:t>O and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For N</w:t>
      </w:r>
      <w:r w:rsidRPr="008957E3">
        <w:rPr>
          <w:rFonts w:ascii="Arial" w:hAnsi="Arial" w:cs="Arial"/>
          <w:sz w:val="20"/>
          <w:szCs w:val="20"/>
          <w:vertAlign w:val="subscript"/>
          <w:lang w:val="en-GB"/>
        </w:rPr>
        <w:t>2</w:t>
      </w:r>
      <w:r w:rsidRPr="008957E3">
        <w:rPr>
          <w:rFonts w:ascii="Arial" w:hAnsi="Arial" w:cs="Arial"/>
          <w:sz w:val="20"/>
          <w:szCs w:val="20"/>
          <w:lang w:val="en-GB"/>
        </w:rPr>
        <w:t>O contributions, the 1-step process using ammonia derived from either natural gas (fossil-based) or the electrolytic hydrogen-based Haber-Bosch process (green) is shown. Similarly, the anthraquinone process for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 xml:space="preserve"> contributions, utilizing hydrogen from either natural gas reforming or electrolytic sources, is presented. Projections for 2050 highlight potential reductions in production costs and the climate change impacts across all technologies.</w:t>
      </w:r>
    </w:p>
    <w:p w14:paraId="4609B2EF" w14:textId="77777777" w:rsidR="00593369" w:rsidRPr="008957E3" w:rsidRDefault="00593369" w:rsidP="00593369">
      <w:pPr>
        <w:pStyle w:val="ListParagraph"/>
        <w:numPr>
          <w:ilvl w:val="0"/>
          <w:numId w:val="2"/>
        </w:numPr>
        <w:spacing w:line="360" w:lineRule="auto"/>
        <w:jc w:val="both"/>
        <w:rPr>
          <w:rFonts w:ascii="Arial" w:hAnsi="Arial" w:cs="Arial"/>
          <w:sz w:val="20"/>
          <w:szCs w:val="20"/>
          <w:lang w:val="en-GB"/>
        </w:rPr>
      </w:pPr>
      <w:r w:rsidRPr="008957E3">
        <w:rPr>
          <w:rFonts w:ascii="Arial" w:hAnsi="Arial" w:cs="Arial"/>
          <w:sz w:val="20"/>
          <w:szCs w:val="20"/>
          <w:lang w:val="en-GB"/>
        </w:rPr>
        <w:t>The direct oxidation of benzene to phenol using N</w:t>
      </w:r>
      <w:r w:rsidRPr="008957E3">
        <w:rPr>
          <w:rFonts w:ascii="Arial" w:hAnsi="Arial" w:cs="Arial"/>
          <w:sz w:val="20"/>
          <w:szCs w:val="20"/>
          <w:vertAlign w:val="subscript"/>
          <w:lang w:val="en-GB"/>
        </w:rPr>
        <w:t>2</w:t>
      </w:r>
      <w:r w:rsidRPr="008957E3">
        <w:rPr>
          <w:rFonts w:ascii="Arial" w:hAnsi="Arial" w:cs="Arial"/>
          <w:sz w:val="20"/>
          <w:szCs w:val="20"/>
          <w:lang w:val="en-GB"/>
        </w:rPr>
        <w:t>O is the most cost-effective route, outperforming the traditional cumene oxidation process for phenol production by reducing costs by 10%.</w:t>
      </w:r>
    </w:p>
    <w:p w14:paraId="7D2253E9" w14:textId="77777777" w:rsidR="00593369" w:rsidRPr="008957E3" w:rsidRDefault="00593369" w:rsidP="00593369">
      <w:pPr>
        <w:pStyle w:val="ListParagraph"/>
        <w:numPr>
          <w:ilvl w:val="0"/>
          <w:numId w:val="2"/>
        </w:numPr>
        <w:spacing w:after="0" w:line="360" w:lineRule="auto"/>
        <w:jc w:val="both"/>
        <w:rPr>
          <w:rFonts w:ascii="Arial" w:hAnsi="Arial" w:cs="Arial"/>
          <w:sz w:val="20"/>
          <w:szCs w:val="20"/>
          <w:lang w:val="en-GB"/>
        </w:rPr>
      </w:pPr>
      <w:r w:rsidRPr="008957E3">
        <w:rPr>
          <w:rFonts w:ascii="Arial" w:hAnsi="Arial" w:cs="Arial"/>
          <w:sz w:val="20"/>
          <w:szCs w:val="20"/>
          <w:lang w:val="en-GB"/>
        </w:rPr>
        <w:t>In terms of climate change impacts, all direct oxidation routes have lower impacts than the traditional cumene oxidation process. Among these, the H</w:t>
      </w:r>
      <w:r w:rsidRPr="008957E3">
        <w:rPr>
          <w:rFonts w:ascii="Arial" w:hAnsi="Arial" w:cs="Arial"/>
          <w:sz w:val="20"/>
          <w:szCs w:val="20"/>
          <w:vertAlign w:val="subscript"/>
          <w:lang w:val="en-GB"/>
        </w:rPr>
        <w:t>2</w:t>
      </w:r>
      <w:r w:rsidRPr="008957E3">
        <w:rPr>
          <w:rFonts w:ascii="Arial" w:hAnsi="Arial" w:cs="Arial"/>
          <w:sz w:val="20"/>
          <w:szCs w:val="20"/>
          <w:lang w:val="en-GB"/>
        </w:rPr>
        <w:t>O</w:t>
      </w:r>
      <w:r w:rsidRPr="008957E3">
        <w:rPr>
          <w:rFonts w:ascii="Arial" w:hAnsi="Arial" w:cs="Arial"/>
          <w:sz w:val="20"/>
          <w:szCs w:val="20"/>
          <w:vertAlign w:val="subscript"/>
          <w:lang w:val="en-GB"/>
        </w:rPr>
        <w:t>2</w:t>
      </w:r>
      <w:r w:rsidRPr="008957E3">
        <w:rPr>
          <w:rFonts w:ascii="Arial" w:hAnsi="Arial" w:cs="Arial"/>
          <w:sz w:val="20"/>
          <w:szCs w:val="20"/>
          <w:lang w:val="en-GB"/>
        </w:rPr>
        <w:t>-based direct oxidation routes exhibit the lowest impacts for phenol production.</w:t>
      </w:r>
    </w:p>
    <w:p w14:paraId="28FA10BA" w14:textId="77777777" w:rsidR="008E3C2E" w:rsidRPr="008957E3" w:rsidRDefault="008E3C2E">
      <w:pPr>
        <w:rPr>
          <w:rFonts w:ascii="Arial" w:hAnsi="Arial" w:cs="Arial"/>
          <w:sz w:val="20"/>
          <w:szCs w:val="20"/>
          <w:lang w:val="en-GB"/>
        </w:rPr>
      </w:pPr>
      <w:r w:rsidRPr="008957E3">
        <w:rPr>
          <w:rFonts w:ascii="Arial" w:hAnsi="Arial" w:cs="Arial"/>
          <w:sz w:val="20"/>
          <w:szCs w:val="20"/>
          <w:lang w:val="en-GB"/>
        </w:rPr>
        <w:br w:type="page"/>
      </w:r>
    </w:p>
    <w:p w14:paraId="1C606572" w14:textId="77777777" w:rsidR="00975F02" w:rsidRPr="008957E3" w:rsidRDefault="008E3C2E" w:rsidP="00C1417E">
      <w:pPr>
        <w:spacing w:after="0" w:line="360" w:lineRule="auto"/>
        <w:jc w:val="both"/>
        <w:rPr>
          <w:rFonts w:ascii="Arial" w:hAnsi="Arial" w:cs="Arial"/>
          <w:b/>
          <w:sz w:val="20"/>
          <w:szCs w:val="20"/>
          <w:lang w:val="en-GB"/>
        </w:rPr>
      </w:pPr>
      <w:r w:rsidRPr="008957E3">
        <w:rPr>
          <w:rFonts w:ascii="Arial" w:hAnsi="Arial" w:cs="Arial"/>
          <w:b/>
          <w:sz w:val="20"/>
          <w:szCs w:val="20"/>
          <w:lang w:val="en-GB"/>
        </w:rPr>
        <w:lastRenderedPageBreak/>
        <w:t>References</w:t>
      </w:r>
    </w:p>
    <w:p w14:paraId="08AD7313" w14:textId="77777777" w:rsidR="00910C52" w:rsidRPr="008957E3" w:rsidRDefault="008E3C2E"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fldChar w:fldCharType="begin"/>
      </w:r>
      <w:r w:rsidR="00B80188" w:rsidRPr="008957E3">
        <w:rPr>
          <w:rFonts w:ascii="Arial" w:hAnsi="Arial" w:cs="Arial"/>
          <w:sz w:val="20"/>
          <w:szCs w:val="20"/>
          <w:lang w:val="en-GB"/>
        </w:rPr>
        <w:instrText xml:space="preserve"> ADDIN ZOTERO_BIBL {"uncited":[],"omitted":[],"custom":[]} CSL_BIBLIOGRAPHY </w:instrText>
      </w:r>
      <w:r w:rsidRPr="008957E3">
        <w:rPr>
          <w:rFonts w:ascii="Arial" w:hAnsi="Arial" w:cs="Arial"/>
          <w:sz w:val="20"/>
          <w:szCs w:val="20"/>
          <w:lang w:val="en-GB"/>
        </w:rPr>
        <w:fldChar w:fldCharType="separate"/>
      </w:r>
      <w:r w:rsidR="00910C52" w:rsidRPr="008957E3">
        <w:rPr>
          <w:rFonts w:ascii="Arial" w:hAnsi="Arial" w:cs="Arial"/>
          <w:sz w:val="20"/>
          <w:szCs w:val="20"/>
          <w:lang w:val="en-GB"/>
        </w:rPr>
        <w:t>1</w:t>
      </w:r>
      <w:r w:rsidR="00910C52" w:rsidRPr="008957E3">
        <w:rPr>
          <w:rFonts w:ascii="Arial" w:hAnsi="Arial" w:cs="Arial"/>
          <w:sz w:val="20"/>
          <w:szCs w:val="20"/>
          <w:lang w:val="en-GB"/>
        </w:rPr>
        <w:tab/>
        <w:t xml:space="preserve">S. Lee, S. Park and J. Lee, </w:t>
      </w:r>
      <w:proofErr w:type="spellStart"/>
      <w:r w:rsidR="00910C52" w:rsidRPr="008957E3">
        <w:rPr>
          <w:rFonts w:ascii="Arial" w:hAnsi="Arial" w:cs="Arial"/>
          <w:i/>
          <w:iCs/>
          <w:sz w:val="20"/>
          <w:szCs w:val="20"/>
          <w:lang w:val="en-GB"/>
        </w:rPr>
        <w:t>ChemSusChem</w:t>
      </w:r>
      <w:proofErr w:type="spellEnd"/>
      <w:r w:rsidR="00910C52" w:rsidRPr="008957E3">
        <w:rPr>
          <w:rFonts w:ascii="Arial" w:hAnsi="Arial" w:cs="Arial"/>
          <w:sz w:val="20"/>
          <w:szCs w:val="20"/>
          <w:lang w:val="en-GB"/>
        </w:rPr>
        <w:t>, 2025, e202402728.</w:t>
      </w:r>
    </w:p>
    <w:p w14:paraId="01246238"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2</w:t>
      </w:r>
      <w:r w:rsidRPr="008957E3">
        <w:rPr>
          <w:rFonts w:ascii="Arial" w:hAnsi="Arial" w:cs="Arial"/>
          <w:sz w:val="20"/>
          <w:szCs w:val="20"/>
          <w:lang w:val="en-GB"/>
        </w:rPr>
        <w:tab/>
        <w:t xml:space="preserve">K. Severin, </w:t>
      </w:r>
      <w:r w:rsidRPr="008957E3">
        <w:rPr>
          <w:rFonts w:ascii="Arial" w:hAnsi="Arial" w:cs="Arial"/>
          <w:i/>
          <w:iCs/>
          <w:sz w:val="20"/>
          <w:szCs w:val="20"/>
          <w:lang w:val="en-GB"/>
        </w:rPr>
        <w:t>Chem. Soc. Rev.</w:t>
      </w:r>
      <w:r w:rsidRPr="008957E3">
        <w:rPr>
          <w:rFonts w:ascii="Arial" w:hAnsi="Arial" w:cs="Arial"/>
          <w:sz w:val="20"/>
          <w:szCs w:val="20"/>
          <w:lang w:val="en-GB"/>
        </w:rPr>
        <w:t xml:space="preserve">, 2015, </w:t>
      </w:r>
      <w:r w:rsidRPr="008957E3">
        <w:rPr>
          <w:rFonts w:ascii="Arial" w:hAnsi="Arial" w:cs="Arial"/>
          <w:b/>
          <w:bCs/>
          <w:sz w:val="20"/>
          <w:szCs w:val="20"/>
          <w:lang w:val="en-GB"/>
        </w:rPr>
        <w:t>44</w:t>
      </w:r>
      <w:r w:rsidRPr="008957E3">
        <w:rPr>
          <w:rFonts w:ascii="Arial" w:hAnsi="Arial" w:cs="Arial"/>
          <w:sz w:val="20"/>
          <w:szCs w:val="20"/>
          <w:lang w:val="en-GB"/>
        </w:rPr>
        <w:t>, 6375–6386.</w:t>
      </w:r>
    </w:p>
    <w:p w14:paraId="6BD8A84D"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3</w:t>
      </w:r>
      <w:r w:rsidRPr="008957E3">
        <w:rPr>
          <w:rFonts w:ascii="Arial" w:hAnsi="Arial" w:cs="Arial"/>
          <w:sz w:val="20"/>
          <w:szCs w:val="20"/>
          <w:lang w:val="en-GB"/>
        </w:rPr>
        <w:tab/>
        <w:t xml:space="preserve">I. </w:t>
      </w:r>
      <w:proofErr w:type="spellStart"/>
      <w:r w:rsidRPr="008957E3">
        <w:rPr>
          <w:rFonts w:ascii="Arial" w:hAnsi="Arial" w:cs="Arial"/>
          <w:sz w:val="20"/>
          <w:szCs w:val="20"/>
          <w:lang w:val="en-GB"/>
        </w:rPr>
        <w:t>Gokce</w:t>
      </w:r>
      <w:proofErr w:type="spellEnd"/>
      <w:r w:rsidRPr="008957E3">
        <w:rPr>
          <w:rFonts w:ascii="Arial" w:hAnsi="Arial" w:cs="Arial"/>
          <w:sz w:val="20"/>
          <w:szCs w:val="20"/>
          <w:lang w:val="en-GB"/>
        </w:rPr>
        <w:t xml:space="preserve">, M. O. </w:t>
      </w:r>
      <w:proofErr w:type="spellStart"/>
      <w:r w:rsidRPr="008957E3">
        <w:rPr>
          <w:rFonts w:ascii="Arial" w:hAnsi="Arial" w:cs="Arial"/>
          <w:sz w:val="20"/>
          <w:szCs w:val="20"/>
          <w:lang w:val="en-GB"/>
        </w:rPr>
        <w:t>Ozbek</w:t>
      </w:r>
      <w:proofErr w:type="spellEnd"/>
      <w:r w:rsidRPr="008957E3">
        <w:rPr>
          <w:rFonts w:ascii="Arial" w:hAnsi="Arial" w:cs="Arial"/>
          <w:sz w:val="20"/>
          <w:szCs w:val="20"/>
          <w:lang w:val="en-GB"/>
        </w:rPr>
        <w:t xml:space="preserve"> and B. </w:t>
      </w:r>
      <w:proofErr w:type="spellStart"/>
      <w:r w:rsidRPr="008957E3">
        <w:rPr>
          <w:rFonts w:ascii="Arial" w:hAnsi="Arial" w:cs="Arial"/>
          <w:sz w:val="20"/>
          <w:szCs w:val="20"/>
          <w:lang w:val="en-GB"/>
        </w:rPr>
        <w:t>Ipek</w:t>
      </w:r>
      <w:proofErr w:type="spellEnd"/>
      <w:r w:rsidRPr="008957E3">
        <w:rPr>
          <w:rFonts w:ascii="Arial" w:hAnsi="Arial" w:cs="Arial"/>
          <w:sz w:val="20"/>
          <w:szCs w:val="20"/>
          <w:lang w:val="en-GB"/>
        </w:rPr>
        <w:t xml:space="preserve">, </w:t>
      </w:r>
      <w:r w:rsidRPr="008957E3">
        <w:rPr>
          <w:rFonts w:ascii="Arial" w:hAnsi="Arial" w:cs="Arial"/>
          <w:i/>
          <w:iCs/>
          <w:sz w:val="20"/>
          <w:szCs w:val="20"/>
          <w:lang w:val="en-GB"/>
        </w:rPr>
        <w:t xml:space="preserve">J. </w:t>
      </w:r>
      <w:proofErr w:type="spellStart"/>
      <w:r w:rsidRPr="008957E3">
        <w:rPr>
          <w:rFonts w:ascii="Arial" w:hAnsi="Arial" w:cs="Arial"/>
          <w:i/>
          <w:iCs/>
          <w:sz w:val="20"/>
          <w:szCs w:val="20"/>
          <w:lang w:val="en-GB"/>
        </w:rPr>
        <w:t>Catal</w:t>
      </w:r>
      <w:proofErr w:type="spellEnd"/>
      <w:r w:rsidRPr="008957E3">
        <w:rPr>
          <w:rFonts w:ascii="Arial" w:hAnsi="Arial" w:cs="Arial"/>
          <w:i/>
          <w:iCs/>
          <w:sz w:val="20"/>
          <w:szCs w:val="20"/>
          <w:lang w:val="en-GB"/>
        </w:rPr>
        <w:t>.</w:t>
      </w:r>
      <w:r w:rsidRPr="008957E3">
        <w:rPr>
          <w:rFonts w:ascii="Arial" w:hAnsi="Arial" w:cs="Arial"/>
          <w:sz w:val="20"/>
          <w:szCs w:val="20"/>
          <w:lang w:val="en-GB"/>
        </w:rPr>
        <w:t xml:space="preserve">, 2023, </w:t>
      </w:r>
      <w:r w:rsidRPr="008957E3">
        <w:rPr>
          <w:rFonts w:ascii="Arial" w:hAnsi="Arial" w:cs="Arial"/>
          <w:b/>
          <w:bCs/>
          <w:sz w:val="20"/>
          <w:szCs w:val="20"/>
          <w:lang w:val="en-GB"/>
        </w:rPr>
        <w:t>427</w:t>
      </w:r>
      <w:r w:rsidRPr="008957E3">
        <w:rPr>
          <w:rFonts w:ascii="Arial" w:hAnsi="Arial" w:cs="Arial"/>
          <w:sz w:val="20"/>
          <w:szCs w:val="20"/>
          <w:lang w:val="en-GB"/>
        </w:rPr>
        <w:t>, 115113.</w:t>
      </w:r>
    </w:p>
    <w:p w14:paraId="71BD8762"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4</w:t>
      </w:r>
      <w:r w:rsidRPr="008957E3">
        <w:rPr>
          <w:rFonts w:ascii="Arial" w:hAnsi="Arial" w:cs="Arial"/>
          <w:sz w:val="20"/>
          <w:szCs w:val="20"/>
          <w:lang w:val="en-GB"/>
        </w:rPr>
        <w:tab/>
        <w:t xml:space="preserve">L. C. Yen and J. J. </w:t>
      </w:r>
      <w:proofErr w:type="spellStart"/>
      <w:r w:rsidRPr="008957E3">
        <w:rPr>
          <w:rFonts w:ascii="Arial" w:hAnsi="Arial" w:cs="Arial"/>
          <w:sz w:val="20"/>
          <w:szCs w:val="20"/>
          <w:lang w:val="en-GB"/>
        </w:rPr>
        <w:t>McKetta</w:t>
      </w:r>
      <w:proofErr w:type="spellEnd"/>
      <w:r w:rsidRPr="008957E3">
        <w:rPr>
          <w:rFonts w:ascii="Arial" w:hAnsi="Arial" w:cs="Arial"/>
          <w:sz w:val="20"/>
          <w:szCs w:val="20"/>
          <w:lang w:val="en-GB"/>
        </w:rPr>
        <w:t xml:space="preserve">, </w:t>
      </w:r>
      <w:r w:rsidRPr="008957E3">
        <w:rPr>
          <w:rFonts w:ascii="Arial" w:hAnsi="Arial" w:cs="Arial"/>
          <w:i/>
          <w:iCs/>
          <w:sz w:val="20"/>
          <w:szCs w:val="20"/>
          <w:lang w:val="en-GB"/>
        </w:rPr>
        <w:t>J. Chem. Eng. Data</w:t>
      </w:r>
      <w:r w:rsidRPr="008957E3">
        <w:rPr>
          <w:rFonts w:ascii="Arial" w:hAnsi="Arial" w:cs="Arial"/>
          <w:sz w:val="20"/>
          <w:szCs w:val="20"/>
          <w:lang w:val="en-GB"/>
        </w:rPr>
        <w:t xml:space="preserve">, 1962, </w:t>
      </w:r>
      <w:r w:rsidRPr="008957E3">
        <w:rPr>
          <w:rFonts w:ascii="Arial" w:hAnsi="Arial" w:cs="Arial"/>
          <w:b/>
          <w:bCs/>
          <w:sz w:val="20"/>
          <w:szCs w:val="20"/>
          <w:lang w:val="en-GB"/>
        </w:rPr>
        <w:t>7</w:t>
      </w:r>
      <w:r w:rsidRPr="008957E3">
        <w:rPr>
          <w:rFonts w:ascii="Arial" w:hAnsi="Arial" w:cs="Arial"/>
          <w:sz w:val="20"/>
          <w:szCs w:val="20"/>
          <w:lang w:val="en-GB"/>
        </w:rPr>
        <w:t>, 288–289.</w:t>
      </w:r>
    </w:p>
    <w:p w14:paraId="0EFFB842"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5</w:t>
      </w:r>
      <w:r w:rsidRPr="008957E3">
        <w:rPr>
          <w:rFonts w:ascii="Arial" w:hAnsi="Arial" w:cs="Arial"/>
          <w:sz w:val="20"/>
          <w:szCs w:val="20"/>
          <w:lang w:val="en-GB"/>
        </w:rPr>
        <w:tab/>
        <w:t xml:space="preserve">M. Galle, D. W. Agar and O. </w:t>
      </w:r>
      <w:proofErr w:type="spellStart"/>
      <w:r w:rsidRPr="008957E3">
        <w:rPr>
          <w:rFonts w:ascii="Arial" w:hAnsi="Arial" w:cs="Arial"/>
          <w:sz w:val="20"/>
          <w:szCs w:val="20"/>
          <w:lang w:val="en-GB"/>
        </w:rPr>
        <w:t>Watzenberger</w:t>
      </w:r>
      <w:proofErr w:type="spellEnd"/>
      <w:r w:rsidRPr="008957E3">
        <w:rPr>
          <w:rFonts w:ascii="Arial" w:hAnsi="Arial" w:cs="Arial"/>
          <w:sz w:val="20"/>
          <w:szCs w:val="20"/>
          <w:lang w:val="en-GB"/>
        </w:rPr>
        <w:t xml:space="preserve">, </w:t>
      </w:r>
      <w:r w:rsidRPr="008957E3">
        <w:rPr>
          <w:rFonts w:ascii="Arial" w:hAnsi="Arial" w:cs="Arial"/>
          <w:i/>
          <w:iCs/>
          <w:sz w:val="20"/>
          <w:szCs w:val="20"/>
          <w:lang w:val="en-GB"/>
        </w:rPr>
        <w:t>Chem. Eng. Sci.</w:t>
      </w:r>
      <w:r w:rsidRPr="008957E3">
        <w:rPr>
          <w:rFonts w:ascii="Arial" w:hAnsi="Arial" w:cs="Arial"/>
          <w:sz w:val="20"/>
          <w:szCs w:val="20"/>
          <w:lang w:val="en-GB"/>
        </w:rPr>
        <w:t xml:space="preserve">, 2001, </w:t>
      </w:r>
      <w:r w:rsidRPr="008957E3">
        <w:rPr>
          <w:rFonts w:ascii="Arial" w:hAnsi="Arial" w:cs="Arial"/>
          <w:b/>
          <w:bCs/>
          <w:sz w:val="20"/>
          <w:szCs w:val="20"/>
          <w:lang w:val="en-GB"/>
        </w:rPr>
        <w:t>56</w:t>
      </w:r>
      <w:r w:rsidRPr="008957E3">
        <w:rPr>
          <w:rFonts w:ascii="Arial" w:hAnsi="Arial" w:cs="Arial"/>
          <w:sz w:val="20"/>
          <w:szCs w:val="20"/>
          <w:lang w:val="en-GB"/>
        </w:rPr>
        <w:t>, 1587–1595.</w:t>
      </w:r>
    </w:p>
    <w:p w14:paraId="034C86FC"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6</w:t>
      </w:r>
      <w:r w:rsidRPr="008957E3">
        <w:rPr>
          <w:rFonts w:ascii="Arial" w:hAnsi="Arial" w:cs="Arial"/>
          <w:sz w:val="20"/>
          <w:szCs w:val="20"/>
          <w:lang w:val="en-GB"/>
        </w:rPr>
        <w:tab/>
        <w:t xml:space="preserve">G. Mi, J. Li, J. Zhang and B. Chen, </w:t>
      </w:r>
      <w:r w:rsidRPr="008957E3">
        <w:rPr>
          <w:rFonts w:ascii="Arial" w:hAnsi="Arial" w:cs="Arial"/>
          <w:i/>
          <w:iCs/>
          <w:sz w:val="20"/>
          <w:szCs w:val="20"/>
          <w:lang w:val="en-GB"/>
        </w:rPr>
        <w:t>Korean J. Chem. Eng.</w:t>
      </w:r>
      <w:r w:rsidRPr="008957E3">
        <w:rPr>
          <w:rFonts w:ascii="Arial" w:hAnsi="Arial" w:cs="Arial"/>
          <w:sz w:val="20"/>
          <w:szCs w:val="20"/>
          <w:lang w:val="en-GB"/>
        </w:rPr>
        <w:t xml:space="preserve">, 2010, </w:t>
      </w:r>
      <w:r w:rsidRPr="008957E3">
        <w:rPr>
          <w:rFonts w:ascii="Arial" w:hAnsi="Arial" w:cs="Arial"/>
          <w:b/>
          <w:bCs/>
          <w:sz w:val="20"/>
          <w:szCs w:val="20"/>
          <w:lang w:val="en-GB"/>
        </w:rPr>
        <w:t>27</w:t>
      </w:r>
      <w:r w:rsidRPr="008957E3">
        <w:rPr>
          <w:rFonts w:ascii="Arial" w:hAnsi="Arial" w:cs="Arial"/>
          <w:sz w:val="20"/>
          <w:szCs w:val="20"/>
          <w:lang w:val="en-GB"/>
        </w:rPr>
        <w:t>, 1700–1706.</w:t>
      </w:r>
    </w:p>
    <w:p w14:paraId="29E31E35"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7</w:t>
      </w:r>
      <w:r w:rsidRPr="008957E3">
        <w:rPr>
          <w:rFonts w:ascii="Arial" w:hAnsi="Arial" w:cs="Arial"/>
          <w:sz w:val="20"/>
          <w:szCs w:val="20"/>
          <w:lang w:val="en-GB"/>
        </w:rPr>
        <w:tab/>
        <w:t xml:space="preserve">A. Mancuso, O. Sacco, D. </w:t>
      </w:r>
      <w:proofErr w:type="spellStart"/>
      <w:r w:rsidRPr="008957E3">
        <w:rPr>
          <w:rFonts w:ascii="Arial" w:hAnsi="Arial" w:cs="Arial"/>
          <w:sz w:val="20"/>
          <w:szCs w:val="20"/>
          <w:lang w:val="en-GB"/>
        </w:rPr>
        <w:t>Sannino</w:t>
      </w:r>
      <w:proofErr w:type="spellEnd"/>
      <w:r w:rsidRPr="008957E3">
        <w:rPr>
          <w:rFonts w:ascii="Arial" w:hAnsi="Arial" w:cs="Arial"/>
          <w:sz w:val="20"/>
          <w:szCs w:val="20"/>
          <w:lang w:val="en-GB"/>
        </w:rPr>
        <w:t xml:space="preserve">, V. </w:t>
      </w:r>
      <w:proofErr w:type="spellStart"/>
      <w:r w:rsidRPr="008957E3">
        <w:rPr>
          <w:rFonts w:ascii="Arial" w:hAnsi="Arial" w:cs="Arial"/>
          <w:sz w:val="20"/>
          <w:szCs w:val="20"/>
          <w:lang w:val="en-GB"/>
        </w:rPr>
        <w:t>Venditto</w:t>
      </w:r>
      <w:proofErr w:type="spellEnd"/>
      <w:r w:rsidRPr="008957E3">
        <w:rPr>
          <w:rFonts w:ascii="Arial" w:hAnsi="Arial" w:cs="Arial"/>
          <w:sz w:val="20"/>
          <w:szCs w:val="20"/>
          <w:lang w:val="en-GB"/>
        </w:rPr>
        <w:t xml:space="preserve"> and V. Vaiano, </w:t>
      </w:r>
      <w:r w:rsidRPr="008957E3">
        <w:rPr>
          <w:rFonts w:ascii="Arial" w:hAnsi="Arial" w:cs="Arial"/>
          <w:i/>
          <w:iCs/>
          <w:sz w:val="20"/>
          <w:szCs w:val="20"/>
          <w:lang w:val="en-GB"/>
        </w:rPr>
        <w:t>Catalysts</w:t>
      </w:r>
      <w:r w:rsidRPr="008957E3">
        <w:rPr>
          <w:rFonts w:ascii="Arial" w:hAnsi="Arial" w:cs="Arial"/>
          <w:sz w:val="20"/>
          <w:szCs w:val="20"/>
          <w:lang w:val="en-GB"/>
        </w:rPr>
        <w:t xml:space="preserve">, 2020, </w:t>
      </w:r>
      <w:r w:rsidRPr="008957E3">
        <w:rPr>
          <w:rFonts w:ascii="Arial" w:hAnsi="Arial" w:cs="Arial"/>
          <w:b/>
          <w:bCs/>
          <w:sz w:val="20"/>
          <w:szCs w:val="20"/>
          <w:lang w:val="en-GB"/>
        </w:rPr>
        <w:t>10</w:t>
      </w:r>
      <w:r w:rsidRPr="008957E3">
        <w:rPr>
          <w:rFonts w:ascii="Arial" w:hAnsi="Arial" w:cs="Arial"/>
          <w:sz w:val="20"/>
          <w:szCs w:val="20"/>
          <w:lang w:val="en-GB"/>
        </w:rPr>
        <w:t>, 1424.</w:t>
      </w:r>
    </w:p>
    <w:p w14:paraId="090A94A0"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8</w:t>
      </w:r>
      <w:r w:rsidRPr="008957E3">
        <w:rPr>
          <w:rFonts w:ascii="Arial" w:hAnsi="Arial" w:cs="Arial"/>
          <w:sz w:val="20"/>
          <w:szCs w:val="20"/>
          <w:lang w:val="en-GB"/>
        </w:rPr>
        <w:tab/>
        <w:t xml:space="preserve">G. I. </w:t>
      </w:r>
      <w:proofErr w:type="spellStart"/>
      <w:r w:rsidRPr="008957E3">
        <w:rPr>
          <w:rFonts w:ascii="Arial" w:hAnsi="Arial" w:cs="Arial"/>
          <w:sz w:val="20"/>
          <w:szCs w:val="20"/>
          <w:lang w:val="en-GB"/>
        </w:rPr>
        <w:t>Panov</w:t>
      </w:r>
      <w:proofErr w:type="spellEnd"/>
      <w:r w:rsidRPr="008957E3">
        <w:rPr>
          <w:rFonts w:ascii="Arial" w:hAnsi="Arial" w:cs="Arial"/>
          <w:sz w:val="20"/>
          <w:szCs w:val="20"/>
          <w:lang w:val="en-GB"/>
        </w:rPr>
        <w:t xml:space="preserve">, G. A. </w:t>
      </w:r>
      <w:proofErr w:type="spellStart"/>
      <w:r w:rsidRPr="008957E3">
        <w:rPr>
          <w:rFonts w:ascii="Arial" w:hAnsi="Arial" w:cs="Arial"/>
          <w:sz w:val="20"/>
          <w:szCs w:val="20"/>
          <w:lang w:val="en-GB"/>
        </w:rPr>
        <w:t>Sheveleva</w:t>
      </w:r>
      <w:proofErr w:type="spellEnd"/>
      <w:r w:rsidRPr="008957E3">
        <w:rPr>
          <w:rFonts w:ascii="Arial" w:hAnsi="Arial" w:cs="Arial"/>
          <w:sz w:val="20"/>
          <w:szCs w:val="20"/>
          <w:lang w:val="en-GB"/>
        </w:rPr>
        <w:t xml:space="preserve">, A. S. </w:t>
      </w:r>
      <w:proofErr w:type="spellStart"/>
      <w:r w:rsidRPr="008957E3">
        <w:rPr>
          <w:rFonts w:ascii="Arial" w:hAnsi="Arial" w:cs="Arial"/>
          <w:sz w:val="20"/>
          <w:szCs w:val="20"/>
          <w:lang w:val="en-GB"/>
        </w:rPr>
        <w:t>Kharitonov</w:t>
      </w:r>
      <w:proofErr w:type="spellEnd"/>
      <w:r w:rsidRPr="008957E3">
        <w:rPr>
          <w:rFonts w:ascii="Arial" w:hAnsi="Arial" w:cs="Arial"/>
          <w:sz w:val="20"/>
          <w:szCs w:val="20"/>
          <w:lang w:val="en-GB"/>
        </w:rPr>
        <w:t xml:space="preserve">, V. N. </w:t>
      </w:r>
      <w:proofErr w:type="spellStart"/>
      <w:r w:rsidRPr="008957E3">
        <w:rPr>
          <w:rFonts w:ascii="Arial" w:hAnsi="Arial" w:cs="Arial"/>
          <w:sz w:val="20"/>
          <w:szCs w:val="20"/>
          <w:lang w:val="en-GB"/>
        </w:rPr>
        <w:t>Romannikov</w:t>
      </w:r>
      <w:proofErr w:type="spellEnd"/>
      <w:r w:rsidRPr="008957E3">
        <w:rPr>
          <w:rFonts w:ascii="Arial" w:hAnsi="Arial" w:cs="Arial"/>
          <w:sz w:val="20"/>
          <w:szCs w:val="20"/>
          <w:lang w:val="en-GB"/>
        </w:rPr>
        <w:t xml:space="preserve"> and L. A. </w:t>
      </w:r>
      <w:proofErr w:type="spellStart"/>
      <w:r w:rsidRPr="008957E3">
        <w:rPr>
          <w:rFonts w:ascii="Arial" w:hAnsi="Arial" w:cs="Arial"/>
          <w:sz w:val="20"/>
          <w:szCs w:val="20"/>
          <w:lang w:val="en-GB"/>
        </w:rPr>
        <w:t>Vostrikova</w:t>
      </w:r>
      <w:proofErr w:type="spellEnd"/>
      <w:r w:rsidRPr="008957E3">
        <w:rPr>
          <w:rFonts w:ascii="Arial" w:hAnsi="Arial" w:cs="Arial"/>
          <w:sz w:val="20"/>
          <w:szCs w:val="20"/>
          <w:lang w:val="en-GB"/>
        </w:rPr>
        <w:t xml:space="preserve">, </w:t>
      </w:r>
      <w:r w:rsidRPr="008957E3">
        <w:rPr>
          <w:rFonts w:ascii="Arial" w:hAnsi="Arial" w:cs="Arial"/>
          <w:i/>
          <w:iCs/>
          <w:sz w:val="20"/>
          <w:szCs w:val="20"/>
          <w:lang w:val="en-GB"/>
        </w:rPr>
        <w:t xml:space="preserve">Appl. </w:t>
      </w:r>
      <w:proofErr w:type="spellStart"/>
      <w:r w:rsidRPr="008957E3">
        <w:rPr>
          <w:rFonts w:ascii="Arial" w:hAnsi="Arial" w:cs="Arial"/>
          <w:i/>
          <w:iCs/>
          <w:sz w:val="20"/>
          <w:szCs w:val="20"/>
          <w:lang w:val="en-GB"/>
        </w:rPr>
        <w:t>Catal</w:t>
      </w:r>
      <w:proofErr w:type="spellEnd"/>
      <w:r w:rsidRPr="008957E3">
        <w:rPr>
          <w:rFonts w:ascii="Arial" w:hAnsi="Arial" w:cs="Arial"/>
          <w:i/>
          <w:iCs/>
          <w:sz w:val="20"/>
          <w:szCs w:val="20"/>
          <w:lang w:val="en-GB"/>
        </w:rPr>
        <w:t>. Gen.</w:t>
      </w:r>
      <w:r w:rsidRPr="008957E3">
        <w:rPr>
          <w:rFonts w:ascii="Arial" w:hAnsi="Arial" w:cs="Arial"/>
          <w:sz w:val="20"/>
          <w:szCs w:val="20"/>
          <w:lang w:val="en-GB"/>
        </w:rPr>
        <w:t xml:space="preserve">, 1992, </w:t>
      </w:r>
      <w:r w:rsidRPr="008957E3">
        <w:rPr>
          <w:rFonts w:ascii="Arial" w:hAnsi="Arial" w:cs="Arial"/>
          <w:b/>
          <w:bCs/>
          <w:sz w:val="20"/>
          <w:szCs w:val="20"/>
          <w:lang w:val="en-GB"/>
        </w:rPr>
        <w:t>82</w:t>
      </w:r>
      <w:r w:rsidRPr="008957E3">
        <w:rPr>
          <w:rFonts w:ascii="Arial" w:hAnsi="Arial" w:cs="Arial"/>
          <w:sz w:val="20"/>
          <w:szCs w:val="20"/>
          <w:lang w:val="en-GB"/>
        </w:rPr>
        <w:t>, 31–36.</w:t>
      </w:r>
    </w:p>
    <w:p w14:paraId="75F47F89"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9</w:t>
      </w:r>
      <w:r w:rsidRPr="008957E3">
        <w:rPr>
          <w:rFonts w:ascii="Arial" w:hAnsi="Arial" w:cs="Arial"/>
          <w:sz w:val="20"/>
          <w:szCs w:val="20"/>
          <w:lang w:val="en-GB"/>
        </w:rPr>
        <w:tab/>
        <w:t xml:space="preserve">A. A. Ivanov, V. S. </w:t>
      </w:r>
      <w:proofErr w:type="spellStart"/>
      <w:r w:rsidRPr="008957E3">
        <w:rPr>
          <w:rFonts w:ascii="Arial" w:hAnsi="Arial" w:cs="Arial"/>
          <w:sz w:val="20"/>
          <w:szCs w:val="20"/>
          <w:lang w:val="en-GB"/>
        </w:rPr>
        <w:t>Chernyavsky</w:t>
      </w:r>
      <w:proofErr w:type="spellEnd"/>
      <w:r w:rsidRPr="008957E3">
        <w:rPr>
          <w:rFonts w:ascii="Arial" w:hAnsi="Arial" w:cs="Arial"/>
          <w:sz w:val="20"/>
          <w:szCs w:val="20"/>
          <w:lang w:val="en-GB"/>
        </w:rPr>
        <w:t xml:space="preserve">, M. J. Gross, A. S. </w:t>
      </w:r>
      <w:proofErr w:type="spellStart"/>
      <w:r w:rsidRPr="008957E3">
        <w:rPr>
          <w:rFonts w:ascii="Arial" w:hAnsi="Arial" w:cs="Arial"/>
          <w:sz w:val="20"/>
          <w:szCs w:val="20"/>
          <w:lang w:val="en-GB"/>
        </w:rPr>
        <w:t>Kharitonov</w:t>
      </w:r>
      <w:proofErr w:type="spellEnd"/>
      <w:r w:rsidRPr="008957E3">
        <w:rPr>
          <w:rFonts w:ascii="Arial" w:hAnsi="Arial" w:cs="Arial"/>
          <w:sz w:val="20"/>
          <w:szCs w:val="20"/>
          <w:lang w:val="en-GB"/>
        </w:rPr>
        <w:t xml:space="preserve">, A. K. </w:t>
      </w:r>
      <w:proofErr w:type="spellStart"/>
      <w:r w:rsidRPr="008957E3">
        <w:rPr>
          <w:rFonts w:ascii="Arial" w:hAnsi="Arial" w:cs="Arial"/>
          <w:sz w:val="20"/>
          <w:szCs w:val="20"/>
          <w:lang w:val="en-GB"/>
        </w:rPr>
        <w:t>Uriarte</w:t>
      </w:r>
      <w:proofErr w:type="spellEnd"/>
      <w:r w:rsidRPr="008957E3">
        <w:rPr>
          <w:rFonts w:ascii="Arial" w:hAnsi="Arial" w:cs="Arial"/>
          <w:sz w:val="20"/>
          <w:szCs w:val="20"/>
          <w:lang w:val="en-GB"/>
        </w:rPr>
        <w:t xml:space="preserve"> and G. I. </w:t>
      </w:r>
      <w:proofErr w:type="spellStart"/>
      <w:r w:rsidRPr="008957E3">
        <w:rPr>
          <w:rFonts w:ascii="Arial" w:hAnsi="Arial" w:cs="Arial"/>
          <w:sz w:val="20"/>
          <w:szCs w:val="20"/>
          <w:lang w:val="en-GB"/>
        </w:rPr>
        <w:t>Panov</w:t>
      </w:r>
      <w:proofErr w:type="spellEnd"/>
      <w:r w:rsidRPr="008957E3">
        <w:rPr>
          <w:rFonts w:ascii="Arial" w:hAnsi="Arial" w:cs="Arial"/>
          <w:sz w:val="20"/>
          <w:szCs w:val="20"/>
          <w:lang w:val="en-GB"/>
        </w:rPr>
        <w:t xml:space="preserve">, </w:t>
      </w:r>
      <w:r w:rsidRPr="008957E3">
        <w:rPr>
          <w:rFonts w:ascii="Arial" w:hAnsi="Arial" w:cs="Arial"/>
          <w:i/>
          <w:iCs/>
          <w:sz w:val="20"/>
          <w:szCs w:val="20"/>
          <w:lang w:val="en-GB"/>
        </w:rPr>
        <w:t xml:space="preserve">Appl. </w:t>
      </w:r>
      <w:proofErr w:type="spellStart"/>
      <w:r w:rsidRPr="008957E3">
        <w:rPr>
          <w:rFonts w:ascii="Arial" w:hAnsi="Arial" w:cs="Arial"/>
          <w:i/>
          <w:iCs/>
          <w:sz w:val="20"/>
          <w:szCs w:val="20"/>
          <w:lang w:val="en-GB"/>
        </w:rPr>
        <w:t>Catal</w:t>
      </w:r>
      <w:proofErr w:type="spellEnd"/>
      <w:r w:rsidRPr="008957E3">
        <w:rPr>
          <w:rFonts w:ascii="Arial" w:hAnsi="Arial" w:cs="Arial"/>
          <w:i/>
          <w:iCs/>
          <w:sz w:val="20"/>
          <w:szCs w:val="20"/>
          <w:lang w:val="en-GB"/>
        </w:rPr>
        <w:t>. Gen.</w:t>
      </w:r>
      <w:r w:rsidRPr="008957E3">
        <w:rPr>
          <w:rFonts w:ascii="Arial" w:hAnsi="Arial" w:cs="Arial"/>
          <w:sz w:val="20"/>
          <w:szCs w:val="20"/>
          <w:lang w:val="en-GB"/>
        </w:rPr>
        <w:t xml:space="preserve">, 2003, </w:t>
      </w:r>
      <w:r w:rsidRPr="008957E3">
        <w:rPr>
          <w:rFonts w:ascii="Arial" w:hAnsi="Arial" w:cs="Arial"/>
          <w:b/>
          <w:bCs/>
          <w:sz w:val="20"/>
          <w:szCs w:val="20"/>
          <w:lang w:val="en-GB"/>
        </w:rPr>
        <w:t>249</w:t>
      </w:r>
      <w:r w:rsidRPr="008957E3">
        <w:rPr>
          <w:rFonts w:ascii="Arial" w:hAnsi="Arial" w:cs="Arial"/>
          <w:sz w:val="20"/>
          <w:szCs w:val="20"/>
          <w:lang w:val="en-GB"/>
        </w:rPr>
        <w:t>, 327–343.</w:t>
      </w:r>
    </w:p>
    <w:p w14:paraId="3FCD9A90"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10</w:t>
      </w:r>
      <w:r w:rsidRPr="008957E3">
        <w:rPr>
          <w:rFonts w:ascii="Arial" w:hAnsi="Arial" w:cs="Arial"/>
          <w:sz w:val="20"/>
          <w:szCs w:val="20"/>
          <w:lang w:val="en-GB"/>
        </w:rPr>
        <w:tab/>
        <w:t>K. D. Shah, .</w:t>
      </w:r>
    </w:p>
    <w:p w14:paraId="4DAF6073"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11</w:t>
      </w:r>
      <w:r w:rsidRPr="008957E3">
        <w:rPr>
          <w:rFonts w:ascii="Arial" w:hAnsi="Arial" w:cs="Arial"/>
          <w:sz w:val="20"/>
          <w:szCs w:val="20"/>
          <w:lang w:val="en-GB"/>
        </w:rPr>
        <w:tab/>
        <w:t xml:space="preserve">I. </w:t>
      </w:r>
      <w:proofErr w:type="spellStart"/>
      <w:r w:rsidRPr="008957E3">
        <w:rPr>
          <w:rFonts w:ascii="Arial" w:hAnsi="Arial" w:cs="Arial"/>
          <w:sz w:val="20"/>
          <w:szCs w:val="20"/>
          <w:lang w:val="en-GB"/>
        </w:rPr>
        <w:t>Surin</w:t>
      </w:r>
      <w:proofErr w:type="spellEnd"/>
      <w:r w:rsidRPr="008957E3">
        <w:rPr>
          <w:rFonts w:ascii="Arial" w:hAnsi="Arial" w:cs="Arial"/>
          <w:sz w:val="20"/>
          <w:szCs w:val="20"/>
          <w:lang w:val="en-GB"/>
        </w:rPr>
        <w:t xml:space="preserve">, Z. Tang, J. Geiger, S. Damir, H. Eliasson, M. </w:t>
      </w:r>
      <w:proofErr w:type="spellStart"/>
      <w:r w:rsidRPr="008957E3">
        <w:rPr>
          <w:rFonts w:ascii="Arial" w:hAnsi="Arial" w:cs="Arial"/>
          <w:sz w:val="20"/>
          <w:szCs w:val="20"/>
          <w:lang w:val="en-GB"/>
        </w:rPr>
        <w:t>Agrachev</w:t>
      </w:r>
      <w:proofErr w:type="spellEnd"/>
      <w:r w:rsidRPr="008957E3">
        <w:rPr>
          <w:rFonts w:ascii="Arial" w:hAnsi="Arial" w:cs="Arial"/>
          <w:sz w:val="20"/>
          <w:szCs w:val="20"/>
          <w:lang w:val="en-GB"/>
        </w:rPr>
        <w:t xml:space="preserve">, F. </w:t>
      </w:r>
      <w:proofErr w:type="spellStart"/>
      <w:r w:rsidRPr="008957E3">
        <w:rPr>
          <w:rFonts w:ascii="Arial" w:hAnsi="Arial" w:cs="Arial"/>
          <w:sz w:val="20"/>
          <w:szCs w:val="20"/>
          <w:lang w:val="en-GB"/>
        </w:rPr>
        <w:t>Krumeich</w:t>
      </w:r>
      <w:proofErr w:type="spellEnd"/>
      <w:r w:rsidRPr="008957E3">
        <w:rPr>
          <w:rFonts w:ascii="Arial" w:hAnsi="Arial" w:cs="Arial"/>
          <w:sz w:val="20"/>
          <w:szCs w:val="20"/>
          <w:lang w:val="en-GB"/>
        </w:rPr>
        <w:t xml:space="preserve">, S. Mitchell, V. A. Kondratenko, E. V. Kondratenko, G. </w:t>
      </w:r>
      <w:proofErr w:type="spellStart"/>
      <w:r w:rsidRPr="008957E3">
        <w:rPr>
          <w:rFonts w:ascii="Arial" w:hAnsi="Arial" w:cs="Arial"/>
          <w:sz w:val="20"/>
          <w:szCs w:val="20"/>
          <w:lang w:val="en-GB"/>
        </w:rPr>
        <w:t>Jeschke</w:t>
      </w:r>
      <w:proofErr w:type="spellEnd"/>
      <w:r w:rsidRPr="008957E3">
        <w:rPr>
          <w:rFonts w:ascii="Arial" w:hAnsi="Arial" w:cs="Arial"/>
          <w:sz w:val="20"/>
          <w:szCs w:val="20"/>
          <w:lang w:val="en-GB"/>
        </w:rPr>
        <w:t xml:space="preserve">, R. </w:t>
      </w:r>
      <w:proofErr w:type="spellStart"/>
      <w:r w:rsidRPr="008957E3">
        <w:rPr>
          <w:rFonts w:ascii="Arial" w:hAnsi="Arial" w:cs="Arial"/>
          <w:sz w:val="20"/>
          <w:szCs w:val="20"/>
          <w:lang w:val="en-GB"/>
        </w:rPr>
        <w:t>Erni</w:t>
      </w:r>
      <w:proofErr w:type="spellEnd"/>
      <w:r w:rsidRPr="008957E3">
        <w:rPr>
          <w:rFonts w:ascii="Arial" w:hAnsi="Arial" w:cs="Arial"/>
          <w:sz w:val="20"/>
          <w:szCs w:val="20"/>
          <w:lang w:val="en-GB"/>
        </w:rPr>
        <w:t xml:space="preserve">, N. López and J. Pérez-Ramírez, </w:t>
      </w:r>
      <w:r w:rsidRPr="008957E3">
        <w:rPr>
          <w:rFonts w:ascii="Arial" w:hAnsi="Arial" w:cs="Arial"/>
          <w:i/>
          <w:iCs/>
          <w:sz w:val="20"/>
          <w:szCs w:val="20"/>
          <w:lang w:val="en-GB"/>
        </w:rPr>
        <w:t>Adv. Mater.</w:t>
      </w:r>
      <w:r w:rsidRPr="008957E3">
        <w:rPr>
          <w:rFonts w:ascii="Arial" w:hAnsi="Arial" w:cs="Arial"/>
          <w:sz w:val="20"/>
          <w:szCs w:val="20"/>
          <w:lang w:val="en-GB"/>
        </w:rPr>
        <w:t xml:space="preserve">, 2023, </w:t>
      </w:r>
      <w:r w:rsidRPr="008957E3">
        <w:rPr>
          <w:rFonts w:ascii="Arial" w:hAnsi="Arial" w:cs="Arial"/>
          <w:b/>
          <w:bCs/>
          <w:sz w:val="20"/>
          <w:szCs w:val="20"/>
          <w:lang w:val="en-GB"/>
        </w:rPr>
        <w:t>35</w:t>
      </w:r>
      <w:r w:rsidRPr="008957E3">
        <w:rPr>
          <w:rFonts w:ascii="Arial" w:hAnsi="Arial" w:cs="Arial"/>
          <w:sz w:val="20"/>
          <w:szCs w:val="20"/>
          <w:lang w:val="en-GB"/>
        </w:rPr>
        <w:t>, 2211260.</w:t>
      </w:r>
    </w:p>
    <w:p w14:paraId="5C140952"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12</w:t>
      </w:r>
      <w:r w:rsidRPr="008957E3">
        <w:rPr>
          <w:rFonts w:ascii="Arial" w:hAnsi="Arial" w:cs="Arial"/>
          <w:sz w:val="20"/>
          <w:szCs w:val="20"/>
          <w:lang w:val="en-GB"/>
        </w:rPr>
        <w:tab/>
        <w:t xml:space="preserve">M. Bloor, T. Boyle and T. </w:t>
      </w:r>
      <w:proofErr w:type="spellStart"/>
      <w:r w:rsidRPr="008957E3">
        <w:rPr>
          <w:rFonts w:ascii="Arial" w:hAnsi="Arial" w:cs="Arial"/>
          <w:sz w:val="20"/>
          <w:szCs w:val="20"/>
          <w:lang w:val="en-GB"/>
        </w:rPr>
        <w:t>Chintapatla</w:t>
      </w:r>
      <w:proofErr w:type="spellEnd"/>
      <w:r w:rsidRPr="008957E3">
        <w:rPr>
          <w:rFonts w:ascii="Arial" w:hAnsi="Arial" w:cs="Arial"/>
          <w:sz w:val="20"/>
          <w:szCs w:val="20"/>
          <w:lang w:val="en-GB"/>
        </w:rPr>
        <w:t>, .</w:t>
      </w:r>
    </w:p>
    <w:p w14:paraId="07B67E10"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13</w:t>
      </w:r>
      <w:r w:rsidRPr="008957E3">
        <w:rPr>
          <w:rFonts w:ascii="Arial" w:hAnsi="Arial" w:cs="Arial"/>
          <w:sz w:val="20"/>
          <w:szCs w:val="20"/>
          <w:lang w:val="en-GB"/>
        </w:rPr>
        <w:tab/>
        <w:t xml:space="preserve">G. Yu, Y.-S. Duh, X. Yang, Y. Li, Y. Chen, Y. Li, J. Li, R. Chen, L. Gong, B. Yang and J. Huang, </w:t>
      </w:r>
      <w:r w:rsidRPr="008957E3">
        <w:rPr>
          <w:rFonts w:ascii="Arial" w:hAnsi="Arial" w:cs="Arial"/>
          <w:i/>
          <w:iCs/>
          <w:sz w:val="20"/>
          <w:szCs w:val="20"/>
          <w:lang w:val="en-GB"/>
        </w:rPr>
        <w:t>Sustainability</w:t>
      </w:r>
      <w:r w:rsidRPr="008957E3">
        <w:rPr>
          <w:rFonts w:ascii="Arial" w:hAnsi="Arial" w:cs="Arial"/>
          <w:sz w:val="20"/>
          <w:szCs w:val="20"/>
          <w:lang w:val="en-GB"/>
        </w:rPr>
        <w:t xml:space="preserve">, 2022, </w:t>
      </w:r>
      <w:r w:rsidRPr="008957E3">
        <w:rPr>
          <w:rFonts w:ascii="Arial" w:hAnsi="Arial" w:cs="Arial"/>
          <w:b/>
          <w:bCs/>
          <w:sz w:val="20"/>
          <w:szCs w:val="20"/>
          <w:lang w:val="en-GB"/>
        </w:rPr>
        <w:t>14</w:t>
      </w:r>
      <w:r w:rsidRPr="008957E3">
        <w:rPr>
          <w:rFonts w:ascii="Arial" w:hAnsi="Arial" w:cs="Arial"/>
          <w:sz w:val="20"/>
          <w:szCs w:val="20"/>
          <w:lang w:val="en-GB"/>
        </w:rPr>
        <w:t>, 3429.</w:t>
      </w:r>
    </w:p>
    <w:p w14:paraId="7F0ED52B"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14</w:t>
      </w:r>
      <w:r w:rsidRPr="008957E3">
        <w:rPr>
          <w:rFonts w:ascii="Arial" w:hAnsi="Arial" w:cs="Arial"/>
          <w:sz w:val="20"/>
          <w:szCs w:val="20"/>
          <w:lang w:val="en-GB"/>
        </w:rPr>
        <w:tab/>
        <w:t xml:space="preserve">T. El Zahran, M. </w:t>
      </w:r>
      <w:proofErr w:type="spellStart"/>
      <w:r w:rsidRPr="008957E3">
        <w:rPr>
          <w:rFonts w:ascii="Arial" w:hAnsi="Arial" w:cs="Arial"/>
          <w:sz w:val="20"/>
          <w:szCs w:val="20"/>
          <w:lang w:val="en-GB"/>
        </w:rPr>
        <w:t>Geha</w:t>
      </w:r>
      <w:proofErr w:type="spellEnd"/>
      <w:r w:rsidRPr="008957E3">
        <w:rPr>
          <w:rFonts w:ascii="Arial" w:hAnsi="Arial" w:cs="Arial"/>
          <w:sz w:val="20"/>
          <w:szCs w:val="20"/>
          <w:lang w:val="en-GB"/>
        </w:rPr>
        <w:t xml:space="preserve">, F. </w:t>
      </w:r>
      <w:proofErr w:type="spellStart"/>
      <w:r w:rsidRPr="008957E3">
        <w:rPr>
          <w:rFonts w:ascii="Arial" w:hAnsi="Arial" w:cs="Arial"/>
          <w:sz w:val="20"/>
          <w:szCs w:val="20"/>
          <w:lang w:val="en-GB"/>
        </w:rPr>
        <w:t>Sakr</w:t>
      </w:r>
      <w:proofErr w:type="spellEnd"/>
      <w:r w:rsidRPr="008957E3">
        <w:rPr>
          <w:rFonts w:ascii="Arial" w:hAnsi="Arial" w:cs="Arial"/>
          <w:sz w:val="20"/>
          <w:szCs w:val="20"/>
          <w:lang w:val="en-GB"/>
        </w:rPr>
        <w:t xml:space="preserve">, R. </w:t>
      </w:r>
      <w:proofErr w:type="spellStart"/>
      <w:r w:rsidRPr="008957E3">
        <w:rPr>
          <w:rFonts w:ascii="Arial" w:hAnsi="Arial" w:cs="Arial"/>
          <w:sz w:val="20"/>
          <w:szCs w:val="20"/>
          <w:lang w:val="en-GB"/>
        </w:rPr>
        <w:t>Bachir</w:t>
      </w:r>
      <w:proofErr w:type="spellEnd"/>
      <w:r w:rsidRPr="008957E3">
        <w:rPr>
          <w:rFonts w:ascii="Arial" w:hAnsi="Arial" w:cs="Arial"/>
          <w:sz w:val="20"/>
          <w:szCs w:val="20"/>
          <w:lang w:val="en-GB"/>
        </w:rPr>
        <w:t xml:space="preserve"> and M. El Sayed, </w:t>
      </w:r>
      <w:r w:rsidRPr="008957E3">
        <w:rPr>
          <w:rFonts w:ascii="Arial" w:hAnsi="Arial" w:cs="Arial"/>
          <w:i/>
          <w:iCs/>
          <w:sz w:val="20"/>
          <w:szCs w:val="20"/>
          <w:lang w:val="en-GB"/>
        </w:rPr>
        <w:t xml:space="preserve">Eur. J. Trauma </w:t>
      </w:r>
      <w:proofErr w:type="spellStart"/>
      <w:r w:rsidRPr="008957E3">
        <w:rPr>
          <w:rFonts w:ascii="Arial" w:hAnsi="Arial" w:cs="Arial"/>
          <w:i/>
          <w:iCs/>
          <w:sz w:val="20"/>
          <w:szCs w:val="20"/>
          <w:lang w:val="en-GB"/>
        </w:rPr>
        <w:t>Emerg</w:t>
      </w:r>
      <w:proofErr w:type="spellEnd"/>
      <w:r w:rsidRPr="008957E3">
        <w:rPr>
          <w:rFonts w:ascii="Arial" w:hAnsi="Arial" w:cs="Arial"/>
          <w:i/>
          <w:iCs/>
          <w:sz w:val="20"/>
          <w:szCs w:val="20"/>
          <w:lang w:val="en-GB"/>
        </w:rPr>
        <w:t>. Surg.</w:t>
      </w:r>
      <w:r w:rsidRPr="008957E3">
        <w:rPr>
          <w:rFonts w:ascii="Arial" w:hAnsi="Arial" w:cs="Arial"/>
          <w:sz w:val="20"/>
          <w:szCs w:val="20"/>
          <w:lang w:val="en-GB"/>
        </w:rPr>
        <w:t xml:space="preserve">, 2022, </w:t>
      </w:r>
      <w:r w:rsidRPr="008957E3">
        <w:rPr>
          <w:rFonts w:ascii="Arial" w:hAnsi="Arial" w:cs="Arial"/>
          <w:b/>
          <w:bCs/>
          <w:sz w:val="20"/>
          <w:szCs w:val="20"/>
          <w:lang w:val="en-GB"/>
        </w:rPr>
        <w:t>48</w:t>
      </w:r>
      <w:r w:rsidRPr="008957E3">
        <w:rPr>
          <w:rFonts w:ascii="Arial" w:hAnsi="Arial" w:cs="Arial"/>
          <w:sz w:val="20"/>
          <w:szCs w:val="20"/>
          <w:lang w:val="en-GB"/>
        </w:rPr>
        <w:t>, 4919–4926.</w:t>
      </w:r>
    </w:p>
    <w:p w14:paraId="7714DD03"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15</w:t>
      </w:r>
      <w:r w:rsidRPr="008957E3">
        <w:rPr>
          <w:rFonts w:ascii="Arial" w:hAnsi="Arial" w:cs="Arial"/>
          <w:sz w:val="20"/>
          <w:szCs w:val="20"/>
          <w:lang w:val="en-GB"/>
        </w:rPr>
        <w:tab/>
        <w:t xml:space="preserve">S. Al-Hajj, H. R. </w:t>
      </w:r>
      <w:proofErr w:type="spellStart"/>
      <w:r w:rsidRPr="008957E3">
        <w:rPr>
          <w:rFonts w:ascii="Arial" w:hAnsi="Arial" w:cs="Arial"/>
          <w:sz w:val="20"/>
          <w:szCs w:val="20"/>
          <w:lang w:val="en-GB"/>
        </w:rPr>
        <w:t>Dhaini</w:t>
      </w:r>
      <w:proofErr w:type="spellEnd"/>
      <w:r w:rsidRPr="008957E3">
        <w:rPr>
          <w:rFonts w:ascii="Arial" w:hAnsi="Arial" w:cs="Arial"/>
          <w:sz w:val="20"/>
          <w:szCs w:val="20"/>
          <w:lang w:val="en-GB"/>
        </w:rPr>
        <w:t xml:space="preserve">, S. </w:t>
      </w:r>
      <w:proofErr w:type="spellStart"/>
      <w:r w:rsidRPr="008957E3">
        <w:rPr>
          <w:rFonts w:ascii="Arial" w:hAnsi="Arial" w:cs="Arial"/>
          <w:sz w:val="20"/>
          <w:szCs w:val="20"/>
          <w:lang w:val="en-GB"/>
        </w:rPr>
        <w:t>Mondello</w:t>
      </w:r>
      <w:proofErr w:type="spellEnd"/>
      <w:r w:rsidRPr="008957E3">
        <w:rPr>
          <w:rFonts w:ascii="Arial" w:hAnsi="Arial" w:cs="Arial"/>
          <w:sz w:val="20"/>
          <w:szCs w:val="20"/>
          <w:lang w:val="en-GB"/>
        </w:rPr>
        <w:t xml:space="preserve">, H. </w:t>
      </w:r>
      <w:proofErr w:type="spellStart"/>
      <w:r w:rsidRPr="008957E3">
        <w:rPr>
          <w:rFonts w:ascii="Arial" w:hAnsi="Arial" w:cs="Arial"/>
          <w:sz w:val="20"/>
          <w:szCs w:val="20"/>
          <w:lang w:val="en-GB"/>
        </w:rPr>
        <w:t>Kaafarani</w:t>
      </w:r>
      <w:proofErr w:type="spellEnd"/>
      <w:r w:rsidRPr="008957E3">
        <w:rPr>
          <w:rFonts w:ascii="Arial" w:hAnsi="Arial" w:cs="Arial"/>
          <w:sz w:val="20"/>
          <w:szCs w:val="20"/>
          <w:lang w:val="en-GB"/>
        </w:rPr>
        <w:t xml:space="preserve">, F. </w:t>
      </w:r>
      <w:proofErr w:type="spellStart"/>
      <w:r w:rsidRPr="008957E3">
        <w:rPr>
          <w:rFonts w:ascii="Arial" w:hAnsi="Arial" w:cs="Arial"/>
          <w:sz w:val="20"/>
          <w:szCs w:val="20"/>
          <w:lang w:val="en-GB"/>
        </w:rPr>
        <w:t>Kobeissy</w:t>
      </w:r>
      <w:proofErr w:type="spellEnd"/>
      <w:r w:rsidRPr="008957E3">
        <w:rPr>
          <w:rFonts w:ascii="Arial" w:hAnsi="Arial" w:cs="Arial"/>
          <w:sz w:val="20"/>
          <w:szCs w:val="20"/>
          <w:lang w:val="en-GB"/>
        </w:rPr>
        <w:t xml:space="preserve"> and R. G. DePalma, </w:t>
      </w:r>
      <w:r w:rsidRPr="008957E3">
        <w:rPr>
          <w:rFonts w:ascii="Arial" w:hAnsi="Arial" w:cs="Arial"/>
          <w:i/>
          <w:iCs/>
          <w:sz w:val="20"/>
          <w:szCs w:val="20"/>
          <w:lang w:val="en-GB"/>
        </w:rPr>
        <w:t>Front. Public Health</w:t>
      </w:r>
      <w:r w:rsidRPr="008957E3">
        <w:rPr>
          <w:rFonts w:ascii="Arial" w:hAnsi="Arial" w:cs="Arial"/>
          <w:sz w:val="20"/>
          <w:szCs w:val="20"/>
          <w:lang w:val="en-GB"/>
        </w:rPr>
        <w:t xml:space="preserve">, 2021, </w:t>
      </w:r>
      <w:r w:rsidRPr="008957E3">
        <w:rPr>
          <w:rFonts w:ascii="Arial" w:hAnsi="Arial" w:cs="Arial"/>
          <w:b/>
          <w:bCs/>
          <w:sz w:val="20"/>
          <w:szCs w:val="20"/>
          <w:lang w:val="en-GB"/>
        </w:rPr>
        <w:t>9</w:t>
      </w:r>
      <w:r w:rsidRPr="008957E3">
        <w:rPr>
          <w:rFonts w:ascii="Arial" w:hAnsi="Arial" w:cs="Arial"/>
          <w:sz w:val="20"/>
          <w:szCs w:val="20"/>
          <w:lang w:val="en-GB"/>
        </w:rPr>
        <w:t>, 657996.</w:t>
      </w:r>
    </w:p>
    <w:p w14:paraId="766FA8CF"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16</w:t>
      </w:r>
      <w:r w:rsidRPr="008957E3">
        <w:rPr>
          <w:rFonts w:ascii="Arial" w:hAnsi="Arial" w:cs="Arial"/>
          <w:sz w:val="20"/>
          <w:szCs w:val="20"/>
          <w:lang w:val="en-GB"/>
        </w:rPr>
        <w:tab/>
        <w:t xml:space="preserve">K. </w:t>
      </w:r>
      <w:proofErr w:type="spellStart"/>
      <w:r w:rsidRPr="008957E3">
        <w:rPr>
          <w:rFonts w:ascii="Arial" w:hAnsi="Arial" w:cs="Arial"/>
          <w:sz w:val="20"/>
          <w:szCs w:val="20"/>
          <w:lang w:val="en-GB"/>
        </w:rPr>
        <w:t>Yammine</w:t>
      </w:r>
      <w:proofErr w:type="spellEnd"/>
      <w:r w:rsidRPr="008957E3">
        <w:rPr>
          <w:rFonts w:ascii="Arial" w:hAnsi="Arial" w:cs="Arial"/>
          <w:sz w:val="20"/>
          <w:szCs w:val="20"/>
          <w:lang w:val="en-GB"/>
        </w:rPr>
        <w:t xml:space="preserve">, J. Daher, J. </w:t>
      </w:r>
      <w:proofErr w:type="spellStart"/>
      <w:r w:rsidRPr="008957E3">
        <w:rPr>
          <w:rFonts w:ascii="Arial" w:hAnsi="Arial" w:cs="Arial"/>
          <w:sz w:val="20"/>
          <w:szCs w:val="20"/>
          <w:lang w:val="en-GB"/>
        </w:rPr>
        <w:t>Otayek</w:t>
      </w:r>
      <w:proofErr w:type="spellEnd"/>
      <w:r w:rsidRPr="008957E3">
        <w:rPr>
          <w:rFonts w:ascii="Arial" w:hAnsi="Arial" w:cs="Arial"/>
          <w:sz w:val="20"/>
          <w:szCs w:val="20"/>
          <w:lang w:val="en-GB"/>
        </w:rPr>
        <w:t xml:space="preserve">, A. </w:t>
      </w:r>
      <w:proofErr w:type="spellStart"/>
      <w:r w:rsidRPr="008957E3">
        <w:rPr>
          <w:rFonts w:ascii="Arial" w:hAnsi="Arial" w:cs="Arial"/>
          <w:sz w:val="20"/>
          <w:szCs w:val="20"/>
          <w:lang w:val="en-GB"/>
        </w:rPr>
        <w:t>Jardaly</w:t>
      </w:r>
      <w:proofErr w:type="spellEnd"/>
      <w:r w:rsidRPr="008957E3">
        <w:rPr>
          <w:rFonts w:ascii="Arial" w:hAnsi="Arial" w:cs="Arial"/>
          <w:sz w:val="20"/>
          <w:szCs w:val="20"/>
          <w:lang w:val="en-GB"/>
        </w:rPr>
        <w:t xml:space="preserve">, J. Mansour, K. Boulos, A. E. </w:t>
      </w:r>
      <w:proofErr w:type="spellStart"/>
      <w:r w:rsidRPr="008957E3">
        <w:rPr>
          <w:rFonts w:ascii="Arial" w:hAnsi="Arial" w:cs="Arial"/>
          <w:sz w:val="20"/>
          <w:szCs w:val="20"/>
          <w:lang w:val="en-GB"/>
        </w:rPr>
        <w:t>Alam</w:t>
      </w:r>
      <w:proofErr w:type="spellEnd"/>
      <w:r w:rsidRPr="008957E3">
        <w:rPr>
          <w:rFonts w:ascii="Arial" w:hAnsi="Arial" w:cs="Arial"/>
          <w:sz w:val="20"/>
          <w:szCs w:val="20"/>
          <w:lang w:val="en-GB"/>
        </w:rPr>
        <w:t xml:space="preserve">, J. </w:t>
      </w:r>
      <w:proofErr w:type="spellStart"/>
      <w:r w:rsidRPr="008957E3">
        <w:rPr>
          <w:rFonts w:ascii="Arial" w:hAnsi="Arial" w:cs="Arial"/>
          <w:sz w:val="20"/>
          <w:szCs w:val="20"/>
          <w:lang w:val="en-GB"/>
        </w:rPr>
        <w:t>Ghanimeh</w:t>
      </w:r>
      <w:proofErr w:type="spellEnd"/>
      <w:r w:rsidRPr="008957E3">
        <w:rPr>
          <w:rFonts w:ascii="Arial" w:hAnsi="Arial" w:cs="Arial"/>
          <w:sz w:val="20"/>
          <w:szCs w:val="20"/>
          <w:lang w:val="en-GB"/>
        </w:rPr>
        <w:t xml:space="preserve">, G. </w:t>
      </w:r>
      <w:proofErr w:type="spellStart"/>
      <w:r w:rsidRPr="008957E3">
        <w:rPr>
          <w:rFonts w:ascii="Arial" w:hAnsi="Arial" w:cs="Arial"/>
          <w:sz w:val="20"/>
          <w:szCs w:val="20"/>
          <w:lang w:val="en-GB"/>
        </w:rPr>
        <w:t>Abou</w:t>
      </w:r>
      <w:proofErr w:type="spellEnd"/>
      <w:r w:rsidRPr="008957E3">
        <w:rPr>
          <w:rFonts w:ascii="Arial" w:hAnsi="Arial" w:cs="Arial"/>
          <w:sz w:val="20"/>
          <w:szCs w:val="20"/>
          <w:lang w:val="en-GB"/>
        </w:rPr>
        <w:t xml:space="preserve"> </w:t>
      </w:r>
      <w:proofErr w:type="spellStart"/>
      <w:r w:rsidRPr="008957E3">
        <w:rPr>
          <w:rFonts w:ascii="Arial" w:hAnsi="Arial" w:cs="Arial"/>
          <w:sz w:val="20"/>
          <w:szCs w:val="20"/>
          <w:lang w:val="en-GB"/>
        </w:rPr>
        <w:t>Orm</w:t>
      </w:r>
      <w:proofErr w:type="spellEnd"/>
      <w:r w:rsidRPr="008957E3">
        <w:rPr>
          <w:rFonts w:ascii="Arial" w:hAnsi="Arial" w:cs="Arial"/>
          <w:sz w:val="20"/>
          <w:szCs w:val="20"/>
          <w:lang w:val="en-GB"/>
        </w:rPr>
        <w:t xml:space="preserve">, M. </w:t>
      </w:r>
      <w:proofErr w:type="spellStart"/>
      <w:r w:rsidRPr="008957E3">
        <w:rPr>
          <w:rFonts w:ascii="Arial" w:hAnsi="Arial" w:cs="Arial"/>
          <w:sz w:val="20"/>
          <w:szCs w:val="20"/>
          <w:lang w:val="en-GB"/>
        </w:rPr>
        <w:t>Berberi</w:t>
      </w:r>
      <w:proofErr w:type="spellEnd"/>
      <w:r w:rsidRPr="008957E3">
        <w:rPr>
          <w:rFonts w:ascii="Arial" w:hAnsi="Arial" w:cs="Arial"/>
          <w:sz w:val="20"/>
          <w:szCs w:val="20"/>
          <w:lang w:val="en-GB"/>
        </w:rPr>
        <w:t xml:space="preserve">, E. </w:t>
      </w:r>
      <w:proofErr w:type="spellStart"/>
      <w:r w:rsidRPr="008957E3">
        <w:rPr>
          <w:rFonts w:ascii="Arial" w:hAnsi="Arial" w:cs="Arial"/>
          <w:sz w:val="20"/>
          <w:szCs w:val="20"/>
          <w:lang w:val="en-GB"/>
        </w:rPr>
        <w:t>Daccache</w:t>
      </w:r>
      <w:proofErr w:type="spellEnd"/>
      <w:r w:rsidRPr="008957E3">
        <w:rPr>
          <w:rFonts w:ascii="Arial" w:hAnsi="Arial" w:cs="Arial"/>
          <w:sz w:val="20"/>
          <w:szCs w:val="20"/>
          <w:lang w:val="en-GB"/>
        </w:rPr>
        <w:t xml:space="preserve">, M. </w:t>
      </w:r>
      <w:proofErr w:type="spellStart"/>
      <w:r w:rsidRPr="008957E3">
        <w:rPr>
          <w:rFonts w:ascii="Arial" w:hAnsi="Arial" w:cs="Arial"/>
          <w:sz w:val="20"/>
          <w:szCs w:val="20"/>
          <w:lang w:val="en-GB"/>
        </w:rPr>
        <w:t>Helou</w:t>
      </w:r>
      <w:proofErr w:type="spellEnd"/>
      <w:r w:rsidRPr="008957E3">
        <w:rPr>
          <w:rFonts w:ascii="Arial" w:hAnsi="Arial" w:cs="Arial"/>
          <w:sz w:val="20"/>
          <w:szCs w:val="20"/>
          <w:lang w:val="en-GB"/>
        </w:rPr>
        <w:t xml:space="preserve">, M. </w:t>
      </w:r>
      <w:proofErr w:type="spellStart"/>
      <w:r w:rsidRPr="008957E3">
        <w:rPr>
          <w:rFonts w:ascii="Arial" w:hAnsi="Arial" w:cs="Arial"/>
          <w:sz w:val="20"/>
          <w:szCs w:val="20"/>
          <w:lang w:val="en-GB"/>
        </w:rPr>
        <w:t>Estephan</w:t>
      </w:r>
      <w:proofErr w:type="spellEnd"/>
      <w:r w:rsidRPr="008957E3">
        <w:rPr>
          <w:rFonts w:ascii="Arial" w:hAnsi="Arial" w:cs="Arial"/>
          <w:sz w:val="20"/>
          <w:szCs w:val="20"/>
          <w:lang w:val="en-GB"/>
        </w:rPr>
        <w:t xml:space="preserve">, C. </w:t>
      </w:r>
      <w:proofErr w:type="spellStart"/>
      <w:r w:rsidRPr="008957E3">
        <w:rPr>
          <w:rFonts w:ascii="Arial" w:hAnsi="Arial" w:cs="Arial"/>
          <w:sz w:val="20"/>
          <w:szCs w:val="20"/>
          <w:lang w:val="en-GB"/>
        </w:rPr>
        <w:t>Assi</w:t>
      </w:r>
      <w:proofErr w:type="spellEnd"/>
      <w:r w:rsidRPr="008957E3">
        <w:rPr>
          <w:rFonts w:ascii="Arial" w:hAnsi="Arial" w:cs="Arial"/>
          <w:sz w:val="20"/>
          <w:szCs w:val="20"/>
          <w:lang w:val="en-GB"/>
        </w:rPr>
        <w:t xml:space="preserve"> and F. Hayek, </w:t>
      </w:r>
      <w:r w:rsidRPr="008957E3">
        <w:rPr>
          <w:rFonts w:ascii="Arial" w:hAnsi="Arial" w:cs="Arial"/>
          <w:i/>
          <w:iCs/>
          <w:sz w:val="20"/>
          <w:szCs w:val="20"/>
          <w:lang w:val="en-GB"/>
        </w:rPr>
        <w:t>Injury</w:t>
      </w:r>
      <w:r w:rsidRPr="008957E3">
        <w:rPr>
          <w:rFonts w:ascii="Arial" w:hAnsi="Arial" w:cs="Arial"/>
          <w:sz w:val="20"/>
          <w:szCs w:val="20"/>
          <w:lang w:val="en-GB"/>
        </w:rPr>
        <w:t xml:space="preserve">, 2023, </w:t>
      </w:r>
      <w:r w:rsidRPr="008957E3">
        <w:rPr>
          <w:rFonts w:ascii="Arial" w:hAnsi="Arial" w:cs="Arial"/>
          <w:b/>
          <w:bCs/>
          <w:sz w:val="20"/>
          <w:szCs w:val="20"/>
          <w:lang w:val="en-GB"/>
        </w:rPr>
        <w:t>54</w:t>
      </w:r>
      <w:r w:rsidRPr="008957E3">
        <w:rPr>
          <w:rFonts w:ascii="Arial" w:hAnsi="Arial" w:cs="Arial"/>
          <w:sz w:val="20"/>
          <w:szCs w:val="20"/>
          <w:lang w:val="en-GB"/>
        </w:rPr>
        <w:t>, 448–452.</w:t>
      </w:r>
    </w:p>
    <w:p w14:paraId="34ABFC9E"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17</w:t>
      </w:r>
      <w:r w:rsidRPr="008957E3">
        <w:rPr>
          <w:rFonts w:ascii="Arial" w:hAnsi="Arial" w:cs="Arial"/>
          <w:sz w:val="20"/>
          <w:szCs w:val="20"/>
          <w:lang w:val="en-GB"/>
        </w:rPr>
        <w:tab/>
        <w:t xml:space="preserve">I. </w:t>
      </w:r>
      <w:proofErr w:type="spellStart"/>
      <w:r w:rsidRPr="008957E3">
        <w:rPr>
          <w:rFonts w:ascii="Arial" w:hAnsi="Arial" w:cs="Arial"/>
          <w:sz w:val="20"/>
          <w:szCs w:val="20"/>
          <w:lang w:val="en-GB"/>
        </w:rPr>
        <w:t>Surin</w:t>
      </w:r>
      <w:proofErr w:type="spellEnd"/>
      <w:r w:rsidRPr="008957E3">
        <w:rPr>
          <w:rFonts w:ascii="Arial" w:hAnsi="Arial" w:cs="Arial"/>
          <w:sz w:val="20"/>
          <w:szCs w:val="20"/>
          <w:lang w:val="en-GB"/>
        </w:rPr>
        <w:t xml:space="preserve">, Q. Yang, F. </w:t>
      </w:r>
      <w:proofErr w:type="spellStart"/>
      <w:r w:rsidRPr="008957E3">
        <w:rPr>
          <w:rFonts w:ascii="Arial" w:hAnsi="Arial" w:cs="Arial"/>
          <w:sz w:val="20"/>
          <w:szCs w:val="20"/>
          <w:lang w:val="en-GB"/>
        </w:rPr>
        <w:t>Krumeich</w:t>
      </w:r>
      <w:proofErr w:type="spellEnd"/>
      <w:r w:rsidRPr="008957E3">
        <w:rPr>
          <w:rFonts w:ascii="Arial" w:hAnsi="Arial" w:cs="Arial"/>
          <w:sz w:val="20"/>
          <w:szCs w:val="20"/>
          <w:lang w:val="en-GB"/>
        </w:rPr>
        <w:t xml:space="preserve">, M. </w:t>
      </w:r>
      <w:proofErr w:type="spellStart"/>
      <w:r w:rsidRPr="008957E3">
        <w:rPr>
          <w:rFonts w:ascii="Arial" w:hAnsi="Arial" w:cs="Arial"/>
          <w:sz w:val="20"/>
          <w:szCs w:val="20"/>
          <w:lang w:val="en-GB"/>
        </w:rPr>
        <w:t>Agrachev</w:t>
      </w:r>
      <w:proofErr w:type="spellEnd"/>
      <w:r w:rsidRPr="008957E3">
        <w:rPr>
          <w:rFonts w:ascii="Arial" w:hAnsi="Arial" w:cs="Arial"/>
          <w:sz w:val="20"/>
          <w:szCs w:val="20"/>
          <w:lang w:val="en-GB"/>
        </w:rPr>
        <w:t xml:space="preserve">, T. </w:t>
      </w:r>
      <w:proofErr w:type="spellStart"/>
      <w:r w:rsidRPr="008957E3">
        <w:rPr>
          <w:rFonts w:ascii="Arial" w:hAnsi="Arial" w:cs="Arial"/>
          <w:sz w:val="20"/>
          <w:szCs w:val="20"/>
          <w:lang w:val="en-GB"/>
        </w:rPr>
        <w:t>Otroshchenko</w:t>
      </w:r>
      <w:proofErr w:type="spellEnd"/>
      <w:r w:rsidRPr="008957E3">
        <w:rPr>
          <w:rFonts w:ascii="Arial" w:hAnsi="Arial" w:cs="Arial"/>
          <w:sz w:val="20"/>
          <w:szCs w:val="20"/>
          <w:lang w:val="en-GB"/>
        </w:rPr>
        <w:t xml:space="preserve">, V. A. Kondratenko, E. V. Kondratenko and J. Pérez-Ramírez, </w:t>
      </w:r>
      <w:r w:rsidRPr="008957E3">
        <w:rPr>
          <w:rFonts w:ascii="Arial" w:hAnsi="Arial" w:cs="Arial"/>
          <w:i/>
          <w:iCs/>
          <w:sz w:val="20"/>
          <w:szCs w:val="20"/>
          <w:lang w:val="en-GB"/>
        </w:rPr>
        <w:t xml:space="preserve">Chem </w:t>
      </w:r>
      <w:proofErr w:type="spellStart"/>
      <w:r w:rsidRPr="008957E3">
        <w:rPr>
          <w:rFonts w:ascii="Arial" w:hAnsi="Arial" w:cs="Arial"/>
          <w:i/>
          <w:iCs/>
          <w:sz w:val="20"/>
          <w:szCs w:val="20"/>
          <w:lang w:val="en-GB"/>
        </w:rPr>
        <w:t>Catal</w:t>
      </w:r>
      <w:proofErr w:type="spellEnd"/>
      <w:r w:rsidRPr="008957E3">
        <w:rPr>
          <w:rFonts w:ascii="Arial" w:hAnsi="Arial" w:cs="Arial"/>
          <w:i/>
          <w:iCs/>
          <w:sz w:val="20"/>
          <w:szCs w:val="20"/>
          <w:lang w:val="en-GB"/>
        </w:rPr>
        <w:t>.</w:t>
      </w:r>
      <w:r w:rsidRPr="008957E3">
        <w:rPr>
          <w:rFonts w:ascii="Arial" w:hAnsi="Arial" w:cs="Arial"/>
          <w:sz w:val="20"/>
          <w:szCs w:val="20"/>
          <w:lang w:val="en-GB"/>
        </w:rPr>
        <w:t xml:space="preserve">, 2025, </w:t>
      </w:r>
      <w:r w:rsidRPr="008957E3">
        <w:rPr>
          <w:rFonts w:ascii="Arial" w:hAnsi="Arial" w:cs="Arial"/>
          <w:b/>
          <w:bCs/>
          <w:sz w:val="20"/>
          <w:szCs w:val="20"/>
          <w:lang w:val="en-GB"/>
        </w:rPr>
        <w:t>5</w:t>
      </w:r>
      <w:r w:rsidRPr="008957E3">
        <w:rPr>
          <w:rFonts w:ascii="Arial" w:hAnsi="Arial" w:cs="Arial"/>
          <w:sz w:val="20"/>
          <w:szCs w:val="20"/>
          <w:lang w:val="en-GB"/>
        </w:rPr>
        <w:t>, 101165.</w:t>
      </w:r>
    </w:p>
    <w:p w14:paraId="45071722"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18</w:t>
      </w:r>
      <w:r w:rsidRPr="008957E3">
        <w:rPr>
          <w:rFonts w:ascii="Arial" w:hAnsi="Arial" w:cs="Arial"/>
          <w:sz w:val="20"/>
          <w:szCs w:val="20"/>
          <w:lang w:val="en-GB"/>
        </w:rPr>
        <w:tab/>
        <w:t xml:space="preserve">Q. Yang, I. </w:t>
      </w:r>
      <w:proofErr w:type="spellStart"/>
      <w:r w:rsidRPr="008957E3">
        <w:rPr>
          <w:rFonts w:ascii="Arial" w:hAnsi="Arial" w:cs="Arial"/>
          <w:sz w:val="20"/>
          <w:szCs w:val="20"/>
          <w:lang w:val="en-GB"/>
        </w:rPr>
        <w:t>Surin</w:t>
      </w:r>
      <w:proofErr w:type="spellEnd"/>
      <w:r w:rsidRPr="008957E3">
        <w:rPr>
          <w:rFonts w:ascii="Arial" w:hAnsi="Arial" w:cs="Arial"/>
          <w:sz w:val="20"/>
          <w:szCs w:val="20"/>
          <w:lang w:val="en-GB"/>
        </w:rPr>
        <w:t xml:space="preserve">, J. Geiger, H. Eliasson, M. </w:t>
      </w:r>
      <w:proofErr w:type="spellStart"/>
      <w:r w:rsidRPr="008957E3">
        <w:rPr>
          <w:rFonts w:ascii="Arial" w:hAnsi="Arial" w:cs="Arial"/>
          <w:sz w:val="20"/>
          <w:szCs w:val="20"/>
          <w:lang w:val="en-GB"/>
        </w:rPr>
        <w:t>Agrachev</w:t>
      </w:r>
      <w:proofErr w:type="spellEnd"/>
      <w:r w:rsidRPr="008957E3">
        <w:rPr>
          <w:rFonts w:ascii="Arial" w:hAnsi="Arial" w:cs="Arial"/>
          <w:sz w:val="20"/>
          <w:szCs w:val="20"/>
          <w:lang w:val="en-GB"/>
        </w:rPr>
        <w:t xml:space="preserve">, V. A. Kondratenko, A. </w:t>
      </w:r>
      <w:proofErr w:type="spellStart"/>
      <w:r w:rsidRPr="008957E3">
        <w:rPr>
          <w:rFonts w:ascii="Arial" w:hAnsi="Arial" w:cs="Arial"/>
          <w:sz w:val="20"/>
          <w:szCs w:val="20"/>
          <w:lang w:val="en-GB"/>
        </w:rPr>
        <w:t>Zanina</w:t>
      </w:r>
      <w:proofErr w:type="spellEnd"/>
      <w:r w:rsidRPr="008957E3">
        <w:rPr>
          <w:rFonts w:ascii="Arial" w:hAnsi="Arial" w:cs="Arial"/>
          <w:sz w:val="20"/>
          <w:szCs w:val="20"/>
          <w:lang w:val="en-GB"/>
        </w:rPr>
        <w:t xml:space="preserve">, F. </w:t>
      </w:r>
      <w:proofErr w:type="spellStart"/>
      <w:r w:rsidRPr="008957E3">
        <w:rPr>
          <w:rFonts w:ascii="Arial" w:hAnsi="Arial" w:cs="Arial"/>
          <w:sz w:val="20"/>
          <w:szCs w:val="20"/>
          <w:lang w:val="en-GB"/>
        </w:rPr>
        <w:t>Krumeich</w:t>
      </w:r>
      <w:proofErr w:type="spellEnd"/>
      <w:r w:rsidRPr="008957E3">
        <w:rPr>
          <w:rFonts w:ascii="Arial" w:hAnsi="Arial" w:cs="Arial"/>
          <w:sz w:val="20"/>
          <w:szCs w:val="20"/>
          <w:lang w:val="en-GB"/>
        </w:rPr>
        <w:t xml:space="preserve">, G. </w:t>
      </w:r>
      <w:proofErr w:type="spellStart"/>
      <w:r w:rsidRPr="008957E3">
        <w:rPr>
          <w:rFonts w:ascii="Arial" w:hAnsi="Arial" w:cs="Arial"/>
          <w:sz w:val="20"/>
          <w:szCs w:val="20"/>
          <w:lang w:val="en-GB"/>
        </w:rPr>
        <w:t>Jeschke</w:t>
      </w:r>
      <w:proofErr w:type="spellEnd"/>
      <w:r w:rsidRPr="008957E3">
        <w:rPr>
          <w:rFonts w:ascii="Arial" w:hAnsi="Arial" w:cs="Arial"/>
          <w:sz w:val="20"/>
          <w:szCs w:val="20"/>
          <w:lang w:val="en-GB"/>
        </w:rPr>
        <w:t xml:space="preserve">, R. </w:t>
      </w:r>
      <w:proofErr w:type="spellStart"/>
      <w:r w:rsidRPr="008957E3">
        <w:rPr>
          <w:rFonts w:ascii="Arial" w:hAnsi="Arial" w:cs="Arial"/>
          <w:sz w:val="20"/>
          <w:szCs w:val="20"/>
          <w:lang w:val="en-GB"/>
        </w:rPr>
        <w:t>Erni</w:t>
      </w:r>
      <w:proofErr w:type="spellEnd"/>
      <w:r w:rsidRPr="008957E3">
        <w:rPr>
          <w:rFonts w:ascii="Arial" w:hAnsi="Arial" w:cs="Arial"/>
          <w:sz w:val="20"/>
          <w:szCs w:val="20"/>
          <w:lang w:val="en-GB"/>
        </w:rPr>
        <w:t xml:space="preserve">, E. V. Kondratenko, N. López and J. Pérez-Ramírez, </w:t>
      </w:r>
      <w:r w:rsidRPr="008957E3">
        <w:rPr>
          <w:rFonts w:ascii="Arial" w:hAnsi="Arial" w:cs="Arial"/>
          <w:i/>
          <w:iCs/>
          <w:sz w:val="20"/>
          <w:szCs w:val="20"/>
          <w:lang w:val="en-GB"/>
        </w:rPr>
        <w:t xml:space="preserve">ACS </w:t>
      </w:r>
      <w:proofErr w:type="spellStart"/>
      <w:r w:rsidRPr="008957E3">
        <w:rPr>
          <w:rFonts w:ascii="Arial" w:hAnsi="Arial" w:cs="Arial"/>
          <w:i/>
          <w:iCs/>
          <w:sz w:val="20"/>
          <w:szCs w:val="20"/>
          <w:lang w:val="en-GB"/>
        </w:rPr>
        <w:t>Catal</w:t>
      </w:r>
      <w:proofErr w:type="spellEnd"/>
      <w:r w:rsidRPr="008957E3">
        <w:rPr>
          <w:rFonts w:ascii="Arial" w:hAnsi="Arial" w:cs="Arial"/>
          <w:i/>
          <w:iCs/>
          <w:sz w:val="20"/>
          <w:szCs w:val="20"/>
          <w:lang w:val="en-GB"/>
        </w:rPr>
        <w:t>.</w:t>
      </w:r>
      <w:r w:rsidRPr="008957E3">
        <w:rPr>
          <w:rFonts w:ascii="Arial" w:hAnsi="Arial" w:cs="Arial"/>
          <w:sz w:val="20"/>
          <w:szCs w:val="20"/>
          <w:lang w:val="en-GB"/>
        </w:rPr>
        <w:t xml:space="preserve">, 2023, </w:t>
      </w:r>
      <w:r w:rsidRPr="008957E3">
        <w:rPr>
          <w:rFonts w:ascii="Arial" w:hAnsi="Arial" w:cs="Arial"/>
          <w:b/>
          <w:bCs/>
          <w:sz w:val="20"/>
          <w:szCs w:val="20"/>
          <w:lang w:val="en-GB"/>
        </w:rPr>
        <w:t>13</w:t>
      </w:r>
      <w:r w:rsidRPr="008957E3">
        <w:rPr>
          <w:rFonts w:ascii="Arial" w:hAnsi="Arial" w:cs="Arial"/>
          <w:sz w:val="20"/>
          <w:szCs w:val="20"/>
          <w:lang w:val="en-GB"/>
        </w:rPr>
        <w:t>, 15977–15990.</w:t>
      </w:r>
    </w:p>
    <w:p w14:paraId="3C0F561C"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19</w:t>
      </w:r>
      <w:r w:rsidRPr="008957E3">
        <w:rPr>
          <w:rFonts w:ascii="Arial" w:hAnsi="Arial" w:cs="Arial"/>
          <w:sz w:val="20"/>
          <w:szCs w:val="20"/>
          <w:lang w:val="en-GB"/>
        </w:rPr>
        <w:tab/>
        <w:t xml:space="preserve">Z. Tang, I. </w:t>
      </w:r>
      <w:proofErr w:type="spellStart"/>
      <w:r w:rsidRPr="008957E3">
        <w:rPr>
          <w:rFonts w:ascii="Arial" w:hAnsi="Arial" w:cs="Arial"/>
          <w:sz w:val="20"/>
          <w:szCs w:val="20"/>
          <w:lang w:val="en-GB"/>
        </w:rPr>
        <w:t>Surin</w:t>
      </w:r>
      <w:proofErr w:type="spellEnd"/>
      <w:r w:rsidRPr="008957E3">
        <w:rPr>
          <w:rFonts w:ascii="Arial" w:hAnsi="Arial" w:cs="Arial"/>
          <w:sz w:val="20"/>
          <w:szCs w:val="20"/>
          <w:lang w:val="en-GB"/>
        </w:rPr>
        <w:t xml:space="preserve">, A. Rasmussen, F. </w:t>
      </w:r>
      <w:proofErr w:type="spellStart"/>
      <w:r w:rsidRPr="008957E3">
        <w:rPr>
          <w:rFonts w:ascii="Arial" w:hAnsi="Arial" w:cs="Arial"/>
          <w:sz w:val="20"/>
          <w:szCs w:val="20"/>
          <w:lang w:val="en-GB"/>
        </w:rPr>
        <w:t>Krumeich</w:t>
      </w:r>
      <w:proofErr w:type="spellEnd"/>
      <w:r w:rsidRPr="008957E3">
        <w:rPr>
          <w:rFonts w:ascii="Arial" w:hAnsi="Arial" w:cs="Arial"/>
          <w:sz w:val="20"/>
          <w:szCs w:val="20"/>
          <w:lang w:val="en-GB"/>
        </w:rPr>
        <w:t xml:space="preserve">, E. V. Kondratenko, V. A. Kondratenko and J. Pérez-Ramírez, </w:t>
      </w:r>
      <w:proofErr w:type="spellStart"/>
      <w:r w:rsidRPr="008957E3">
        <w:rPr>
          <w:rFonts w:ascii="Arial" w:hAnsi="Arial" w:cs="Arial"/>
          <w:i/>
          <w:iCs/>
          <w:sz w:val="20"/>
          <w:szCs w:val="20"/>
          <w:lang w:val="en-GB"/>
        </w:rPr>
        <w:t>Angew</w:t>
      </w:r>
      <w:proofErr w:type="spellEnd"/>
      <w:r w:rsidRPr="008957E3">
        <w:rPr>
          <w:rFonts w:ascii="Arial" w:hAnsi="Arial" w:cs="Arial"/>
          <w:i/>
          <w:iCs/>
          <w:sz w:val="20"/>
          <w:szCs w:val="20"/>
          <w:lang w:val="en-GB"/>
        </w:rPr>
        <w:t>. Chem. Int. Ed.</w:t>
      </w:r>
      <w:r w:rsidRPr="008957E3">
        <w:rPr>
          <w:rFonts w:ascii="Arial" w:hAnsi="Arial" w:cs="Arial"/>
          <w:sz w:val="20"/>
          <w:szCs w:val="20"/>
          <w:lang w:val="en-GB"/>
        </w:rPr>
        <w:t xml:space="preserve">, 2022, </w:t>
      </w:r>
      <w:r w:rsidRPr="008957E3">
        <w:rPr>
          <w:rFonts w:ascii="Arial" w:hAnsi="Arial" w:cs="Arial"/>
          <w:b/>
          <w:bCs/>
          <w:sz w:val="20"/>
          <w:szCs w:val="20"/>
          <w:lang w:val="en-GB"/>
        </w:rPr>
        <w:t>61</w:t>
      </w:r>
      <w:r w:rsidRPr="008957E3">
        <w:rPr>
          <w:rFonts w:ascii="Arial" w:hAnsi="Arial" w:cs="Arial"/>
          <w:sz w:val="20"/>
          <w:szCs w:val="20"/>
          <w:lang w:val="en-GB"/>
        </w:rPr>
        <w:t>, e202200772.</w:t>
      </w:r>
    </w:p>
    <w:p w14:paraId="33673315" w14:textId="77777777" w:rsidR="00910C52"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20</w:t>
      </w:r>
      <w:r w:rsidRPr="008957E3">
        <w:rPr>
          <w:rFonts w:ascii="Arial" w:hAnsi="Arial" w:cs="Arial"/>
          <w:sz w:val="20"/>
          <w:szCs w:val="20"/>
          <w:lang w:val="en-GB"/>
        </w:rPr>
        <w:tab/>
        <w:t xml:space="preserve">American Institute of Chemical Engineers, </w:t>
      </w:r>
      <w:r w:rsidRPr="008957E3">
        <w:rPr>
          <w:rFonts w:ascii="Arial" w:hAnsi="Arial" w:cs="Arial"/>
          <w:i/>
          <w:iCs/>
          <w:sz w:val="20"/>
          <w:szCs w:val="20"/>
          <w:lang w:val="en-GB"/>
        </w:rPr>
        <w:t>Dow’s Fire &amp; Explosion Index Hazard Classification Guide</w:t>
      </w:r>
      <w:r w:rsidRPr="008957E3">
        <w:rPr>
          <w:rFonts w:ascii="Arial" w:hAnsi="Arial" w:cs="Arial"/>
          <w:sz w:val="20"/>
          <w:szCs w:val="20"/>
          <w:lang w:val="en-GB"/>
        </w:rPr>
        <w:t>, John Wiley &amp; Sons, Inc, Hoboken, 7th ed., 2010.</w:t>
      </w:r>
    </w:p>
    <w:p w14:paraId="57255B93" w14:textId="388E39BF" w:rsidR="008E3C2E" w:rsidRPr="008957E3" w:rsidRDefault="00910C52" w:rsidP="001B62DB">
      <w:pPr>
        <w:pStyle w:val="Bibliography"/>
        <w:spacing w:line="360" w:lineRule="auto"/>
        <w:jc w:val="both"/>
        <w:rPr>
          <w:rFonts w:ascii="Arial" w:hAnsi="Arial" w:cs="Arial"/>
          <w:sz w:val="20"/>
          <w:szCs w:val="20"/>
          <w:lang w:val="en-GB"/>
        </w:rPr>
      </w:pPr>
      <w:r w:rsidRPr="008957E3">
        <w:rPr>
          <w:rFonts w:ascii="Arial" w:hAnsi="Arial" w:cs="Arial"/>
          <w:sz w:val="20"/>
          <w:szCs w:val="20"/>
          <w:lang w:val="en-GB"/>
        </w:rPr>
        <w:t>21</w:t>
      </w:r>
      <w:r w:rsidRPr="008957E3">
        <w:rPr>
          <w:rFonts w:ascii="Arial" w:hAnsi="Arial" w:cs="Arial"/>
          <w:sz w:val="20"/>
          <w:szCs w:val="20"/>
          <w:lang w:val="en-GB"/>
        </w:rPr>
        <w:tab/>
        <w:t xml:space="preserve">D. A. </w:t>
      </w:r>
      <w:proofErr w:type="spellStart"/>
      <w:r w:rsidRPr="008957E3">
        <w:rPr>
          <w:rFonts w:ascii="Arial" w:hAnsi="Arial" w:cs="Arial"/>
          <w:sz w:val="20"/>
          <w:szCs w:val="20"/>
          <w:lang w:val="en-GB"/>
        </w:rPr>
        <w:t>Crowl</w:t>
      </w:r>
      <w:proofErr w:type="spellEnd"/>
      <w:r w:rsidRPr="008957E3">
        <w:rPr>
          <w:rFonts w:ascii="Arial" w:hAnsi="Arial" w:cs="Arial"/>
          <w:sz w:val="20"/>
          <w:szCs w:val="20"/>
          <w:lang w:val="en-GB"/>
        </w:rPr>
        <w:t xml:space="preserve"> and J. F. </w:t>
      </w:r>
      <w:proofErr w:type="spellStart"/>
      <w:r w:rsidRPr="008957E3">
        <w:rPr>
          <w:rFonts w:ascii="Arial" w:hAnsi="Arial" w:cs="Arial"/>
          <w:sz w:val="20"/>
          <w:szCs w:val="20"/>
          <w:lang w:val="en-GB"/>
        </w:rPr>
        <w:t>Louvar</w:t>
      </w:r>
      <w:proofErr w:type="spellEnd"/>
      <w:r w:rsidRPr="008957E3">
        <w:rPr>
          <w:rFonts w:ascii="Arial" w:hAnsi="Arial" w:cs="Arial"/>
          <w:sz w:val="20"/>
          <w:szCs w:val="20"/>
          <w:lang w:val="en-GB"/>
        </w:rPr>
        <w:t xml:space="preserve">, </w:t>
      </w:r>
      <w:r w:rsidRPr="008957E3">
        <w:rPr>
          <w:rFonts w:ascii="Arial" w:hAnsi="Arial" w:cs="Arial"/>
          <w:i/>
          <w:iCs/>
          <w:sz w:val="20"/>
          <w:szCs w:val="20"/>
          <w:lang w:val="en-GB"/>
        </w:rPr>
        <w:t>Chemical process safety: fundamentals with applications</w:t>
      </w:r>
      <w:r w:rsidRPr="008957E3">
        <w:rPr>
          <w:rFonts w:ascii="Arial" w:hAnsi="Arial" w:cs="Arial"/>
          <w:sz w:val="20"/>
          <w:szCs w:val="20"/>
          <w:lang w:val="en-GB"/>
        </w:rPr>
        <w:t>, Prentice Hall, Upper Saddle River, NJ, 3rd ed., 2011.</w:t>
      </w:r>
      <w:r w:rsidR="008E3C2E" w:rsidRPr="008957E3">
        <w:rPr>
          <w:rFonts w:ascii="Arial" w:hAnsi="Arial" w:cs="Arial"/>
          <w:b/>
          <w:sz w:val="20"/>
          <w:szCs w:val="20"/>
          <w:lang w:val="en-GB"/>
        </w:rPr>
        <w:fldChar w:fldCharType="end"/>
      </w:r>
    </w:p>
    <w:sectPr w:rsidR="008E3C2E" w:rsidRPr="008957E3">
      <w:pgSz w:w="11906" w:h="16838"/>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abera  Abhinandan" w:date="2025-06-05T15:57:00Z" w:initials="NA">
    <w:p w14:paraId="702EF39F" w14:textId="77777777" w:rsidR="00263BEF" w:rsidRDefault="00263BEF" w:rsidP="00012FC4">
      <w:pPr>
        <w:pStyle w:val="CommentText"/>
        <w:jc w:val="both"/>
      </w:pPr>
      <w:r>
        <w:rPr>
          <w:rStyle w:val="CommentReference"/>
        </w:rPr>
        <w:annotationRef/>
      </w:r>
      <w:r>
        <w:t>Will need some help here. I am a bit not so sure on how much to include. Maybe, you have a better idea? Is this less or more, should be more scientific,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02EF3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02EF39F" w16cid:durableId="2BEC3C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42D87E" w14:textId="77777777" w:rsidR="0070425D" w:rsidRDefault="0070425D" w:rsidP="0000247C">
      <w:pPr>
        <w:spacing w:after="0" w:line="240" w:lineRule="auto"/>
      </w:pPr>
      <w:r>
        <w:separator/>
      </w:r>
    </w:p>
  </w:endnote>
  <w:endnote w:type="continuationSeparator" w:id="0">
    <w:p w14:paraId="69D7116C" w14:textId="77777777" w:rsidR="0070425D" w:rsidRDefault="0070425D" w:rsidP="00002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BAEA78" w14:textId="77777777" w:rsidR="0070425D" w:rsidRDefault="0070425D" w:rsidP="0000247C">
      <w:pPr>
        <w:spacing w:after="0" w:line="240" w:lineRule="auto"/>
      </w:pPr>
      <w:r>
        <w:separator/>
      </w:r>
    </w:p>
  </w:footnote>
  <w:footnote w:type="continuationSeparator" w:id="0">
    <w:p w14:paraId="5CE357FE" w14:textId="77777777" w:rsidR="0070425D" w:rsidRDefault="0070425D" w:rsidP="000024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C925C0"/>
    <w:multiLevelType w:val="hybridMultilevel"/>
    <w:tmpl w:val="DAAEC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DFA0973"/>
    <w:multiLevelType w:val="hybridMultilevel"/>
    <w:tmpl w:val="189C8E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72BA0958"/>
    <w:multiLevelType w:val="hybridMultilevel"/>
    <w:tmpl w:val="62BC28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wNwASBhaGpqZmxko6SsGpxcWZ+XkgBSa1AMGSOJcsAAAA"/>
  </w:docVars>
  <w:rsids>
    <w:rsidRoot w:val="002F1A80"/>
    <w:rsid w:val="0000247C"/>
    <w:rsid w:val="00012FC4"/>
    <w:rsid w:val="00021CB1"/>
    <w:rsid w:val="00045B2F"/>
    <w:rsid w:val="00051F2B"/>
    <w:rsid w:val="000637D7"/>
    <w:rsid w:val="00083C0F"/>
    <w:rsid w:val="000A209F"/>
    <w:rsid w:val="000A384D"/>
    <w:rsid w:val="000C2B7A"/>
    <w:rsid w:val="00106645"/>
    <w:rsid w:val="00122A20"/>
    <w:rsid w:val="00172F4A"/>
    <w:rsid w:val="0018586C"/>
    <w:rsid w:val="001B62DB"/>
    <w:rsid w:val="001B6966"/>
    <w:rsid w:val="001E2B03"/>
    <w:rsid w:val="002019D0"/>
    <w:rsid w:val="00230C6E"/>
    <w:rsid w:val="00242359"/>
    <w:rsid w:val="002631C5"/>
    <w:rsid w:val="00263BEF"/>
    <w:rsid w:val="00282BB3"/>
    <w:rsid w:val="00294433"/>
    <w:rsid w:val="00294E6B"/>
    <w:rsid w:val="002F1A80"/>
    <w:rsid w:val="00343726"/>
    <w:rsid w:val="003579EA"/>
    <w:rsid w:val="00374B4D"/>
    <w:rsid w:val="00377A5C"/>
    <w:rsid w:val="003C02D7"/>
    <w:rsid w:val="003C3E96"/>
    <w:rsid w:val="003E0979"/>
    <w:rsid w:val="004112D1"/>
    <w:rsid w:val="00411A8C"/>
    <w:rsid w:val="0043613A"/>
    <w:rsid w:val="00440059"/>
    <w:rsid w:val="00447134"/>
    <w:rsid w:val="004547AD"/>
    <w:rsid w:val="00456BCD"/>
    <w:rsid w:val="004D2463"/>
    <w:rsid w:val="0050494C"/>
    <w:rsid w:val="00554858"/>
    <w:rsid w:val="00590024"/>
    <w:rsid w:val="00593369"/>
    <w:rsid w:val="005B5D67"/>
    <w:rsid w:val="005C6998"/>
    <w:rsid w:val="005E5F4C"/>
    <w:rsid w:val="005F7092"/>
    <w:rsid w:val="006040C1"/>
    <w:rsid w:val="00606F2F"/>
    <w:rsid w:val="00610F58"/>
    <w:rsid w:val="00632EDA"/>
    <w:rsid w:val="0066354C"/>
    <w:rsid w:val="0066380F"/>
    <w:rsid w:val="00665F77"/>
    <w:rsid w:val="00684913"/>
    <w:rsid w:val="006D0892"/>
    <w:rsid w:val="006D27DB"/>
    <w:rsid w:val="006D5A2C"/>
    <w:rsid w:val="006F3718"/>
    <w:rsid w:val="0070425D"/>
    <w:rsid w:val="00724C21"/>
    <w:rsid w:val="00736005"/>
    <w:rsid w:val="00745B5B"/>
    <w:rsid w:val="007564B1"/>
    <w:rsid w:val="007614D2"/>
    <w:rsid w:val="0077144D"/>
    <w:rsid w:val="00796785"/>
    <w:rsid w:val="007D35F1"/>
    <w:rsid w:val="007F6A8F"/>
    <w:rsid w:val="00816DD8"/>
    <w:rsid w:val="008957E3"/>
    <w:rsid w:val="008D02F0"/>
    <w:rsid w:val="008D2CF0"/>
    <w:rsid w:val="008E3C2E"/>
    <w:rsid w:val="00910C52"/>
    <w:rsid w:val="00920248"/>
    <w:rsid w:val="00966D82"/>
    <w:rsid w:val="009710A1"/>
    <w:rsid w:val="00972A70"/>
    <w:rsid w:val="00975F02"/>
    <w:rsid w:val="00A03494"/>
    <w:rsid w:val="00A07E7B"/>
    <w:rsid w:val="00A5639C"/>
    <w:rsid w:val="00A83AD9"/>
    <w:rsid w:val="00B419F0"/>
    <w:rsid w:val="00B610A0"/>
    <w:rsid w:val="00B80188"/>
    <w:rsid w:val="00BA11C9"/>
    <w:rsid w:val="00BB5698"/>
    <w:rsid w:val="00BC4ED0"/>
    <w:rsid w:val="00BC6B1B"/>
    <w:rsid w:val="00BD6ACD"/>
    <w:rsid w:val="00C07F23"/>
    <w:rsid w:val="00C1417E"/>
    <w:rsid w:val="00C16FD7"/>
    <w:rsid w:val="00C34EBC"/>
    <w:rsid w:val="00C4074E"/>
    <w:rsid w:val="00C41BC8"/>
    <w:rsid w:val="00C609B4"/>
    <w:rsid w:val="00C90E32"/>
    <w:rsid w:val="00C936B2"/>
    <w:rsid w:val="00C95F6D"/>
    <w:rsid w:val="00CF366B"/>
    <w:rsid w:val="00D050AC"/>
    <w:rsid w:val="00D21E3D"/>
    <w:rsid w:val="00D37DB2"/>
    <w:rsid w:val="00D46F4D"/>
    <w:rsid w:val="00D5655E"/>
    <w:rsid w:val="00D62E7C"/>
    <w:rsid w:val="00DE182F"/>
    <w:rsid w:val="00DF27D0"/>
    <w:rsid w:val="00E51459"/>
    <w:rsid w:val="00EA10BA"/>
    <w:rsid w:val="00EB23EB"/>
    <w:rsid w:val="00EC7F97"/>
    <w:rsid w:val="00EF1A8C"/>
    <w:rsid w:val="00F3024A"/>
    <w:rsid w:val="00F54793"/>
    <w:rsid w:val="00F6548C"/>
    <w:rsid w:val="00FC3C0F"/>
    <w:rsid w:val="00FD41AB"/>
    <w:rsid w:val="00FE2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ACD60"/>
  <w14:defaultImageDpi w14:val="32767"/>
  <w15:chartTrackingRefBased/>
  <w15:docId w15:val="{1912225C-6B46-4FED-9D84-B686FAB3F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097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2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95F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F6D"/>
    <w:rPr>
      <w:rFonts w:ascii="Segoe UI" w:hAnsi="Segoe UI" w:cs="Segoe UI"/>
      <w:sz w:val="18"/>
      <w:szCs w:val="18"/>
      <w:lang w:val="en-US"/>
    </w:rPr>
  </w:style>
  <w:style w:type="paragraph" w:styleId="ListParagraph">
    <w:name w:val="List Paragraph"/>
    <w:basedOn w:val="Normal"/>
    <w:uiPriority w:val="34"/>
    <w:qFormat/>
    <w:rsid w:val="007D35F1"/>
    <w:pPr>
      <w:ind w:left="720"/>
      <w:contextualSpacing/>
    </w:pPr>
  </w:style>
  <w:style w:type="paragraph" w:styleId="Header">
    <w:name w:val="header"/>
    <w:basedOn w:val="Normal"/>
    <w:link w:val="HeaderChar"/>
    <w:uiPriority w:val="99"/>
    <w:unhideWhenUsed/>
    <w:rsid w:val="0000247C"/>
    <w:pPr>
      <w:tabs>
        <w:tab w:val="center" w:pos="4536"/>
        <w:tab w:val="right" w:pos="9072"/>
      </w:tabs>
      <w:spacing w:after="0" w:line="240" w:lineRule="auto"/>
    </w:pPr>
  </w:style>
  <w:style w:type="character" w:customStyle="1" w:styleId="HeaderChar">
    <w:name w:val="Header Char"/>
    <w:basedOn w:val="DefaultParagraphFont"/>
    <w:link w:val="Header"/>
    <w:uiPriority w:val="99"/>
    <w:rsid w:val="0000247C"/>
    <w:rPr>
      <w:lang w:val="en-US"/>
    </w:rPr>
  </w:style>
  <w:style w:type="paragraph" w:styleId="Footer">
    <w:name w:val="footer"/>
    <w:basedOn w:val="Normal"/>
    <w:link w:val="FooterChar"/>
    <w:uiPriority w:val="99"/>
    <w:unhideWhenUsed/>
    <w:rsid w:val="0000247C"/>
    <w:pPr>
      <w:tabs>
        <w:tab w:val="center" w:pos="4536"/>
        <w:tab w:val="right" w:pos="9072"/>
      </w:tabs>
      <w:spacing w:after="0" w:line="240" w:lineRule="auto"/>
    </w:pPr>
  </w:style>
  <w:style w:type="character" w:customStyle="1" w:styleId="FooterChar">
    <w:name w:val="Footer Char"/>
    <w:basedOn w:val="DefaultParagraphFont"/>
    <w:link w:val="Footer"/>
    <w:uiPriority w:val="99"/>
    <w:rsid w:val="0000247C"/>
    <w:rPr>
      <w:lang w:val="en-US"/>
    </w:rPr>
  </w:style>
  <w:style w:type="paragraph" w:styleId="NormalWeb">
    <w:name w:val="Normal (Web)"/>
    <w:basedOn w:val="Normal"/>
    <w:uiPriority w:val="99"/>
    <w:semiHidden/>
    <w:unhideWhenUsed/>
    <w:rsid w:val="00E5145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ibliography">
    <w:name w:val="Bibliography"/>
    <w:basedOn w:val="Normal"/>
    <w:next w:val="Normal"/>
    <w:uiPriority w:val="37"/>
    <w:unhideWhenUsed/>
    <w:rsid w:val="008E3C2E"/>
    <w:pPr>
      <w:tabs>
        <w:tab w:val="left" w:pos="144"/>
      </w:tabs>
      <w:spacing w:after="0" w:line="240" w:lineRule="auto"/>
      <w:ind w:left="144" w:hanging="144"/>
    </w:pPr>
  </w:style>
  <w:style w:type="character" w:styleId="CommentReference">
    <w:name w:val="annotation reference"/>
    <w:basedOn w:val="DefaultParagraphFont"/>
    <w:uiPriority w:val="99"/>
    <w:semiHidden/>
    <w:unhideWhenUsed/>
    <w:rsid w:val="00263BEF"/>
    <w:rPr>
      <w:sz w:val="16"/>
      <w:szCs w:val="16"/>
    </w:rPr>
  </w:style>
  <w:style w:type="paragraph" w:styleId="CommentText">
    <w:name w:val="annotation text"/>
    <w:basedOn w:val="Normal"/>
    <w:link w:val="CommentTextChar"/>
    <w:uiPriority w:val="99"/>
    <w:semiHidden/>
    <w:unhideWhenUsed/>
    <w:rsid w:val="00263BEF"/>
    <w:pPr>
      <w:spacing w:line="240" w:lineRule="auto"/>
    </w:pPr>
    <w:rPr>
      <w:sz w:val="20"/>
      <w:szCs w:val="20"/>
    </w:rPr>
  </w:style>
  <w:style w:type="character" w:customStyle="1" w:styleId="CommentTextChar">
    <w:name w:val="Comment Text Char"/>
    <w:basedOn w:val="DefaultParagraphFont"/>
    <w:link w:val="CommentText"/>
    <w:uiPriority w:val="99"/>
    <w:semiHidden/>
    <w:rsid w:val="00263BEF"/>
    <w:rPr>
      <w:sz w:val="20"/>
      <w:szCs w:val="20"/>
      <w:lang w:val="en-US"/>
    </w:rPr>
  </w:style>
  <w:style w:type="paragraph" w:styleId="CommentSubject">
    <w:name w:val="annotation subject"/>
    <w:basedOn w:val="CommentText"/>
    <w:next w:val="CommentText"/>
    <w:link w:val="CommentSubjectChar"/>
    <w:uiPriority w:val="99"/>
    <w:semiHidden/>
    <w:unhideWhenUsed/>
    <w:rsid w:val="00263BEF"/>
    <w:rPr>
      <w:b/>
      <w:bCs/>
    </w:rPr>
  </w:style>
  <w:style w:type="character" w:customStyle="1" w:styleId="CommentSubjectChar">
    <w:name w:val="Comment Subject Char"/>
    <w:basedOn w:val="CommentTextChar"/>
    <w:link w:val="CommentSubject"/>
    <w:uiPriority w:val="99"/>
    <w:semiHidden/>
    <w:rsid w:val="00263BEF"/>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71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8074</Words>
  <Characters>46023</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77</cp:revision>
  <cp:lastPrinted>2025-05-30T11:44:00Z</cp:lastPrinted>
  <dcterms:created xsi:type="dcterms:W3CDTF">2025-05-30T09:28:00Z</dcterms:created>
  <dcterms:modified xsi:type="dcterms:W3CDTF">2025-06-05T14:14:00Z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id="zAVezAvZ"/&gt;&lt;style id="http://www.zotero.org/styles/green-chemistry"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