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182F" w:rsidRPr="0053425B" w:rsidRDefault="006C1B94" w:rsidP="006C1B94">
      <w:pPr>
        <w:jc w:val="center"/>
        <w:rPr>
          <w:sz w:val="20"/>
          <w:szCs w:val="20"/>
        </w:rPr>
      </w:pPr>
      <w:r w:rsidRPr="0053425B">
        <w:rPr>
          <w:noProof/>
          <w:sz w:val="20"/>
          <w:szCs w:val="20"/>
        </w:rPr>
        <w:drawing>
          <wp:inline distT="0" distB="0" distL="0" distR="0">
            <wp:extent cx="5760720" cy="3209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_figure_current_future_per_kg.png"/>
                    <pic:cNvPicPr/>
                  </pic:nvPicPr>
                  <pic:blipFill>
                    <a:blip r:embed="rId5"/>
                    <a:stretch>
                      <a:fillRect/>
                    </a:stretch>
                  </pic:blipFill>
                  <pic:spPr>
                    <a:xfrm>
                      <a:off x="0" y="0"/>
                      <a:ext cx="5760720" cy="3209290"/>
                    </a:xfrm>
                    <a:prstGeom prst="rect">
                      <a:avLst/>
                    </a:prstGeom>
                  </pic:spPr>
                </pic:pic>
              </a:graphicData>
            </a:graphic>
          </wp:inline>
        </w:drawing>
      </w:r>
    </w:p>
    <w:p w:rsidR="003A77C6" w:rsidRPr="0053425B" w:rsidRDefault="003A77C6" w:rsidP="00B43774">
      <w:pPr>
        <w:spacing w:after="120" w:line="360" w:lineRule="auto"/>
        <w:jc w:val="both"/>
        <w:rPr>
          <w:rFonts w:ascii="Arial" w:hAnsi="Arial" w:cs="Arial"/>
          <w:sz w:val="20"/>
          <w:szCs w:val="20"/>
        </w:rPr>
      </w:pPr>
      <w:r w:rsidRPr="0053425B">
        <w:rPr>
          <w:rFonts w:ascii="Arial" w:hAnsi="Arial" w:cs="Arial"/>
          <w:b/>
          <w:bCs/>
          <w:sz w:val="20"/>
          <w:szCs w:val="20"/>
        </w:rPr>
        <w:t>Fig</w:t>
      </w:r>
      <w:r w:rsidRPr="00633531">
        <w:rPr>
          <w:rFonts w:ascii="Arial" w:hAnsi="Arial" w:cs="Arial"/>
          <w:b/>
          <w:bCs/>
          <w:sz w:val="20"/>
          <w:szCs w:val="20"/>
        </w:rPr>
        <w:t>. </w:t>
      </w:r>
      <w:r w:rsidR="00633531" w:rsidRPr="00633531">
        <w:rPr>
          <w:rFonts w:ascii="Arial" w:hAnsi="Arial" w:cs="Arial"/>
          <w:b/>
          <w:bCs/>
          <w:sz w:val="20"/>
          <w:szCs w:val="20"/>
          <w:lang w:eastAsia="zh-CN"/>
        </w:rPr>
        <w:t>1</w:t>
      </w:r>
      <w:r w:rsidRPr="00633531">
        <w:rPr>
          <w:rFonts w:ascii="Arial" w:hAnsi="Arial" w:cs="Arial"/>
          <w:b/>
          <w:bCs/>
          <w:sz w:val="20"/>
          <w:szCs w:val="20"/>
        </w:rPr>
        <w:t xml:space="preserve"> | a, </w:t>
      </w:r>
      <w:r w:rsidRPr="00633531">
        <w:rPr>
          <w:rFonts w:ascii="Arial" w:hAnsi="Arial" w:cs="Arial"/>
          <w:b/>
          <w:sz w:val="20"/>
          <w:szCs w:val="20"/>
        </w:rPr>
        <w:t xml:space="preserve">Production costs and </w:t>
      </w:r>
      <w:r w:rsidR="00B43774" w:rsidRPr="00633531">
        <w:rPr>
          <w:rFonts w:ascii="Arial" w:hAnsi="Arial" w:cs="Arial"/>
          <w:b/>
          <w:sz w:val="20"/>
          <w:szCs w:val="20"/>
        </w:rPr>
        <w:t xml:space="preserve">b, </w:t>
      </w:r>
      <w:r w:rsidRPr="00633531">
        <w:rPr>
          <w:rFonts w:ascii="Arial" w:hAnsi="Arial" w:cs="Arial"/>
          <w:b/>
          <w:sz w:val="20"/>
          <w:szCs w:val="20"/>
        </w:rPr>
        <w:t xml:space="preserve">climate change impacts per kg of </w:t>
      </w:r>
      <w:r w:rsidR="00B43774" w:rsidRPr="00633531">
        <w:rPr>
          <w:rFonts w:ascii="Arial" w:hAnsi="Arial" w:cs="Arial"/>
          <w:b/>
          <w:sz w:val="20"/>
          <w:szCs w:val="20"/>
        </w:rPr>
        <w:t>N</w:t>
      </w:r>
      <w:r w:rsidR="00B43774" w:rsidRPr="00633531">
        <w:rPr>
          <w:rFonts w:ascii="Arial" w:hAnsi="Arial" w:cs="Arial"/>
          <w:b/>
          <w:sz w:val="20"/>
          <w:szCs w:val="20"/>
          <w:vertAlign w:val="subscript"/>
        </w:rPr>
        <w:t>2</w:t>
      </w:r>
      <w:r w:rsidR="00B43774" w:rsidRPr="00633531">
        <w:rPr>
          <w:rFonts w:ascii="Arial" w:hAnsi="Arial" w:cs="Arial"/>
          <w:b/>
          <w:sz w:val="20"/>
          <w:szCs w:val="20"/>
        </w:rPr>
        <w:t>O and H</w:t>
      </w:r>
      <w:r w:rsidR="00B43774" w:rsidRPr="00633531">
        <w:rPr>
          <w:rFonts w:ascii="Arial" w:hAnsi="Arial" w:cs="Arial"/>
          <w:b/>
          <w:sz w:val="20"/>
          <w:szCs w:val="20"/>
          <w:vertAlign w:val="subscript"/>
        </w:rPr>
        <w:t>2</w:t>
      </w:r>
      <w:r w:rsidR="00B43774" w:rsidRPr="00633531">
        <w:rPr>
          <w:rFonts w:ascii="Arial" w:hAnsi="Arial" w:cs="Arial"/>
          <w:b/>
          <w:sz w:val="20"/>
          <w:szCs w:val="20"/>
        </w:rPr>
        <w:t>O</w:t>
      </w:r>
      <w:r w:rsidR="00B43774" w:rsidRPr="00633531">
        <w:rPr>
          <w:rFonts w:ascii="Arial" w:hAnsi="Arial" w:cs="Arial"/>
          <w:b/>
          <w:sz w:val="20"/>
          <w:szCs w:val="20"/>
          <w:vertAlign w:val="subscript"/>
        </w:rPr>
        <w:t>2</w:t>
      </w:r>
      <w:r w:rsidRPr="00633531">
        <w:rPr>
          <w:rFonts w:ascii="Arial" w:hAnsi="Arial" w:cs="Arial"/>
          <w:b/>
          <w:sz w:val="20"/>
          <w:szCs w:val="20"/>
        </w:rPr>
        <w:t>.</w:t>
      </w:r>
      <w:r w:rsidR="00B43774" w:rsidRPr="00633531">
        <w:rPr>
          <w:rFonts w:ascii="Arial" w:hAnsi="Arial" w:cs="Arial"/>
          <w:sz w:val="20"/>
          <w:szCs w:val="20"/>
        </w:rPr>
        <w:t xml:space="preserve"> For N</w:t>
      </w:r>
      <w:r w:rsidR="00B43774" w:rsidRPr="00633531">
        <w:rPr>
          <w:rFonts w:ascii="Arial" w:hAnsi="Arial" w:cs="Arial"/>
          <w:sz w:val="20"/>
          <w:szCs w:val="20"/>
          <w:vertAlign w:val="subscript"/>
        </w:rPr>
        <w:t>2</w:t>
      </w:r>
      <w:r w:rsidR="00B43774" w:rsidRPr="00633531">
        <w:rPr>
          <w:rFonts w:ascii="Arial" w:hAnsi="Arial" w:cs="Arial"/>
          <w:sz w:val="20"/>
          <w:szCs w:val="20"/>
        </w:rPr>
        <w:t>O production</w:t>
      </w:r>
      <w:r w:rsidR="00B43774" w:rsidRPr="0053425B">
        <w:rPr>
          <w:rFonts w:ascii="Arial" w:hAnsi="Arial" w:cs="Arial"/>
          <w:sz w:val="20"/>
          <w:szCs w:val="20"/>
        </w:rPr>
        <w:t>, the one-step process using ammonia derived from either natural gas (fossil-based) or the electrolytic hydrogen-based Haber-Bosch process (green) is shown. Similarly, the anthraquinone process for H</w:t>
      </w:r>
      <w:r w:rsidR="00B43774" w:rsidRPr="0053425B">
        <w:rPr>
          <w:rFonts w:ascii="Arial" w:hAnsi="Arial" w:cs="Arial"/>
          <w:sz w:val="20"/>
          <w:szCs w:val="20"/>
          <w:vertAlign w:val="subscript"/>
        </w:rPr>
        <w:t>2</w:t>
      </w:r>
      <w:r w:rsidR="00B43774" w:rsidRPr="0053425B">
        <w:rPr>
          <w:rFonts w:ascii="Arial" w:hAnsi="Arial" w:cs="Arial"/>
          <w:sz w:val="20"/>
          <w:szCs w:val="20"/>
        </w:rPr>
        <w:t>O</w:t>
      </w:r>
      <w:r w:rsidR="00B43774" w:rsidRPr="0053425B">
        <w:rPr>
          <w:rFonts w:ascii="Arial" w:hAnsi="Arial" w:cs="Arial"/>
          <w:sz w:val="20"/>
          <w:szCs w:val="20"/>
          <w:vertAlign w:val="subscript"/>
        </w:rPr>
        <w:t>2</w:t>
      </w:r>
      <w:r w:rsidR="00B43774" w:rsidRPr="0053425B">
        <w:rPr>
          <w:rFonts w:ascii="Arial" w:hAnsi="Arial" w:cs="Arial"/>
          <w:sz w:val="20"/>
          <w:szCs w:val="20"/>
        </w:rPr>
        <w:t xml:space="preserve"> production, utilizing hydrogen from either natural gas reforming or electrolytic sources, is presented. Future projections for 2050 of production costs and climate change impacts for all technologies are indicated to illustrate the potential reductions.</w:t>
      </w:r>
    </w:p>
    <w:p w:rsidR="00D0034A" w:rsidRPr="00F83147" w:rsidRDefault="00D0034A" w:rsidP="00F83147">
      <w:pPr>
        <w:pStyle w:val="ListParagraph"/>
        <w:numPr>
          <w:ilvl w:val="0"/>
          <w:numId w:val="1"/>
        </w:numPr>
        <w:spacing w:after="120" w:line="360" w:lineRule="auto"/>
        <w:jc w:val="both"/>
        <w:rPr>
          <w:rFonts w:ascii="Arial" w:hAnsi="Arial" w:cs="Arial"/>
          <w:sz w:val="20"/>
          <w:szCs w:val="20"/>
        </w:rPr>
      </w:pPr>
      <w:r w:rsidRPr="00F83147">
        <w:rPr>
          <w:rFonts w:ascii="Arial" w:hAnsi="Arial" w:cs="Arial"/>
          <w:sz w:val="20"/>
          <w:szCs w:val="20"/>
        </w:rPr>
        <w:t>In fossil-based production, H</w:t>
      </w:r>
      <w:r w:rsidRPr="00F83147">
        <w:rPr>
          <w:rFonts w:ascii="Arial" w:hAnsi="Arial" w:cs="Arial"/>
          <w:sz w:val="20"/>
          <w:szCs w:val="20"/>
          <w:vertAlign w:val="subscript"/>
        </w:rPr>
        <w:t>2</w:t>
      </w:r>
      <w:r w:rsidRPr="00F83147">
        <w:rPr>
          <w:rFonts w:ascii="Arial" w:hAnsi="Arial" w:cs="Arial"/>
          <w:sz w:val="20"/>
          <w:szCs w:val="20"/>
        </w:rPr>
        <w:t>O</w:t>
      </w:r>
      <w:r w:rsidRPr="00F83147">
        <w:rPr>
          <w:rFonts w:ascii="Arial" w:hAnsi="Arial" w:cs="Arial"/>
          <w:sz w:val="20"/>
          <w:szCs w:val="20"/>
          <w:vertAlign w:val="subscript"/>
        </w:rPr>
        <w:t>2</w:t>
      </w:r>
      <w:r w:rsidRPr="00F83147">
        <w:rPr>
          <w:rFonts w:ascii="Arial" w:hAnsi="Arial" w:cs="Arial"/>
          <w:sz w:val="20"/>
          <w:szCs w:val="20"/>
        </w:rPr>
        <w:t xml:space="preserve"> is significantly more expensive than N</w:t>
      </w:r>
      <w:r w:rsidRPr="00F83147">
        <w:rPr>
          <w:rFonts w:ascii="Arial" w:hAnsi="Arial" w:cs="Arial"/>
          <w:sz w:val="20"/>
          <w:szCs w:val="20"/>
          <w:vertAlign w:val="subscript"/>
        </w:rPr>
        <w:t>2</w:t>
      </w:r>
      <w:r w:rsidRPr="00F83147">
        <w:rPr>
          <w:rFonts w:ascii="Arial" w:hAnsi="Arial" w:cs="Arial"/>
          <w:sz w:val="20"/>
          <w:szCs w:val="20"/>
        </w:rPr>
        <w:t>O alternatives (2.4 times in the fossil scenario and 1.6 times in the green scenario) due to the costly anthraquinone working solution required for the process.</w:t>
      </w:r>
    </w:p>
    <w:p w:rsidR="00633531" w:rsidRPr="00F83147" w:rsidRDefault="00633531" w:rsidP="00F83147">
      <w:pPr>
        <w:pStyle w:val="ListParagraph"/>
        <w:numPr>
          <w:ilvl w:val="0"/>
          <w:numId w:val="1"/>
        </w:numPr>
        <w:spacing w:after="120" w:line="360" w:lineRule="auto"/>
        <w:jc w:val="both"/>
        <w:rPr>
          <w:rFonts w:ascii="Arial" w:hAnsi="Arial" w:cs="Arial"/>
          <w:sz w:val="20"/>
          <w:szCs w:val="20"/>
        </w:rPr>
      </w:pPr>
      <w:r w:rsidRPr="00F83147">
        <w:rPr>
          <w:rFonts w:ascii="Arial" w:hAnsi="Arial" w:cs="Arial"/>
          <w:sz w:val="20"/>
          <w:szCs w:val="20"/>
        </w:rPr>
        <w:t>By 2050, the green N</w:t>
      </w:r>
      <w:r w:rsidRPr="00F83147">
        <w:rPr>
          <w:rFonts w:ascii="Arial" w:hAnsi="Arial" w:cs="Arial"/>
          <w:sz w:val="20"/>
          <w:szCs w:val="20"/>
          <w:vertAlign w:val="subscript"/>
        </w:rPr>
        <w:t>2</w:t>
      </w:r>
      <w:r w:rsidRPr="00F83147">
        <w:rPr>
          <w:rFonts w:ascii="Arial" w:hAnsi="Arial" w:cs="Arial"/>
          <w:sz w:val="20"/>
          <w:szCs w:val="20"/>
        </w:rPr>
        <w:t>O process demonstrates a 41% reduction in production costs, while the H</w:t>
      </w:r>
      <w:r w:rsidRPr="00F83147">
        <w:rPr>
          <w:rFonts w:ascii="Arial" w:hAnsi="Arial" w:cs="Arial"/>
          <w:sz w:val="20"/>
          <w:szCs w:val="20"/>
          <w:vertAlign w:val="subscript"/>
        </w:rPr>
        <w:t>2</w:t>
      </w:r>
      <w:r w:rsidRPr="00F83147">
        <w:rPr>
          <w:rFonts w:ascii="Arial" w:hAnsi="Arial" w:cs="Arial"/>
          <w:sz w:val="20"/>
          <w:szCs w:val="20"/>
        </w:rPr>
        <w:t>O</w:t>
      </w:r>
      <w:r w:rsidRPr="00F83147">
        <w:rPr>
          <w:rFonts w:ascii="Arial" w:hAnsi="Arial" w:cs="Arial"/>
          <w:sz w:val="20"/>
          <w:szCs w:val="20"/>
          <w:vertAlign w:val="subscript"/>
        </w:rPr>
        <w:t>2</w:t>
      </w:r>
      <w:r w:rsidRPr="00F83147">
        <w:rPr>
          <w:rFonts w:ascii="Arial" w:hAnsi="Arial" w:cs="Arial"/>
          <w:sz w:val="20"/>
          <w:szCs w:val="20"/>
        </w:rPr>
        <w:t xml:space="preserve"> process shows less than a 10% reduction.</w:t>
      </w:r>
    </w:p>
    <w:p w:rsidR="00633531" w:rsidRPr="00F83147" w:rsidRDefault="00633531" w:rsidP="00F83147">
      <w:pPr>
        <w:pStyle w:val="ListParagraph"/>
        <w:numPr>
          <w:ilvl w:val="0"/>
          <w:numId w:val="1"/>
        </w:numPr>
        <w:spacing w:after="120" w:line="360" w:lineRule="auto"/>
        <w:jc w:val="both"/>
        <w:rPr>
          <w:rFonts w:ascii="Arial" w:hAnsi="Arial" w:cs="Arial"/>
          <w:sz w:val="20"/>
          <w:szCs w:val="20"/>
        </w:rPr>
      </w:pPr>
      <w:r w:rsidRPr="00F83147">
        <w:rPr>
          <w:rFonts w:ascii="Arial" w:hAnsi="Arial" w:cs="Arial"/>
          <w:sz w:val="20"/>
          <w:szCs w:val="20"/>
        </w:rPr>
        <w:t>Regarding climate change impacts, in the fossil scenario, N</w:t>
      </w:r>
      <w:r w:rsidRPr="00F83147">
        <w:rPr>
          <w:rFonts w:ascii="Arial" w:hAnsi="Arial" w:cs="Arial"/>
          <w:sz w:val="20"/>
          <w:szCs w:val="20"/>
          <w:vertAlign w:val="subscript"/>
        </w:rPr>
        <w:t>2</w:t>
      </w:r>
      <w:r w:rsidRPr="00F83147">
        <w:rPr>
          <w:rFonts w:ascii="Arial" w:hAnsi="Arial" w:cs="Arial"/>
          <w:sz w:val="20"/>
          <w:szCs w:val="20"/>
        </w:rPr>
        <w:t>O has an impact of 4.4 kgCO</w:t>
      </w:r>
      <w:r w:rsidRPr="00F83147">
        <w:rPr>
          <w:rFonts w:ascii="Arial" w:hAnsi="Arial" w:cs="Arial"/>
          <w:sz w:val="20"/>
          <w:szCs w:val="20"/>
          <w:vertAlign w:val="subscript"/>
        </w:rPr>
        <w:t>2</w:t>
      </w:r>
      <w:r w:rsidRPr="00F83147">
        <w:rPr>
          <w:rFonts w:ascii="Arial" w:hAnsi="Arial" w:cs="Arial"/>
          <w:sz w:val="20"/>
          <w:szCs w:val="20"/>
        </w:rPr>
        <w:t>e per kg, compared to H</w:t>
      </w:r>
      <w:r w:rsidRPr="00F83147">
        <w:rPr>
          <w:rFonts w:ascii="Arial" w:hAnsi="Arial" w:cs="Arial"/>
          <w:sz w:val="20"/>
          <w:szCs w:val="20"/>
          <w:vertAlign w:val="subscript"/>
        </w:rPr>
        <w:t>2</w:t>
      </w:r>
      <w:r w:rsidRPr="00F83147">
        <w:rPr>
          <w:rFonts w:ascii="Arial" w:hAnsi="Arial" w:cs="Arial"/>
          <w:sz w:val="20"/>
          <w:szCs w:val="20"/>
        </w:rPr>
        <w:t>O</w:t>
      </w:r>
      <w:r w:rsidRPr="00F83147">
        <w:rPr>
          <w:rFonts w:ascii="Arial" w:hAnsi="Arial" w:cs="Arial"/>
          <w:sz w:val="20"/>
          <w:szCs w:val="20"/>
          <w:vertAlign w:val="subscript"/>
        </w:rPr>
        <w:t>2</w:t>
      </w:r>
      <w:r w:rsidRPr="00F83147">
        <w:rPr>
          <w:rFonts w:ascii="Arial" w:hAnsi="Arial" w:cs="Arial"/>
          <w:sz w:val="20"/>
          <w:szCs w:val="20"/>
        </w:rPr>
        <w:t>’s impact of 1.3 kgCO</w:t>
      </w:r>
      <w:r w:rsidRPr="00F83147">
        <w:rPr>
          <w:rFonts w:ascii="Arial" w:hAnsi="Arial" w:cs="Arial"/>
          <w:sz w:val="20"/>
          <w:szCs w:val="20"/>
          <w:vertAlign w:val="subscript"/>
        </w:rPr>
        <w:t>2</w:t>
      </w:r>
      <w:r w:rsidRPr="00F83147">
        <w:rPr>
          <w:rFonts w:ascii="Arial" w:hAnsi="Arial" w:cs="Arial"/>
          <w:sz w:val="20"/>
          <w:szCs w:val="20"/>
        </w:rPr>
        <w:t>e per kg. In the green scenario, these impacts decrease to 1.9</w:t>
      </w:r>
      <w:r w:rsidRPr="00F83147">
        <w:rPr>
          <w:rFonts w:ascii="Arial" w:hAnsi="Arial" w:cs="Arial"/>
          <w:sz w:val="20"/>
          <w:szCs w:val="20"/>
        </w:rPr>
        <w:t> kgCO</w:t>
      </w:r>
      <w:r w:rsidRPr="00F83147">
        <w:rPr>
          <w:rFonts w:ascii="Arial" w:hAnsi="Arial" w:cs="Arial"/>
          <w:sz w:val="20"/>
          <w:szCs w:val="20"/>
          <w:vertAlign w:val="subscript"/>
        </w:rPr>
        <w:t>2</w:t>
      </w:r>
      <w:r w:rsidRPr="00F83147">
        <w:rPr>
          <w:rFonts w:ascii="Arial" w:hAnsi="Arial" w:cs="Arial"/>
          <w:sz w:val="20"/>
          <w:szCs w:val="20"/>
        </w:rPr>
        <w:t>e per kg</w:t>
      </w:r>
      <w:r w:rsidRPr="00F83147">
        <w:rPr>
          <w:rFonts w:ascii="Arial" w:hAnsi="Arial" w:cs="Arial"/>
          <w:sz w:val="20"/>
          <w:szCs w:val="20"/>
        </w:rPr>
        <w:t xml:space="preserve"> for N</w:t>
      </w:r>
      <w:r w:rsidRPr="00F83147">
        <w:rPr>
          <w:rFonts w:ascii="Arial" w:hAnsi="Arial" w:cs="Arial"/>
          <w:sz w:val="20"/>
          <w:szCs w:val="20"/>
          <w:vertAlign w:val="subscript"/>
        </w:rPr>
        <w:t>2</w:t>
      </w:r>
      <w:r w:rsidRPr="00F83147">
        <w:rPr>
          <w:rFonts w:ascii="Arial" w:hAnsi="Arial" w:cs="Arial"/>
          <w:sz w:val="20"/>
          <w:szCs w:val="20"/>
        </w:rPr>
        <w:t>O and 0.5</w:t>
      </w:r>
      <w:r w:rsidRPr="00F83147">
        <w:rPr>
          <w:rFonts w:ascii="Arial" w:hAnsi="Arial" w:cs="Arial"/>
          <w:sz w:val="20"/>
          <w:szCs w:val="20"/>
        </w:rPr>
        <w:t> kgCO</w:t>
      </w:r>
      <w:r w:rsidRPr="00F83147">
        <w:rPr>
          <w:rFonts w:ascii="Arial" w:hAnsi="Arial" w:cs="Arial"/>
          <w:sz w:val="20"/>
          <w:szCs w:val="20"/>
          <w:vertAlign w:val="subscript"/>
        </w:rPr>
        <w:t>2</w:t>
      </w:r>
      <w:r w:rsidRPr="00F83147">
        <w:rPr>
          <w:rFonts w:ascii="Arial" w:hAnsi="Arial" w:cs="Arial"/>
          <w:sz w:val="20"/>
          <w:szCs w:val="20"/>
        </w:rPr>
        <w:t>e per kg</w:t>
      </w:r>
      <w:r w:rsidRPr="00F83147">
        <w:rPr>
          <w:rFonts w:ascii="Arial" w:hAnsi="Arial" w:cs="Arial"/>
          <w:sz w:val="20"/>
          <w:szCs w:val="20"/>
        </w:rPr>
        <w:t xml:space="preserve"> for H</w:t>
      </w:r>
      <w:r w:rsidRPr="00F83147">
        <w:rPr>
          <w:rFonts w:ascii="Arial" w:hAnsi="Arial" w:cs="Arial"/>
          <w:sz w:val="20"/>
          <w:szCs w:val="20"/>
          <w:vertAlign w:val="subscript"/>
        </w:rPr>
        <w:t>2</w:t>
      </w:r>
      <w:r w:rsidRPr="00F83147">
        <w:rPr>
          <w:rFonts w:ascii="Arial" w:hAnsi="Arial" w:cs="Arial"/>
          <w:sz w:val="20"/>
          <w:szCs w:val="20"/>
        </w:rPr>
        <w:t>O</w:t>
      </w:r>
      <w:r w:rsidRPr="00F83147">
        <w:rPr>
          <w:rFonts w:ascii="Arial" w:hAnsi="Arial" w:cs="Arial"/>
          <w:sz w:val="20"/>
          <w:szCs w:val="20"/>
          <w:vertAlign w:val="subscript"/>
        </w:rPr>
        <w:t>2</w:t>
      </w:r>
      <w:r w:rsidRPr="00F83147">
        <w:rPr>
          <w:rFonts w:ascii="Arial" w:hAnsi="Arial" w:cs="Arial"/>
          <w:sz w:val="20"/>
          <w:szCs w:val="20"/>
        </w:rPr>
        <w:t>. The green N</w:t>
      </w:r>
      <w:r w:rsidRPr="00F83147">
        <w:rPr>
          <w:rFonts w:ascii="Arial" w:hAnsi="Arial" w:cs="Arial"/>
          <w:sz w:val="20"/>
          <w:szCs w:val="20"/>
          <w:vertAlign w:val="subscript"/>
        </w:rPr>
        <w:t>2</w:t>
      </w:r>
      <w:r w:rsidRPr="00F83147">
        <w:rPr>
          <w:rFonts w:ascii="Arial" w:hAnsi="Arial" w:cs="Arial"/>
          <w:sz w:val="20"/>
          <w:szCs w:val="20"/>
        </w:rPr>
        <w:t>O production exhibits much higher impacts than H</w:t>
      </w:r>
      <w:r w:rsidRPr="00F83147">
        <w:rPr>
          <w:rFonts w:ascii="Arial" w:hAnsi="Arial" w:cs="Arial"/>
          <w:sz w:val="20"/>
          <w:szCs w:val="20"/>
          <w:vertAlign w:val="subscript"/>
        </w:rPr>
        <w:t>2</w:t>
      </w:r>
      <w:r w:rsidRPr="00F83147">
        <w:rPr>
          <w:rFonts w:ascii="Arial" w:hAnsi="Arial" w:cs="Arial"/>
          <w:sz w:val="20"/>
          <w:szCs w:val="20"/>
        </w:rPr>
        <w:t>O</w:t>
      </w:r>
      <w:r w:rsidRPr="00F83147">
        <w:rPr>
          <w:rFonts w:ascii="Arial" w:hAnsi="Arial" w:cs="Arial"/>
          <w:sz w:val="20"/>
          <w:szCs w:val="20"/>
          <w:vertAlign w:val="subscript"/>
        </w:rPr>
        <w:t>2</w:t>
      </w:r>
      <w:r w:rsidRPr="00F83147">
        <w:rPr>
          <w:rFonts w:ascii="Arial" w:hAnsi="Arial" w:cs="Arial"/>
          <w:sz w:val="20"/>
          <w:szCs w:val="20"/>
        </w:rPr>
        <w:t xml:space="preserve"> due to the cryogenic cooling required to separate unreacted oxygen.</w:t>
      </w:r>
    </w:p>
    <w:p w:rsidR="00633531" w:rsidRPr="00F83147" w:rsidRDefault="00633531" w:rsidP="00F83147">
      <w:pPr>
        <w:pStyle w:val="ListParagraph"/>
        <w:numPr>
          <w:ilvl w:val="0"/>
          <w:numId w:val="1"/>
        </w:numPr>
        <w:spacing w:after="120" w:line="360" w:lineRule="auto"/>
        <w:jc w:val="both"/>
        <w:rPr>
          <w:rFonts w:ascii="Arial" w:hAnsi="Arial" w:cs="Arial"/>
          <w:sz w:val="20"/>
          <w:szCs w:val="20"/>
        </w:rPr>
      </w:pPr>
      <w:r w:rsidRPr="00F83147">
        <w:rPr>
          <w:rFonts w:ascii="Arial" w:hAnsi="Arial" w:cs="Arial"/>
          <w:sz w:val="20"/>
          <w:szCs w:val="20"/>
        </w:rPr>
        <w:t>However, in the future, as electricity becomes highly decarbonized, the impacts of N</w:t>
      </w:r>
      <w:r w:rsidRPr="00F83147">
        <w:rPr>
          <w:rFonts w:ascii="Arial" w:hAnsi="Arial" w:cs="Arial"/>
          <w:sz w:val="20"/>
          <w:szCs w:val="20"/>
          <w:vertAlign w:val="subscript"/>
        </w:rPr>
        <w:t>2</w:t>
      </w:r>
      <w:r w:rsidRPr="00F83147">
        <w:rPr>
          <w:rFonts w:ascii="Arial" w:hAnsi="Arial" w:cs="Arial"/>
          <w:sz w:val="20"/>
          <w:szCs w:val="20"/>
        </w:rPr>
        <w:t xml:space="preserve">O in the green scenario </w:t>
      </w:r>
      <w:r w:rsidR="00F83147">
        <w:rPr>
          <w:rFonts w:ascii="Arial" w:hAnsi="Arial" w:cs="Arial"/>
          <w:sz w:val="20"/>
          <w:szCs w:val="20"/>
        </w:rPr>
        <w:t>decrease</w:t>
      </w:r>
      <w:bookmarkStart w:id="0" w:name="_GoBack"/>
      <w:bookmarkEnd w:id="0"/>
      <w:r w:rsidRPr="00F83147">
        <w:rPr>
          <w:rFonts w:ascii="Arial" w:hAnsi="Arial" w:cs="Arial"/>
          <w:sz w:val="20"/>
          <w:szCs w:val="20"/>
        </w:rPr>
        <w:t xml:space="preserve"> to 0.1 kgCO</w:t>
      </w:r>
      <w:r w:rsidRPr="00F83147">
        <w:rPr>
          <w:rFonts w:ascii="Arial" w:hAnsi="Arial" w:cs="Arial"/>
          <w:sz w:val="20"/>
          <w:szCs w:val="20"/>
          <w:vertAlign w:val="subscript"/>
        </w:rPr>
        <w:t>2</w:t>
      </w:r>
      <w:r w:rsidRPr="00F83147">
        <w:rPr>
          <w:rFonts w:ascii="Arial" w:hAnsi="Arial" w:cs="Arial"/>
          <w:sz w:val="20"/>
          <w:szCs w:val="20"/>
        </w:rPr>
        <w:t>e per kg, while H</w:t>
      </w:r>
      <w:r w:rsidRPr="00F83147">
        <w:rPr>
          <w:rFonts w:ascii="Arial" w:hAnsi="Arial" w:cs="Arial"/>
          <w:sz w:val="20"/>
          <w:szCs w:val="20"/>
          <w:vertAlign w:val="subscript"/>
        </w:rPr>
        <w:t>2</w:t>
      </w:r>
      <w:r w:rsidRPr="00F83147">
        <w:rPr>
          <w:rFonts w:ascii="Arial" w:hAnsi="Arial" w:cs="Arial"/>
          <w:sz w:val="20"/>
          <w:szCs w:val="20"/>
        </w:rPr>
        <w:t>O</w:t>
      </w:r>
      <w:r w:rsidRPr="00F83147">
        <w:rPr>
          <w:rFonts w:ascii="Arial" w:hAnsi="Arial" w:cs="Arial"/>
          <w:sz w:val="20"/>
          <w:szCs w:val="20"/>
          <w:vertAlign w:val="subscript"/>
        </w:rPr>
        <w:t>2</w:t>
      </w:r>
      <w:r w:rsidRPr="00F83147">
        <w:rPr>
          <w:rFonts w:ascii="Arial" w:hAnsi="Arial" w:cs="Arial"/>
          <w:sz w:val="20"/>
          <w:szCs w:val="20"/>
        </w:rPr>
        <w:t xml:space="preserve"> remains at 0.3 kgCO</w:t>
      </w:r>
      <w:r w:rsidRPr="00F83147">
        <w:rPr>
          <w:rFonts w:ascii="Arial" w:hAnsi="Arial" w:cs="Arial"/>
          <w:sz w:val="20"/>
          <w:szCs w:val="20"/>
          <w:vertAlign w:val="subscript"/>
        </w:rPr>
        <w:t>2</w:t>
      </w:r>
      <w:r w:rsidRPr="00F83147">
        <w:rPr>
          <w:rFonts w:ascii="Arial" w:hAnsi="Arial" w:cs="Arial"/>
          <w:sz w:val="20"/>
          <w:szCs w:val="20"/>
        </w:rPr>
        <w:t>e per kg.</w:t>
      </w:r>
    </w:p>
    <w:p w:rsidR="00633531" w:rsidRPr="00F83147" w:rsidRDefault="00633531" w:rsidP="00F83147">
      <w:pPr>
        <w:pStyle w:val="ListParagraph"/>
        <w:numPr>
          <w:ilvl w:val="0"/>
          <w:numId w:val="1"/>
        </w:numPr>
        <w:spacing w:after="120" w:line="360" w:lineRule="auto"/>
        <w:jc w:val="both"/>
        <w:rPr>
          <w:rFonts w:ascii="Arial" w:hAnsi="Arial" w:cs="Arial"/>
          <w:sz w:val="20"/>
          <w:szCs w:val="20"/>
        </w:rPr>
      </w:pPr>
      <w:r w:rsidRPr="00F83147">
        <w:rPr>
          <w:rFonts w:ascii="Arial" w:hAnsi="Arial" w:cs="Arial"/>
          <w:sz w:val="20"/>
          <w:szCs w:val="20"/>
        </w:rPr>
        <w:t>The contribution of catalysts (Au for N</w:t>
      </w:r>
      <w:r w:rsidRPr="00F83147">
        <w:rPr>
          <w:rFonts w:ascii="Arial" w:hAnsi="Arial" w:cs="Arial"/>
          <w:sz w:val="20"/>
          <w:szCs w:val="20"/>
          <w:vertAlign w:val="subscript"/>
        </w:rPr>
        <w:t>2</w:t>
      </w:r>
      <w:r w:rsidRPr="00F83147">
        <w:rPr>
          <w:rFonts w:ascii="Arial" w:hAnsi="Arial" w:cs="Arial"/>
          <w:sz w:val="20"/>
          <w:szCs w:val="20"/>
        </w:rPr>
        <w:t>O and Pd for H</w:t>
      </w:r>
      <w:r w:rsidRPr="00F83147">
        <w:rPr>
          <w:rFonts w:ascii="Arial" w:hAnsi="Arial" w:cs="Arial"/>
          <w:sz w:val="20"/>
          <w:szCs w:val="20"/>
          <w:vertAlign w:val="subscript"/>
        </w:rPr>
        <w:t>2</w:t>
      </w:r>
      <w:r w:rsidRPr="00F83147">
        <w:rPr>
          <w:rFonts w:ascii="Arial" w:hAnsi="Arial" w:cs="Arial"/>
          <w:sz w:val="20"/>
          <w:szCs w:val="20"/>
        </w:rPr>
        <w:t>O</w:t>
      </w:r>
      <w:r w:rsidRPr="00F83147">
        <w:rPr>
          <w:rFonts w:ascii="Arial" w:hAnsi="Arial" w:cs="Arial"/>
          <w:sz w:val="20"/>
          <w:szCs w:val="20"/>
          <w:vertAlign w:val="subscript"/>
        </w:rPr>
        <w:t>2</w:t>
      </w:r>
      <w:r w:rsidRPr="00F83147">
        <w:rPr>
          <w:rFonts w:ascii="Arial" w:hAnsi="Arial" w:cs="Arial"/>
          <w:sz w:val="20"/>
          <w:szCs w:val="20"/>
        </w:rPr>
        <w:t>) has a negligible effect on both production costs and climate change impacts.</w:t>
      </w:r>
    </w:p>
    <w:sectPr w:rsidR="00633531" w:rsidRPr="00F83147">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C925C0"/>
    <w:multiLevelType w:val="hybridMultilevel"/>
    <w:tmpl w:val="DAAEC4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B94"/>
    <w:rsid w:val="003A77C6"/>
    <w:rsid w:val="0053425B"/>
    <w:rsid w:val="00633531"/>
    <w:rsid w:val="006C1B94"/>
    <w:rsid w:val="00B43774"/>
    <w:rsid w:val="00D0034A"/>
    <w:rsid w:val="00DE182F"/>
    <w:rsid w:val="00E4448B"/>
    <w:rsid w:val="00F831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C94CD"/>
  <w14:defaultImageDpi w14:val="32767"/>
  <w15:chartTrackingRefBased/>
  <w15:docId w15:val="{62D16F97-C551-4DDC-95AB-4141ECE8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44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4</cp:revision>
  <dcterms:created xsi:type="dcterms:W3CDTF">2025-04-14T16:02:00Z</dcterms:created>
  <dcterms:modified xsi:type="dcterms:W3CDTF">2025-04-14T21:41:00Z</dcterms:modified>
</cp:coreProperties>
</file>