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7457" w:rsidRPr="003B0211" w:rsidRDefault="00CB00D9" w:rsidP="006D65E3">
      <w:pPr>
        <w:pStyle w:val="TitleAbstractICC2024"/>
      </w:pPr>
      <w:r>
        <w:t xml:space="preserve">The evolution of </w:t>
      </w:r>
      <w:r w:rsidR="00667466">
        <w:t xml:space="preserve">environmental impacts of </w:t>
      </w:r>
      <w:r w:rsidR="00106AB0">
        <w:t xml:space="preserve">platform chemicals </w:t>
      </w:r>
      <w:r>
        <w:t>linked</w:t>
      </w:r>
      <w:r w:rsidR="00106AB0">
        <w:t xml:space="preserve"> to climate policies</w:t>
      </w:r>
    </w:p>
    <w:p w:rsidR="005B7457" w:rsidRPr="003B0211" w:rsidRDefault="005B7457">
      <w:pPr>
        <w:jc w:val="center"/>
        <w:rPr>
          <w:rFonts w:ascii="Calibri" w:hAnsi="Calibri" w:cs="Calibri"/>
          <w:sz w:val="16"/>
        </w:rPr>
      </w:pPr>
    </w:p>
    <w:p w:rsidR="005B7457" w:rsidRPr="003B0211" w:rsidRDefault="00496959">
      <w:pPr>
        <w:pStyle w:val="AuthorsNACS"/>
        <w:rPr>
          <w:rFonts w:ascii="Calibri" w:hAnsi="Calibri" w:cs="Calibri"/>
        </w:rPr>
      </w:pPr>
      <w:r>
        <w:rPr>
          <w:rFonts w:ascii="Calibri" w:hAnsi="Calibri" w:cs="Calibri"/>
          <w:u w:val="single"/>
        </w:rPr>
        <w:t>Abhinandan Nabera</w:t>
      </w:r>
      <w:r w:rsidR="005B7457" w:rsidRPr="003B0211">
        <w:rPr>
          <w:rFonts w:ascii="Calibri" w:hAnsi="Calibri" w:cs="Calibri"/>
          <w:vertAlign w:val="superscript"/>
        </w:rPr>
        <w:t>1</w:t>
      </w:r>
      <w:r w:rsidR="00AD715F">
        <w:rPr>
          <w:rFonts w:ascii="Calibri" w:hAnsi="Calibri" w:cs="Calibri"/>
        </w:rPr>
        <w:t xml:space="preserve">, </w:t>
      </w:r>
      <w:r w:rsidRPr="00496959">
        <w:rPr>
          <w:rFonts w:ascii="Calibri" w:hAnsi="Calibri" w:cs="Calibri"/>
        </w:rPr>
        <w:t>Antonio José Martín</w:t>
      </w:r>
      <w:r w:rsidRPr="003B0211">
        <w:rPr>
          <w:rFonts w:ascii="Calibri" w:hAnsi="Calibri" w:cs="Calibri"/>
          <w:vertAlign w:val="superscript"/>
        </w:rPr>
        <w:t>1</w:t>
      </w:r>
      <w:r w:rsidR="00C62C41">
        <w:rPr>
          <w:rFonts w:ascii="Calibri" w:hAnsi="Calibri" w:cs="Calibri"/>
        </w:rPr>
        <w:t>, Ioan</w:t>
      </w:r>
      <w:r w:rsidR="00C62C41">
        <w:rPr>
          <w:rFonts w:ascii="Calibri" w:hAnsi="Calibri" w:cs="Calibri"/>
        </w:rPr>
        <w:noBreakHyphen/>
        <w:t>Robert Istrate</w:t>
      </w:r>
      <w:r w:rsidR="00C62C41" w:rsidRPr="00496959">
        <w:rPr>
          <w:rFonts w:ascii="Calibri" w:hAnsi="Calibri" w:cs="Calibri"/>
          <w:vertAlign w:val="superscript"/>
        </w:rPr>
        <w:t>2</w:t>
      </w:r>
      <w:r w:rsidR="00C62C41" w:rsidRPr="003B0211">
        <w:rPr>
          <w:rFonts w:ascii="Calibri" w:hAnsi="Calibri" w:cs="Calibri"/>
        </w:rPr>
        <w:t>,</w:t>
      </w:r>
      <w:r w:rsidR="00C62C41">
        <w:rPr>
          <w:rFonts w:ascii="Calibri" w:hAnsi="Calibri" w:cs="Calibri"/>
        </w:rPr>
        <w:t xml:space="preserve"> </w:t>
      </w:r>
      <w:r w:rsidRPr="00496959">
        <w:rPr>
          <w:rFonts w:ascii="Calibri" w:hAnsi="Calibri" w:cs="Calibri"/>
        </w:rPr>
        <w:t>Javier Pérez</w:t>
      </w:r>
      <w:r w:rsidR="00951443">
        <w:rPr>
          <w:rFonts w:ascii="Calibri" w:hAnsi="Calibri" w:cs="Calibri"/>
        </w:rPr>
        <w:noBreakHyphen/>
      </w:r>
      <w:r w:rsidRPr="00496959">
        <w:rPr>
          <w:rFonts w:ascii="Calibri" w:hAnsi="Calibri" w:cs="Calibri"/>
        </w:rPr>
        <w:t>Ramírez</w:t>
      </w:r>
      <w:r>
        <w:rPr>
          <w:rFonts w:ascii="Calibri" w:hAnsi="Calibri" w:cs="Calibri"/>
          <w:vertAlign w:val="superscript"/>
        </w:rPr>
        <w:t>1</w:t>
      </w:r>
      <w:r w:rsidR="005B7457" w:rsidRPr="003B0211">
        <w:rPr>
          <w:rFonts w:ascii="Calibri" w:hAnsi="Calibri" w:cs="Calibri"/>
        </w:rPr>
        <w:t>*</w:t>
      </w:r>
      <w:r w:rsidRPr="003B0211">
        <w:rPr>
          <w:rFonts w:ascii="Calibri" w:hAnsi="Calibri" w:cs="Calibri"/>
        </w:rPr>
        <w:t xml:space="preserve">, </w:t>
      </w:r>
      <w:r w:rsidRPr="00496959">
        <w:rPr>
          <w:rFonts w:ascii="Calibri" w:hAnsi="Calibri" w:cs="Calibri"/>
        </w:rPr>
        <w:t>Gonzalo Guillén</w:t>
      </w:r>
      <w:r w:rsidR="00EA1785">
        <w:rPr>
          <w:rFonts w:ascii="Calibri" w:hAnsi="Calibri" w:cs="Calibri"/>
        </w:rPr>
        <w:noBreakHyphen/>
      </w:r>
      <w:r w:rsidRPr="00496959">
        <w:rPr>
          <w:rFonts w:ascii="Calibri" w:hAnsi="Calibri" w:cs="Calibri"/>
        </w:rPr>
        <w:t>Gosálbez</w:t>
      </w:r>
      <w:r>
        <w:rPr>
          <w:rFonts w:ascii="Calibri" w:hAnsi="Calibri" w:cs="Calibri"/>
          <w:vertAlign w:val="superscript"/>
        </w:rPr>
        <w:t>1</w:t>
      </w:r>
      <w:r w:rsidRPr="003B0211">
        <w:rPr>
          <w:rFonts w:ascii="Calibri" w:hAnsi="Calibri" w:cs="Calibri"/>
        </w:rPr>
        <w:t>*</w:t>
      </w:r>
    </w:p>
    <w:p w:rsidR="005B7457" w:rsidRPr="003B0211" w:rsidRDefault="005B7457" w:rsidP="00496959">
      <w:pPr>
        <w:pStyle w:val="AuthorAddressNACS"/>
        <w:rPr>
          <w:rFonts w:ascii="Calibri" w:hAnsi="Calibri" w:cs="Calibri"/>
        </w:rPr>
      </w:pPr>
      <w:r w:rsidRPr="003B0211">
        <w:rPr>
          <w:rFonts w:ascii="Calibri" w:hAnsi="Calibri" w:cs="Calibri"/>
          <w:vertAlign w:val="superscript"/>
        </w:rPr>
        <w:t>1</w:t>
      </w:r>
      <w:r w:rsidR="00496959" w:rsidRPr="00122F3B">
        <w:rPr>
          <w:rFonts w:ascii="Calibri" w:hAnsi="Calibri" w:cs="Calibri"/>
        </w:rPr>
        <w:t>Department of Chemistry and Applied Biosciences, ETH Zurich</w:t>
      </w:r>
      <w:r w:rsidR="00496959" w:rsidRPr="003B0211">
        <w:rPr>
          <w:rFonts w:ascii="Calibri" w:hAnsi="Calibri" w:cs="Calibri"/>
        </w:rPr>
        <w:t xml:space="preserve">, </w:t>
      </w:r>
      <w:r w:rsidR="00496959">
        <w:rPr>
          <w:rFonts w:ascii="Calibri" w:hAnsi="Calibri" w:cs="Calibri"/>
        </w:rPr>
        <w:t>8093</w:t>
      </w:r>
      <w:r w:rsidR="00496959" w:rsidRPr="003B0211">
        <w:rPr>
          <w:rFonts w:ascii="Calibri" w:hAnsi="Calibri" w:cs="Calibri"/>
        </w:rPr>
        <w:t xml:space="preserve"> </w:t>
      </w:r>
      <w:r w:rsidR="00496959">
        <w:rPr>
          <w:rFonts w:ascii="Calibri" w:hAnsi="Calibri" w:cs="Calibri"/>
        </w:rPr>
        <w:t>Zurich</w:t>
      </w:r>
      <w:r w:rsidR="00496959" w:rsidRPr="003B0211">
        <w:rPr>
          <w:rFonts w:ascii="Calibri" w:hAnsi="Calibri" w:cs="Calibri"/>
        </w:rPr>
        <w:t xml:space="preserve">, </w:t>
      </w:r>
      <w:r w:rsidR="00496959">
        <w:rPr>
          <w:rFonts w:ascii="Calibri" w:hAnsi="Calibri" w:cs="Calibri"/>
        </w:rPr>
        <w:t>Switzerland</w:t>
      </w:r>
    </w:p>
    <w:p w:rsidR="005B7457" w:rsidRPr="003B0211" w:rsidRDefault="005B7457" w:rsidP="008D5791">
      <w:pPr>
        <w:pStyle w:val="AuthorAddressNACS"/>
        <w:rPr>
          <w:rFonts w:ascii="Calibri" w:hAnsi="Calibri" w:cs="Calibri"/>
        </w:rPr>
      </w:pPr>
      <w:r w:rsidRPr="003B0211">
        <w:rPr>
          <w:rFonts w:ascii="Calibri" w:hAnsi="Calibri" w:cs="Calibri"/>
          <w:vertAlign w:val="superscript"/>
        </w:rPr>
        <w:t>2</w:t>
      </w:r>
      <w:r w:rsidR="008D5791" w:rsidRPr="008D5791">
        <w:rPr>
          <w:rFonts w:ascii="Calibri" w:hAnsi="Calibri" w:cs="Calibri"/>
        </w:rPr>
        <w:t>Institute of Environmental Sciences (CML), Leiden University, 2333 CC Leiden, The Netherlands</w:t>
      </w:r>
    </w:p>
    <w:p w:rsidR="005B7457" w:rsidRPr="00496959" w:rsidRDefault="000D0A63">
      <w:pPr>
        <w:jc w:val="center"/>
        <w:rPr>
          <w:rFonts w:ascii="Calibri" w:hAnsi="Calibri" w:cs="Calibri"/>
          <w:sz w:val="16"/>
        </w:rPr>
      </w:pPr>
      <w:hyperlink r:id="rId8" w:history="1">
        <w:r w:rsidR="00496959" w:rsidRPr="00496959">
          <w:rPr>
            <w:rStyle w:val="Hyperlink"/>
            <w:rFonts w:ascii="Calibri" w:hAnsi="Calibri" w:cs="Calibri"/>
            <w:color w:val="auto"/>
            <w:sz w:val="16"/>
            <w:u w:val="none"/>
          </w:rPr>
          <w:t>*jpr@chem.ethz.ch</w:t>
        </w:r>
      </w:hyperlink>
      <w:r w:rsidR="00496959" w:rsidRPr="00496959">
        <w:rPr>
          <w:rFonts w:ascii="Calibri" w:hAnsi="Calibri" w:cs="Calibri"/>
          <w:sz w:val="16"/>
        </w:rPr>
        <w:t>, gonzalo.guillen.gosalbez@chem.ethz.ch</w:t>
      </w:r>
    </w:p>
    <w:p w:rsidR="005B7457" w:rsidRPr="003B0211" w:rsidRDefault="005B7457">
      <w:pPr>
        <w:jc w:val="center"/>
        <w:rPr>
          <w:rFonts w:ascii="Calibri" w:hAnsi="Calibri" w:cs="Calibri"/>
          <w:sz w:val="16"/>
        </w:rPr>
      </w:pPr>
    </w:p>
    <w:p w:rsidR="005B7457" w:rsidRPr="003B0211" w:rsidRDefault="005B7457">
      <w:pPr>
        <w:jc w:val="center"/>
        <w:rPr>
          <w:rFonts w:ascii="Calibri" w:hAnsi="Calibri" w:cs="Calibri"/>
          <w:sz w:val="16"/>
        </w:rPr>
      </w:pPr>
    </w:p>
    <w:p w:rsidR="005B7457" w:rsidRPr="003B0211" w:rsidRDefault="005B7457" w:rsidP="00313932">
      <w:pPr>
        <w:pStyle w:val="SubtitleAbstractICC2024"/>
      </w:pPr>
      <w:r w:rsidRPr="003B0211">
        <w:t>Introduction</w:t>
      </w:r>
    </w:p>
    <w:p w:rsidR="005B7457" w:rsidRPr="003B0211" w:rsidRDefault="006A3B2F" w:rsidP="00BC44B5">
      <w:pPr>
        <w:pStyle w:val="ParagraphAbstractICC2024"/>
      </w:pPr>
      <w:r>
        <w:t xml:space="preserve">Traditional production pathways of platform chemicals like ammonia and methanol are </w:t>
      </w:r>
      <w:r w:rsidR="00A96748">
        <w:t xml:space="preserve">catalytic processes </w:t>
      </w:r>
      <w:r>
        <w:t>heavily dependent on fossil fuels, resulting in significant CO</w:t>
      </w:r>
      <w:r w:rsidRPr="006A3B2F">
        <w:rPr>
          <w:vertAlign w:val="subscript"/>
        </w:rPr>
        <w:t>2</w:t>
      </w:r>
      <w:r>
        <w:t xml:space="preserve"> emissions (560 </w:t>
      </w:r>
      <w:r w:rsidR="00CD6E3E">
        <w:t>M</w:t>
      </w:r>
      <w:r>
        <w:t>t y</w:t>
      </w:r>
      <w:r w:rsidRPr="006A3B2F">
        <w:rPr>
          <w:vertAlign w:val="superscript"/>
        </w:rPr>
        <w:t>–1</w:t>
      </w:r>
      <w:r>
        <w:t>).</w:t>
      </w:r>
      <w:r w:rsidR="00933155">
        <w:fldChar w:fldCharType="begin"/>
      </w:r>
      <w:r w:rsidR="00933155">
        <w:instrText xml:space="preserve"> ADDIN ZOTERO_ITEM CSL_CITATION {"citationID":"4hgUOFL4","properties":{"formattedCitation":"\\super 1\\nosupersub{}","plainCitation":"1","noteIndex":0},"citationItems":[{"id":297,"uris":["http://zotero.org/users/local/gMmtBwrT/items/736BXPD2"],"itemData":{"id":297,"type":"article-journal","abstract":"The chemical industry is responsible for about 5% of global CO2 emissions and is key to achieving net-zero targets. Decarbonizing this industry, nevertheless, faces particular challenges given the widespread use of carbon-rich raw materials, the need for high-temperature heat, and the complex global value chains. Multiple technology routes are now available for producing chemicals with net-zero CO2 emissions based on biomass, recycling, and carbon capture, utilization, and storage. However, the extent to which these routes are viable with respect to local availability of energy and natural resources remains unclear. In this review, we compare net-zero routes by quantifying their energy, land, and water requirements and the corresponding induced resource scarcity at the country level and further discuss the technical and environmental viability of a net-zero chemical industry. We ﬁnd that a net-zero chemical industry will require location-speciﬁc integrated solutions that combine net-zero routes with circular approaches and demand-side measures and might result in a reshaping of the global chemicals trade.","container-title":"One Earth","DOI":"10.1016/j.oneear.2023.05.006","ISSN":"25903322","issue":"6","journalAbbreviation":"One Earth","language":"en","page":"682-704","source":"DOI.org (Crossref)","title":"Net-zero emissions chemical industry in a world of limited resources","volume":"6","author":[{"family":"Gabrielli","given":"Paolo"},{"family":"Rosa","given":"Lorenzo"},{"family":"Gazzani","given":"Matteo"},{"family":"Meys","given":"Raoul"},{"family":"Bardow","given":"André"},{"family":"Mazzotti","given":"Marco"},{"family":"Sansavini","given":"Giovanni"}],"issued":{"date-parts":[["2023",6]]}}}],"schema":"https://github.com/citation-style-language/schema/raw/master/csl-citation.json"} </w:instrText>
      </w:r>
      <w:r w:rsidR="00933155">
        <w:fldChar w:fldCharType="separate"/>
      </w:r>
      <w:r w:rsidR="00933155" w:rsidRPr="00933155">
        <w:rPr>
          <w:szCs w:val="24"/>
          <w:vertAlign w:val="superscript"/>
        </w:rPr>
        <w:t>1</w:t>
      </w:r>
      <w:r w:rsidR="00933155">
        <w:fldChar w:fldCharType="end"/>
      </w:r>
      <w:r>
        <w:t xml:space="preserve"> In </w:t>
      </w:r>
      <w:r w:rsidR="006E5D1D">
        <w:t xml:space="preserve">recent years, </w:t>
      </w:r>
      <w:r w:rsidR="00A96748">
        <w:t xml:space="preserve">emerging </w:t>
      </w:r>
      <w:r w:rsidR="006E5D1D">
        <w:t xml:space="preserve">catalytic technologies have played a crucial role in advancing </w:t>
      </w:r>
      <w:r>
        <w:t>low</w:t>
      </w:r>
      <w:r>
        <w:noBreakHyphen/>
        <w:t>carbon production routes</w:t>
      </w:r>
      <w:r w:rsidR="006E5D1D">
        <w:t xml:space="preserve"> for these chemicals</w:t>
      </w:r>
      <w:r>
        <w:t xml:space="preserve">, </w:t>
      </w:r>
      <w:r w:rsidR="00D923F4">
        <w:t>with</w:t>
      </w:r>
      <w:r>
        <w:t xml:space="preserve"> their environmental performance</w:t>
      </w:r>
      <w:r w:rsidR="00315382">
        <w:t xml:space="preserve"> </w:t>
      </w:r>
      <w:r>
        <w:t>evaluated through life cycle assessments (LCAs).</w:t>
      </w:r>
      <w:r w:rsidR="00772D80">
        <w:fldChar w:fldCharType="begin"/>
      </w:r>
      <w:r w:rsidR="00772D80">
        <w:instrText xml:space="preserve"> ADDIN ZOTERO_ITEM CSL_CITATION {"citationID":"ZHW7Pu5Y","properties":{"formattedCitation":"\\super 2,3\\nosupersub{}","plainCitation":"2,3","noteIndex":0},"citationItems":[{"id":301,"uris":["http://zotero.org/users/local/gMmtBwrT/items/PZCWKF83"],"itemData":{"id":301,"type":"article-journal","abstract":"At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142,"uris":["http://zotero.org/users/local/gMmtBwrT/items/MPWNAVKB"],"itemData":{"id":142,"type":"article-journal","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and Environmental Science","DOI":"10.1039/c9ee01673b","ISSN":"17545706","issue":"12","note":"publisher: Royal Society of Chemistry","page":"3425-3436","title":"Plant-to-planet analysis of CO2-based methanol processes","volume":"12","author":[{"family":"González-Garay","given":"Andrés"},{"family":"Frei","given":"Matthias S."},{"family":"Al-Qahtani","given":"Amjad"},{"family":"Mondelli","given":"Cecilia"},{"family":"Guillén-Gosálbez","given":"Gonzalo"},{"family":"Pérez-Ramírez","given":"Javier"}],"issued":{"date-parts":[["2019",12,1]]}}}],"schema":"https://github.com/citation-style-language/schema/raw/master/csl-citation.json"} </w:instrText>
      </w:r>
      <w:r w:rsidR="00772D80">
        <w:fldChar w:fldCharType="separate"/>
      </w:r>
      <w:r w:rsidR="00772D80" w:rsidRPr="00772D80">
        <w:rPr>
          <w:szCs w:val="24"/>
          <w:vertAlign w:val="superscript"/>
        </w:rPr>
        <w:t>2,3</w:t>
      </w:r>
      <w:r w:rsidR="00772D80">
        <w:fldChar w:fldCharType="end"/>
      </w:r>
      <w:r>
        <w:t xml:space="preserve"> However, </w:t>
      </w:r>
      <w:r w:rsidR="0062718A">
        <w:t xml:space="preserve">the targets set by </w:t>
      </w:r>
      <w:bookmarkStart w:id="0" w:name="_GoBack"/>
      <w:bookmarkEnd w:id="0"/>
      <w:r w:rsidR="0062718A">
        <w:t>climate policies will</w:t>
      </w:r>
      <w:r>
        <w:t xml:space="preserve"> necessitate substantial changes in the economy, including the decarbonization of energy production and transportation. </w:t>
      </w:r>
      <w:r w:rsidR="0062718A">
        <w:t xml:space="preserve">Neglecting these future technological changes </w:t>
      </w:r>
      <w:r w:rsidR="00C87252">
        <w:t xml:space="preserve">when </w:t>
      </w:r>
      <w:r w:rsidR="0062718A">
        <w:t xml:space="preserve">assessing </w:t>
      </w:r>
      <w:r w:rsidR="00C87252">
        <w:t xml:space="preserve">the </w:t>
      </w:r>
      <w:r w:rsidR="0062718A">
        <w:t xml:space="preserve">environmental impacts of chemicals can </w:t>
      </w:r>
      <w:r w:rsidR="00C87252">
        <w:t>result in</w:t>
      </w:r>
      <w:r w:rsidR="0062718A">
        <w:t xml:space="preserve"> misleading conclusions and guidance. </w:t>
      </w:r>
      <w:r>
        <w:t xml:space="preserve">Hence, in this work, we conduct a </w:t>
      </w:r>
      <w:r w:rsidR="00AD04CF">
        <w:t xml:space="preserve">regionalized </w:t>
      </w:r>
      <w:r>
        <w:t xml:space="preserve">prospective life cycle assessment </w:t>
      </w:r>
      <w:r w:rsidR="005E7755">
        <w:t xml:space="preserve">(pLCA) </w:t>
      </w:r>
      <w:r>
        <w:t xml:space="preserve">until 2050 to investigate </w:t>
      </w:r>
      <w:r w:rsidR="00B053B4">
        <w:t>how</w:t>
      </w:r>
      <w:r>
        <w:t xml:space="preserve"> future economic trends </w:t>
      </w:r>
      <w:r w:rsidR="00D3581A">
        <w:t xml:space="preserve">linked to climate policies </w:t>
      </w:r>
      <w:r>
        <w:t xml:space="preserve">could </w:t>
      </w:r>
      <w:r w:rsidR="00C94183">
        <w:t>impact</w:t>
      </w:r>
      <w:r>
        <w:t xml:space="preserve"> the environmental </w:t>
      </w:r>
      <w:r w:rsidR="00C94183">
        <w:t>footprint</w:t>
      </w:r>
      <w:r>
        <w:t xml:space="preserve"> of </w:t>
      </w:r>
      <w:r w:rsidR="00F2712B">
        <w:t xml:space="preserve">catalytic </w:t>
      </w:r>
      <w:r>
        <w:t xml:space="preserve">chemical </w:t>
      </w:r>
      <w:r w:rsidR="00C94183">
        <w:t xml:space="preserve">production </w:t>
      </w:r>
      <w:r>
        <w:t>routes.</w:t>
      </w:r>
    </w:p>
    <w:p w:rsidR="005B7457" w:rsidRPr="003B0211" w:rsidRDefault="005B7457">
      <w:pPr>
        <w:rPr>
          <w:rFonts w:ascii="Calibri" w:hAnsi="Calibri" w:cs="Calibri"/>
          <w:sz w:val="16"/>
        </w:rPr>
      </w:pPr>
    </w:p>
    <w:p w:rsidR="005B7457" w:rsidRPr="003B0211" w:rsidRDefault="005B7457">
      <w:pPr>
        <w:pStyle w:val="SectionHeadingNACS"/>
        <w:rPr>
          <w:rFonts w:ascii="Calibri" w:hAnsi="Calibri" w:cs="Calibri"/>
        </w:rPr>
      </w:pPr>
      <w:r w:rsidRPr="003B0211">
        <w:rPr>
          <w:rFonts w:ascii="Calibri" w:hAnsi="Calibri" w:cs="Calibri"/>
        </w:rPr>
        <w:t>Methods</w:t>
      </w:r>
    </w:p>
    <w:p w:rsidR="005B7457" w:rsidRPr="00E3034A" w:rsidRDefault="00E3034A" w:rsidP="00BC44B5">
      <w:pPr>
        <w:pStyle w:val="ParagraphAbstractICC2024"/>
      </w:pPr>
      <w:r>
        <w:t xml:space="preserve">We </w:t>
      </w:r>
      <w:r w:rsidR="00C94183">
        <w:t xml:space="preserve">utilize </w:t>
      </w:r>
      <w:r w:rsidR="00C915AC">
        <w:t>the IMAGE</w:t>
      </w:r>
      <w:r w:rsidR="00C915AC">
        <w:fldChar w:fldCharType="begin"/>
      </w:r>
      <w:r w:rsidR="00C915AC">
        <w:instrText xml:space="preserve"> ADDIN ZOTERO_ITEM CSL_CITATION {"citationID":"0E2rd5wh","properties":{"formattedCitation":"\\super 4\\nosupersub{}","plainCitation":"4","noteIndex":0},"citationItems":[{"id":289,"uris":["http://zotero.org/users/local/gMmtBwrT/items/2K4ECVXA"],"itemData":{"id":289,"type":"article-journal","abstract":"Prospective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C915AC">
        <w:fldChar w:fldCharType="separate"/>
      </w:r>
      <w:r w:rsidR="00C915AC" w:rsidRPr="002B6CE0">
        <w:rPr>
          <w:szCs w:val="24"/>
          <w:vertAlign w:val="superscript"/>
        </w:rPr>
        <w:t>4</w:t>
      </w:r>
      <w:r w:rsidR="00C915AC">
        <w:fldChar w:fldCharType="end"/>
      </w:r>
      <w:r w:rsidR="00546A8F">
        <w:t xml:space="preserve"> </w:t>
      </w:r>
      <w:r w:rsidR="00C94183">
        <w:t>Integrated Assessment Model (IAM</w:t>
      </w:r>
      <w:r w:rsidR="00C915AC">
        <w:t>)</w:t>
      </w:r>
      <w:r w:rsidR="00C94183">
        <w:t xml:space="preserve"> to quantify the environmental impacts of fossil and green</w:t>
      </w:r>
      <w:r w:rsidR="008F3C26">
        <w:t xml:space="preserve"> routes for</w:t>
      </w:r>
      <w:r w:rsidR="00241CDF">
        <w:t xml:space="preserve"> </w:t>
      </w:r>
      <w:r w:rsidR="00C94183">
        <w:t>ammonia and methanol production</w:t>
      </w:r>
      <w:r>
        <w:t>. This allows to project future economic scenarios and offer</w:t>
      </w:r>
      <w:r w:rsidR="00DA20A9">
        <w:t>s</w:t>
      </w:r>
      <w:r>
        <w:t xml:space="preserve"> insights into the environmental impacts based on expected socio</w:t>
      </w:r>
      <w:r>
        <w:noBreakHyphen/>
        <w:t>economic and technological developments. Specifically, we adopt the intermediate shared socio</w:t>
      </w:r>
      <w:r>
        <w:noBreakHyphen/>
        <w:t xml:space="preserve">economic pathway (SSP2) and consider various representative concentration pathways (RCPs), including RCP6, RCP2.6, and RCP1.9, to generate a range of scenarios reflecting economic changes. To construct inventories for pLCAs spanning from 2020 to 2050, we employ the </w:t>
      </w:r>
      <w:r>
        <w:rPr>
          <w:i/>
        </w:rPr>
        <w:t>premise</w:t>
      </w:r>
      <w:r w:rsidR="00933155">
        <w:rPr>
          <w:i/>
        </w:rPr>
        <w:fldChar w:fldCharType="begin"/>
      </w:r>
      <w:r w:rsidR="00933155">
        <w:rPr>
          <w:i/>
        </w:rPr>
        <w:instrText xml:space="preserve"> ADDIN ZOTERO_ITEM CSL_CITATION {"citationID":"ZP512py6","properties":{"formattedCitation":"\\super 4\\nosupersub{}","plainCitation":"4","noteIndex":0},"citationItems":[{"id":289,"uris":["http://zotero.org/users/local/gMmtBwrT/items/2K4ECVXA"],"itemData":{"id":289,"type":"article-journal","abstract":"Prospective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933155">
        <w:rPr>
          <w:i/>
        </w:rPr>
        <w:fldChar w:fldCharType="separate"/>
      </w:r>
      <w:r w:rsidR="00933155" w:rsidRPr="00933155">
        <w:rPr>
          <w:szCs w:val="24"/>
          <w:vertAlign w:val="superscript"/>
        </w:rPr>
        <w:t>4</w:t>
      </w:r>
      <w:r w:rsidR="00933155">
        <w:rPr>
          <w:i/>
        </w:rPr>
        <w:fldChar w:fldCharType="end"/>
      </w:r>
      <w:r>
        <w:rPr>
          <w:i/>
        </w:rPr>
        <w:t xml:space="preserve"> </w:t>
      </w:r>
      <w:r>
        <w:t xml:space="preserve">(v1.5.9) framework. Furthermore, we </w:t>
      </w:r>
      <w:r w:rsidR="00C94183">
        <w:t>e</w:t>
      </w:r>
      <w:r w:rsidR="008F3C26">
        <w:t>xpand</w:t>
      </w:r>
      <w:r>
        <w:t xml:space="preserve"> the temporal resolution for the production of these chemicals to 26 regions worldwide, </w:t>
      </w:r>
      <w:r w:rsidR="001B6D94">
        <w:t>considering</w:t>
      </w:r>
      <w:r>
        <w:t xml:space="preserve"> location</w:t>
      </w:r>
      <w:r>
        <w:noBreakHyphen/>
        <w:t>specific temporal profiles.</w:t>
      </w:r>
    </w:p>
    <w:p w:rsidR="005B7457" w:rsidRPr="003B0211" w:rsidRDefault="005B7457">
      <w:pPr>
        <w:pStyle w:val="SectionHeadingNACS"/>
        <w:rPr>
          <w:rFonts w:ascii="Calibri" w:hAnsi="Calibri" w:cs="Calibri"/>
        </w:rPr>
      </w:pPr>
    </w:p>
    <w:p w:rsidR="005B7457" w:rsidRPr="003B0211" w:rsidRDefault="005B7457">
      <w:pPr>
        <w:pStyle w:val="SectionHeadingNACS"/>
        <w:rPr>
          <w:rFonts w:ascii="Calibri" w:hAnsi="Calibri" w:cs="Calibri"/>
        </w:rPr>
      </w:pPr>
      <w:r w:rsidRPr="003B0211">
        <w:rPr>
          <w:rFonts w:ascii="Calibri" w:hAnsi="Calibri" w:cs="Calibri"/>
        </w:rPr>
        <w:t>Results and Discussion</w:t>
      </w:r>
    </w:p>
    <w:p w:rsidR="005B7457" w:rsidRPr="0036433A" w:rsidRDefault="0036433A" w:rsidP="00BC44B5">
      <w:pPr>
        <w:pStyle w:val="ParagraphAbstractICC2024"/>
      </w:pPr>
      <w:r>
        <w:t>In contrast to fossil</w:t>
      </w:r>
      <w:r>
        <w:noBreakHyphen/>
        <w:t>based routes, the estimated climate change impacts of solar and wind</w:t>
      </w:r>
      <w:r>
        <w:noBreakHyphen/>
        <w:t>based ammonia</w:t>
      </w:r>
      <w:r w:rsidR="0094243C">
        <w:t xml:space="preserve"> production routes</w:t>
      </w:r>
      <w:r>
        <w:t xml:space="preserve"> (</w:t>
      </w:r>
      <w:r w:rsidR="007B0E3F">
        <w:t xml:space="preserve">taken herein to illustrate this study, </w:t>
      </w:r>
      <w:r>
        <w:rPr>
          <w:b/>
        </w:rPr>
        <w:t>Figure 1a</w:t>
      </w:r>
      <w:r>
        <w:t>) show a promising trend, with significant reductions anticipated by 2050. Under more ambitious climate policies, such as the 1.5</w:t>
      </w:r>
      <w:r w:rsidRPr="0036433A">
        <w:t> °C scenario</w:t>
      </w:r>
      <w:r>
        <w:t xml:space="preserve">, these impacts are expected to decrease substantially. Specifically, by 2050, </w:t>
      </w:r>
      <w:r w:rsidR="00C748BE">
        <w:t xml:space="preserve">both the </w:t>
      </w:r>
      <w:r>
        <w:t>solar</w:t>
      </w:r>
      <w:r w:rsidR="00C748BE">
        <w:t xml:space="preserve"> and wind</w:t>
      </w:r>
      <w:r>
        <w:noBreakHyphen/>
        <w:t xml:space="preserve">based </w:t>
      </w:r>
      <w:r w:rsidR="00C748BE">
        <w:t>routes are</w:t>
      </w:r>
      <w:r>
        <w:t xml:space="preserve"> projected to achieve a</w:t>
      </w:r>
      <w:r w:rsidR="008C0F51">
        <w:t>lmost a</w:t>
      </w:r>
      <w:r>
        <w:t xml:space="preserve"> </w:t>
      </w:r>
      <w:r w:rsidR="00C748BE">
        <w:t>7</w:t>
      </w:r>
      <w:r w:rsidR="00F92452">
        <w:t>0</w:t>
      </w:r>
      <w:r>
        <w:t>% reduction</w:t>
      </w:r>
      <w:r w:rsidR="00F92452">
        <w:t xml:space="preserve"> in impacts</w:t>
      </w:r>
      <w:r>
        <w:t xml:space="preserve">. In </w:t>
      </w:r>
      <w:r w:rsidR="00E112DB">
        <w:t>fact</w:t>
      </w:r>
      <w:r>
        <w:t xml:space="preserve">, </w:t>
      </w:r>
      <w:r w:rsidR="001C6165">
        <w:t>low</w:t>
      </w:r>
      <w:r w:rsidR="001C6165">
        <w:noBreakHyphen/>
        <w:t>carbon</w:t>
      </w:r>
      <w:r w:rsidR="001C6165">
        <w:noBreakHyphen/>
        <w:t>based ammonia</w:t>
      </w:r>
      <w:r>
        <w:t xml:space="preserve"> production routes exhibit the </w:t>
      </w:r>
      <w:r w:rsidR="00E112DB">
        <w:t>largest</w:t>
      </w:r>
      <w:r>
        <w:t xml:space="preserve"> reductions in environmental impacts over time</w:t>
      </w:r>
      <w:r w:rsidR="00E112DB">
        <w:t xml:space="preserve"> compared to hydrogen and methanol production</w:t>
      </w:r>
      <w:r>
        <w:t>. Furthermore, a regional analysis reveals that for solar</w:t>
      </w:r>
      <w:r w:rsidR="001C6165">
        <w:t xml:space="preserve"> (</w:t>
      </w:r>
      <w:r w:rsidR="001C6165">
        <w:rPr>
          <w:b/>
        </w:rPr>
        <w:t>Figure 1b</w:t>
      </w:r>
      <w:r w:rsidR="001C6165">
        <w:t xml:space="preserve">) </w:t>
      </w:r>
      <w:r w:rsidR="001C6165">
        <w:t>and wind</w:t>
      </w:r>
      <w:r>
        <w:noBreakHyphen/>
        <w:t xml:space="preserve">based </w:t>
      </w:r>
      <w:r w:rsidR="001C6165">
        <w:t>(</w:t>
      </w:r>
      <w:r w:rsidR="001C6165">
        <w:rPr>
          <w:b/>
        </w:rPr>
        <w:t>Figure 1c</w:t>
      </w:r>
      <w:r w:rsidR="001C6165">
        <w:t xml:space="preserve">) </w:t>
      </w:r>
      <w:r>
        <w:t>ammonia production, impact reductions vary significantly by region, emphasizing the importance of location</w:t>
      </w:r>
      <w:r>
        <w:noBreakHyphen/>
        <w:t>based dynamics for strategic planning.</w:t>
      </w:r>
    </w:p>
    <w:p w:rsidR="005B7457" w:rsidRPr="003B0211" w:rsidRDefault="005B7457">
      <w:pPr>
        <w:pStyle w:val="BodyTextNACS"/>
        <w:rPr>
          <w:rFonts w:ascii="Calibri" w:hAnsi="Calibri" w:cs="Calibri"/>
        </w:rPr>
      </w:pPr>
    </w:p>
    <w:p w:rsidR="005B7457" w:rsidRPr="003B0211" w:rsidRDefault="00AA5765" w:rsidP="00AA5765">
      <w:pPr>
        <w:pStyle w:val="BodyTextNACS"/>
        <w:jc w:val="center"/>
        <w:rPr>
          <w:rFonts w:ascii="Calibri" w:hAnsi="Calibri" w:cs="Calibri"/>
          <w:b/>
        </w:rPr>
      </w:pPr>
      <w:r>
        <w:rPr>
          <w:rFonts w:ascii="Calibri" w:hAnsi="Calibri" w:cs="Calibri"/>
          <w:b/>
          <w:noProof/>
        </w:rPr>
        <w:drawing>
          <wp:inline distT="0" distB="0" distL="0" distR="0">
            <wp:extent cx="3900805" cy="229108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 all image SSP2 GLO.png"/>
                    <pic:cNvPicPr/>
                  </pic:nvPicPr>
                  <pic:blipFill>
                    <a:blip r:embed="rId9"/>
                    <a:stretch>
                      <a:fillRect/>
                    </a:stretch>
                  </pic:blipFill>
                  <pic:spPr>
                    <a:xfrm>
                      <a:off x="0" y="0"/>
                      <a:ext cx="3900805" cy="2291080"/>
                    </a:xfrm>
                    <a:prstGeom prst="rect">
                      <a:avLst/>
                    </a:prstGeom>
                  </pic:spPr>
                </pic:pic>
              </a:graphicData>
            </a:graphic>
          </wp:inline>
        </w:drawing>
      </w:r>
    </w:p>
    <w:p w:rsidR="005B7457" w:rsidRPr="00166073" w:rsidRDefault="005B7457" w:rsidP="00FD6767">
      <w:pPr>
        <w:pStyle w:val="FigureCaptionAbstractICC2024"/>
        <w:rPr>
          <w:lang w:val="de-CH"/>
        </w:rPr>
      </w:pPr>
      <w:r w:rsidRPr="003B0211">
        <w:t xml:space="preserve">Figure 1. </w:t>
      </w:r>
      <w:r w:rsidR="00A917BC">
        <w:t xml:space="preserve">Climate change impacts of ammonia production pathways. (a) </w:t>
      </w:r>
      <w:r w:rsidR="00F041F1">
        <w:t>Global</w:t>
      </w:r>
      <w:r w:rsidR="003054F4">
        <w:t xml:space="preserve"> ave</w:t>
      </w:r>
      <w:r w:rsidR="008A7E3D">
        <w:t>rage impacts of fossil, blue, and green (both solar and wind</w:t>
      </w:r>
      <w:r w:rsidR="008A7E3D">
        <w:noBreakHyphen/>
        <w:t>based) production</w:t>
      </w:r>
      <w:r w:rsidR="00A917BC">
        <w:t xml:space="preserve"> from 2020 to 2050 across three climate policy scenarios (3.5 </w:t>
      </w:r>
      <w:r w:rsidR="00A917BC" w:rsidRPr="00166073">
        <w:t>°</w:t>
      </w:r>
      <w:r w:rsidR="00A917BC">
        <w:t>C, 2 </w:t>
      </w:r>
      <w:r w:rsidR="00A917BC" w:rsidRPr="00166073">
        <w:t>°</w:t>
      </w:r>
      <w:r w:rsidR="00A917BC">
        <w:t>C, and 1.5 </w:t>
      </w:r>
      <w:r w:rsidR="00A917BC" w:rsidRPr="00166073">
        <w:t>°</w:t>
      </w:r>
      <w:r w:rsidR="00A917BC">
        <w:t>C).</w:t>
      </w:r>
      <w:r w:rsidR="008A7E3D">
        <w:t xml:space="preserve"> </w:t>
      </w:r>
      <w:r w:rsidR="00F041F1">
        <w:t>R</w:t>
      </w:r>
      <w:r w:rsidR="00A917BC">
        <w:t xml:space="preserve">egional analysis </w:t>
      </w:r>
      <w:r w:rsidR="00D77901">
        <w:t>under the 2 </w:t>
      </w:r>
      <w:r w:rsidR="00D77901" w:rsidRPr="00166073">
        <w:t>°</w:t>
      </w:r>
      <w:r w:rsidR="00D77901">
        <w:t xml:space="preserve">C </w:t>
      </w:r>
      <w:r w:rsidR="00C32B8A">
        <w:t xml:space="preserve">scenario </w:t>
      </w:r>
      <w:r w:rsidR="00A917BC">
        <w:t xml:space="preserve">for </w:t>
      </w:r>
      <w:r w:rsidR="008254CD">
        <w:t xml:space="preserve">(b) </w:t>
      </w:r>
      <w:r w:rsidR="00A917BC">
        <w:t>solar</w:t>
      </w:r>
      <w:r w:rsidR="001C6165">
        <w:t xml:space="preserve"> and </w:t>
      </w:r>
      <w:r w:rsidR="008254CD">
        <w:t xml:space="preserve">(c) </w:t>
      </w:r>
      <w:r w:rsidR="001C6165">
        <w:t>wind</w:t>
      </w:r>
      <w:r w:rsidR="00A917BC">
        <w:noBreakHyphen/>
        <w:t>based</w:t>
      </w:r>
      <w:r w:rsidR="001C6165">
        <w:t xml:space="preserve"> </w:t>
      </w:r>
      <w:r w:rsidR="00A917BC">
        <w:t>production</w:t>
      </w:r>
      <w:r w:rsidR="00A917BC" w:rsidRPr="00E46991">
        <w:t>.</w:t>
      </w:r>
    </w:p>
    <w:p w:rsidR="005B7457" w:rsidRDefault="005B7457">
      <w:pPr>
        <w:rPr>
          <w:rFonts w:ascii="Calibri" w:hAnsi="Calibri" w:cs="Calibri"/>
          <w:sz w:val="16"/>
          <w:lang w:val="en-GB"/>
        </w:rPr>
      </w:pPr>
    </w:p>
    <w:p w:rsidR="00E46991" w:rsidRPr="003B0211" w:rsidRDefault="00E46991" w:rsidP="00E46991">
      <w:pPr>
        <w:pStyle w:val="SectionHeadingNACS"/>
        <w:rPr>
          <w:rFonts w:ascii="Calibri" w:hAnsi="Calibri" w:cs="Calibri"/>
        </w:rPr>
      </w:pPr>
      <w:r w:rsidRPr="003B0211">
        <w:rPr>
          <w:rFonts w:ascii="Calibri" w:hAnsi="Calibri" w:cs="Calibri"/>
        </w:rPr>
        <w:t>Significance</w:t>
      </w:r>
    </w:p>
    <w:p w:rsidR="00E46991" w:rsidRPr="003B0211" w:rsidRDefault="00797DAA" w:rsidP="00E46991">
      <w:pPr>
        <w:pStyle w:val="BodyTextNACS"/>
        <w:rPr>
          <w:rFonts w:ascii="Calibri" w:hAnsi="Calibri" w:cs="Calibri"/>
        </w:rPr>
      </w:pPr>
      <w:r>
        <w:rPr>
          <w:rFonts w:ascii="Calibri" w:hAnsi="Calibri" w:cs="Calibri"/>
        </w:rPr>
        <w:t xml:space="preserve">Our results provide a more comprehensive outlook on the environmental performance of </w:t>
      </w:r>
      <w:r w:rsidR="00CB00D9">
        <w:rPr>
          <w:rFonts w:ascii="Calibri" w:hAnsi="Calibri" w:cs="Calibri"/>
        </w:rPr>
        <w:t xml:space="preserve">current and foreseeable </w:t>
      </w:r>
      <w:r w:rsidR="00A96748">
        <w:rPr>
          <w:rFonts w:ascii="Calibri" w:hAnsi="Calibri" w:cs="Calibri"/>
        </w:rPr>
        <w:t xml:space="preserve">catalytic </w:t>
      </w:r>
      <w:r w:rsidR="00CB00D9">
        <w:rPr>
          <w:rFonts w:ascii="Calibri" w:hAnsi="Calibri" w:cs="Calibri"/>
        </w:rPr>
        <w:t>routes for crucial platform chemicals</w:t>
      </w:r>
      <w:r>
        <w:rPr>
          <w:rFonts w:ascii="Calibri" w:hAnsi="Calibri" w:cs="Calibri"/>
        </w:rPr>
        <w:t xml:space="preserve">. </w:t>
      </w:r>
      <w:r w:rsidR="00CB00D9">
        <w:rPr>
          <w:rFonts w:ascii="Calibri" w:hAnsi="Calibri" w:cs="Calibri"/>
        </w:rPr>
        <w:t>This assessment overcomes the traditional static analysis to provide valuable insights into the future, both on a temporal and geographical scale. These results equip policy making and technology investment with tools to navigate the evolving landscape of the chemical industry, ensuring informed and forward</w:t>
      </w:r>
      <w:r w:rsidR="00CB00D9">
        <w:rPr>
          <w:rFonts w:ascii="Calibri" w:hAnsi="Calibri" w:cs="Calibri"/>
        </w:rPr>
        <w:noBreakHyphen/>
        <w:t>thinking decisions.</w:t>
      </w:r>
    </w:p>
    <w:p w:rsidR="00E46991" w:rsidRPr="00E46991" w:rsidRDefault="00E46991">
      <w:pPr>
        <w:rPr>
          <w:rFonts w:ascii="Calibri" w:hAnsi="Calibri" w:cs="Calibri"/>
          <w:sz w:val="16"/>
          <w:lang w:val="en-GB"/>
        </w:rPr>
      </w:pPr>
    </w:p>
    <w:p w:rsidR="00772D80" w:rsidRDefault="005B7457" w:rsidP="00772D80">
      <w:pPr>
        <w:pStyle w:val="SectionHeadingNACS"/>
        <w:rPr>
          <w:rFonts w:ascii="Calibri" w:hAnsi="Calibri" w:cs="Calibri"/>
        </w:rPr>
      </w:pPr>
      <w:r w:rsidRPr="003B0211">
        <w:rPr>
          <w:rFonts w:ascii="Calibri" w:hAnsi="Calibri" w:cs="Calibri"/>
        </w:rPr>
        <w:t>References</w:t>
      </w:r>
    </w:p>
    <w:p w:rsidR="002B6CE0" w:rsidRPr="002B6CE0" w:rsidRDefault="00772D80" w:rsidP="002B6CE0">
      <w:pPr>
        <w:pStyle w:val="Bibliography"/>
        <w:jc w:val="both"/>
        <w:rPr>
          <w:rFonts w:ascii="Calibri" w:hAnsi="Calibri" w:cs="Calibri"/>
          <w:sz w:val="16"/>
        </w:rPr>
      </w:pPr>
      <w:r w:rsidRPr="00772D80">
        <w:rPr>
          <w:rFonts w:ascii="Calibri" w:hAnsi="Calibri" w:cs="Calibri"/>
        </w:rPr>
        <w:fldChar w:fldCharType="begin"/>
      </w:r>
      <w:r>
        <w:rPr>
          <w:rFonts w:ascii="Calibri" w:hAnsi="Calibri" w:cs="Calibri"/>
        </w:rPr>
        <w:instrText xml:space="preserve"> ADDIN ZOTERO_BIBL {"uncited":[],"omitted":[],"custom":[]} CSL_BIBLIOGRAPHY </w:instrText>
      </w:r>
      <w:r w:rsidRPr="00772D80">
        <w:rPr>
          <w:rFonts w:ascii="Calibri" w:hAnsi="Calibri" w:cs="Calibri"/>
        </w:rPr>
        <w:fldChar w:fldCharType="separate"/>
      </w:r>
      <w:r w:rsidR="002B6CE0" w:rsidRPr="002B6CE0">
        <w:rPr>
          <w:rFonts w:ascii="Calibri" w:hAnsi="Calibri" w:cs="Calibri"/>
          <w:sz w:val="16"/>
        </w:rPr>
        <w:t>1</w:t>
      </w:r>
      <w:r w:rsidR="002B6CE0" w:rsidRPr="002B6CE0">
        <w:rPr>
          <w:rFonts w:ascii="Calibri" w:hAnsi="Calibri" w:cs="Calibri"/>
          <w:sz w:val="16"/>
        </w:rPr>
        <w:tab/>
        <w:t xml:space="preserve">P. Gabrielli, L. Rosa, M. Gazzani, R. Meys, A. Bardow, M. Mazzotti and G. Sansavini, </w:t>
      </w:r>
      <w:r w:rsidR="002B6CE0" w:rsidRPr="002B6CE0">
        <w:rPr>
          <w:rFonts w:ascii="Calibri" w:hAnsi="Calibri" w:cs="Calibri"/>
          <w:i/>
          <w:iCs/>
          <w:sz w:val="16"/>
        </w:rPr>
        <w:t>One Earth</w:t>
      </w:r>
      <w:r w:rsidR="002B6CE0" w:rsidRPr="002B6CE0">
        <w:rPr>
          <w:rFonts w:ascii="Calibri" w:hAnsi="Calibri" w:cs="Calibri"/>
          <w:sz w:val="16"/>
        </w:rPr>
        <w:t xml:space="preserve">, </w:t>
      </w:r>
      <w:r w:rsidR="002B6CE0" w:rsidRPr="002B6CE0">
        <w:rPr>
          <w:rFonts w:ascii="Calibri" w:hAnsi="Calibri" w:cs="Calibri"/>
          <w:b/>
          <w:sz w:val="16"/>
        </w:rPr>
        <w:t>2023</w:t>
      </w:r>
      <w:r w:rsidR="002B6CE0" w:rsidRPr="002B6CE0">
        <w:rPr>
          <w:rFonts w:ascii="Calibri" w:hAnsi="Calibri" w:cs="Calibri"/>
          <w:sz w:val="16"/>
        </w:rPr>
        <w:t xml:space="preserve">, </w:t>
      </w:r>
      <w:r w:rsidR="002B6CE0" w:rsidRPr="002B6CE0">
        <w:rPr>
          <w:rFonts w:ascii="Calibri" w:hAnsi="Calibri" w:cs="Calibri"/>
          <w:bCs/>
          <w:i/>
          <w:sz w:val="16"/>
        </w:rPr>
        <w:t>6</w:t>
      </w:r>
      <w:r w:rsidR="002B6CE0" w:rsidRPr="002B6CE0">
        <w:rPr>
          <w:rFonts w:ascii="Calibri" w:hAnsi="Calibri" w:cs="Calibri"/>
          <w:sz w:val="16"/>
        </w:rPr>
        <w:t>, 682.</w:t>
      </w:r>
    </w:p>
    <w:p w:rsidR="002B6CE0" w:rsidRPr="002B6CE0" w:rsidRDefault="002B6CE0" w:rsidP="002B6CE0">
      <w:pPr>
        <w:pStyle w:val="Bibliography"/>
        <w:jc w:val="both"/>
        <w:rPr>
          <w:rFonts w:ascii="Calibri" w:hAnsi="Calibri" w:cs="Calibri"/>
          <w:sz w:val="16"/>
        </w:rPr>
      </w:pPr>
      <w:r w:rsidRPr="002B6CE0">
        <w:rPr>
          <w:rFonts w:ascii="Calibri" w:hAnsi="Calibri" w:cs="Calibri"/>
          <w:sz w:val="16"/>
        </w:rPr>
        <w:t>2</w:t>
      </w:r>
      <w:r w:rsidRPr="002B6CE0">
        <w:rPr>
          <w:rFonts w:ascii="Calibri" w:hAnsi="Calibri" w:cs="Calibri"/>
          <w:sz w:val="16"/>
        </w:rPr>
        <w:tab/>
        <w:t xml:space="preserve">S. C. D’Angelo, S. Cobo, V. Tulus, A. Nabera, A. J. Martín, J. Pérez-Ramírez and G. Guillén-Gosálbez, </w:t>
      </w:r>
      <w:r w:rsidRPr="002B6CE0">
        <w:rPr>
          <w:rFonts w:ascii="Calibri" w:hAnsi="Calibri" w:cs="Calibri"/>
          <w:i/>
          <w:iCs/>
          <w:sz w:val="16"/>
        </w:rPr>
        <w:t>ACS Sustainable Chem. Eng.</w:t>
      </w:r>
      <w:r w:rsidRPr="002B6CE0">
        <w:rPr>
          <w:rFonts w:ascii="Calibri" w:hAnsi="Calibri" w:cs="Calibri"/>
          <w:sz w:val="16"/>
        </w:rPr>
        <w:t xml:space="preserve">, </w:t>
      </w:r>
      <w:r w:rsidRPr="002B6CE0">
        <w:rPr>
          <w:rFonts w:ascii="Calibri" w:hAnsi="Calibri" w:cs="Calibri"/>
          <w:b/>
          <w:sz w:val="16"/>
        </w:rPr>
        <w:t>2021</w:t>
      </w:r>
      <w:r w:rsidRPr="002B6CE0">
        <w:rPr>
          <w:rFonts w:ascii="Calibri" w:hAnsi="Calibri" w:cs="Calibri"/>
          <w:sz w:val="16"/>
        </w:rPr>
        <w:t xml:space="preserve">, </w:t>
      </w:r>
      <w:r w:rsidRPr="002B6CE0">
        <w:rPr>
          <w:rFonts w:ascii="Calibri" w:hAnsi="Calibri" w:cs="Calibri"/>
          <w:bCs/>
          <w:i/>
          <w:sz w:val="16"/>
        </w:rPr>
        <w:t>9</w:t>
      </w:r>
      <w:r w:rsidRPr="002B6CE0">
        <w:rPr>
          <w:rFonts w:ascii="Calibri" w:hAnsi="Calibri" w:cs="Calibri"/>
          <w:sz w:val="16"/>
        </w:rPr>
        <w:t>, 9740.</w:t>
      </w:r>
    </w:p>
    <w:p w:rsidR="002B6CE0" w:rsidRPr="002B6CE0" w:rsidRDefault="002B6CE0" w:rsidP="002B6CE0">
      <w:pPr>
        <w:pStyle w:val="Bibliography"/>
        <w:jc w:val="both"/>
        <w:rPr>
          <w:rFonts w:ascii="Calibri" w:hAnsi="Calibri" w:cs="Calibri"/>
          <w:sz w:val="16"/>
        </w:rPr>
      </w:pPr>
      <w:r w:rsidRPr="002B6CE0">
        <w:rPr>
          <w:rFonts w:ascii="Calibri" w:hAnsi="Calibri" w:cs="Calibri"/>
          <w:sz w:val="16"/>
        </w:rPr>
        <w:t>3</w:t>
      </w:r>
      <w:r w:rsidRPr="002B6CE0">
        <w:rPr>
          <w:rFonts w:ascii="Calibri" w:hAnsi="Calibri" w:cs="Calibri"/>
          <w:sz w:val="16"/>
        </w:rPr>
        <w:tab/>
        <w:t xml:space="preserve">A. González-Garay, M. S. Frei, A. Al-Qahtani, C. Mondelli, G. Guillén-Gosálbez and J. Pérez-Ramírez, </w:t>
      </w:r>
      <w:r w:rsidRPr="002B6CE0">
        <w:rPr>
          <w:rFonts w:ascii="Calibri" w:hAnsi="Calibri" w:cs="Calibri"/>
          <w:i/>
          <w:iCs/>
          <w:sz w:val="16"/>
        </w:rPr>
        <w:t>Energy Environ</w:t>
      </w:r>
      <w:r>
        <w:rPr>
          <w:rFonts w:ascii="Calibri" w:hAnsi="Calibri" w:cs="Calibri"/>
          <w:i/>
          <w:iCs/>
          <w:sz w:val="16"/>
        </w:rPr>
        <w:t>.</w:t>
      </w:r>
      <w:r w:rsidRPr="002B6CE0">
        <w:rPr>
          <w:rFonts w:ascii="Calibri" w:hAnsi="Calibri" w:cs="Calibri"/>
          <w:i/>
          <w:iCs/>
          <w:sz w:val="16"/>
        </w:rPr>
        <w:t xml:space="preserve"> Sci</w:t>
      </w:r>
      <w:r>
        <w:rPr>
          <w:rFonts w:ascii="Calibri" w:hAnsi="Calibri" w:cs="Calibri"/>
          <w:i/>
          <w:iCs/>
          <w:sz w:val="16"/>
        </w:rPr>
        <w:t>.</w:t>
      </w:r>
      <w:r w:rsidRPr="002B6CE0">
        <w:rPr>
          <w:rFonts w:ascii="Calibri" w:hAnsi="Calibri" w:cs="Calibri"/>
          <w:sz w:val="16"/>
        </w:rPr>
        <w:t xml:space="preserve">, </w:t>
      </w:r>
      <w:r w:rsidRPr="002B6CE0">
        <w:rPr>
          <w:rFonts w:ascii="Calibri" w:hAnsi="Calibri" w:cs="Calibri"/>
          <w:b/>
          <w:sz w:val="16"/>
        </w:rPr>
        <w:t>2019</w:t>
      </w:r>
      <w:r w:rsidRPr="002B6CE0">
        <w:rPr>
          <w:rFonts w:ascii="Calibri" w:hAnsi="Calibri" w:cs="Calibri"/>
          <w:sz w:val="16"/>
        </w:rPr>
        <w:t xml:space="preserve">, </w:t>
      </w:r>
      <w:r w:rsidRPr="002B6CE0">
        <w:rPr>
          <w:rFonts w:ascii="Calibri" w:hAnsi="Calibri" w:cs="Calibri"/>
          <w:bCs/>
          <w:i/>
          <w:sz w:val="16"/>
        </w:rPr>
        <w:t>12</w:t>
      </w:r>
      <w:r w:rsidRPr="002B6CE0">
        <w:rPr>
          <w:rFonts w:ascii="Calibri" w:hAnsi="Calibri" w:cs="Calibri"/>
          <w:sz w:val="16"/>
        </w:rPr>
        <w:t>, 3425.</w:t>
      </w:r>
    </w:p>
    <w:p w:rsidR="00772D80" w:rsidRPr="00772D80" w:rsidRDefault="002B6CE0" w:rsidP="002B6CE0">
      <w:pPr>
        <w:pStyle w:val="Bibliography"/>
        <w:jc w:val="both"/>
        <w:rPr>
          <w:rFonts w:ascii="Calibri" w:hAnsi="Calibri" w:cs="Calibri"/>
          <w:sz w:val="16"/>
        </w:rPr>
      </w:pPr>
      <w:r w:rsidRPr="002B6CE0">
        <w:rPr>
          <w:rFonts w:ascii="Calibri" w:hAnsi="Calibri" w:cs="Calibri"/>
          <w:sz w:val="16"/>
        </w:rPr>
        <w:t>4</w:t>
      </w:r>
      <w:r w:rsidRPr="002B6CE0">
        <w:rPr>
          <w:rFonts w:ascii="Calibri" w:hAnsi="Calibri" w:cs="Calibri"/>
          <w:sz w:val="16"/>
        </w:rPr>
        <w:tab/>
        <w:t xml:space="preserve">R. Sacchi, T. Terlouw, K. Siala, A. Dirnaichner, C. Bauer, B. Cox, C. Mutel, V. Daioglou and G. Luderer, </w:t>
      </w:r>
      <w:r w:rsidRPr="002B6CE0">
        <w:rPr>
          <w:rFonts w:ascii="Calibri" w:hAnsi="Calibri" w:cs="Calibri"/>
          <w:i/>
          <w:iCs/>
          <w:sz w:val="16"/>
        </w:rPr>
        <w:t>Renewable Sustainable Energy Rev</w:t>
      </w:r>
      <w:r w:rsidR="008E547D">
        <w:rPr>
          <w:rFonts w:ascii="Calibri" w:hAnsi="Calibri" w:cs="Calibri"/>
          <w:i/>
          <w:iCs/>
          <w:sz w:val="16"/>
        </w:rPr>
        <w:t>.</w:t>
      </w:r>
      <w:r w:rsidRPr="002B6CE0">
        <w:rPr>
          <w:rFonts w:ascii="Calibri" w:hAnsi="Calibri" w:cs="Calibri"/>
          <w:sz w:val="16"/>
        </w:rPr>
        <w:t xml:space="preserve">, </w:t>
      </w:r>
      <w:r w:rsidRPr="002B6CE0">
        <w:rPr>
          <w:rFonts w:ascii="Calibri" w:hAnsi="Calibri" w:cs="Calibri"/>
          <w:b/>
          <w:sz w:val="16"/>
        </w:rPr>
        <w:t>2022</w:t>
      </w:r>
      <w:r w:rsidRPr="002B6CE0">
        <w:rPr>
          <w:rFonts w:ascii="Calibri" w:hAnsi="Calibri" w:cs="Calibri"/>
          <w:sz w:val="16"/>
        </w:rPr>
        <w:t xml:space="preserve">, </w:t>
      </w:r>
      <w:r w:rsidRPr="002B6CE0">
        <w:rPr>
          <w:rFonts w:ascii="Calibri" w:hAnsi="Calibri" w:cs="Calibri"/>
          <w:bCs/>
          <w:i/>
          <w:sz w:val="16"/>
        </w:rPr>
        <w:t>160</w:t>
      </w:r>
      <w:r w:rsidRPr="002B6CE0">
        <w:rPr>
          <w:rFonts w:ascii="Calibri" w:hAnsi="Calibri" w:cs="Calibri"/>
          <w:sz w:val="16"/>
        </w:rPr>
        <w:t>, 112311.</w:t>
      </w:r>
      <w:r w:rsidR="00772D80" w:rsidRPr="00772D80">
        <w:rPr>
          <w:rFonts w:ascii="Calibri" w:hAnsi="Calibri" w:cs="Calibri"/>
        </w:rPr>
        <w:fldChar w:fldCharType="end"/>
      </w:r>
    </w:p>
    <w:sectPr w:rsidR="00772D80" w:rsidRPr="00772D80" w:rsidSect="005E209B">
      <w:pgSz w:w="16840" w:h="11907" w:orient="landscape" w:code="9"/>
      <w:pgMar w:top="1417" w:right="1417" w:bottom="1417" w:left="1417" w:header="720" w:footer="720" w:gutter="0"/>
      <w:cols w:num="2" w:space="720" w:equalWidth="0">
        <w:col w:w="6143" w:space="720"/>
        <w:col w:w="6143"/>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D0A63" w:rsidRDefault="000D0A63">
      <w:r>
        <w:separator/>
      </w:r>
    </w:p>
  </w:endnote>
  <w:endnote w:type="continuationSeparator" w:id="0">
    <w:p w:rsidR="000D0A63" w:rsidRDefault="000D0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D0A63" w:rsidRDefault="000D0A63">
      <w:r>
        <w:separator/>
      </w:r>
    </w:p>
  </w:footnote>
  <w:footnote w:type="continuationSeparator" w:id="0">
    <w:p w:rsidR="000D0A63" w:rsidRDefault="000D0A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64B7"/>
    <w:multiLevelType w:val="hybridMultilevel"/>
    <w:tmpl w:val="1B0869B0"/>
    <w:lvl w:ilvl="0" w:tplc="0809000F">
      <w:start w:val="1"/>
      <w:numFmt w:val="decimal"/>
      <w:lvlText w:val="%1."/>
      <w:lvlJc w:val="left"/>
      <w:pPr>
        <w:ind w:left="504" w:hanging="360"/>
      </w:pPr>
    </w:lvl>
    <w:lvl w:ilvl="1" w:tplc="08090019" w:tentative="1">
      <w:start w:val="1"/>
      <w:numFmt w:val="lowerLetter"/>
      <w:lvlText w:val="%2."/>
      <w:lvlJc w:val="left"/>
      <w:pPr>
        <w:ind w:left="1224" w:hanging="360"/>
      </w:pPr>
    </w:lvl>
    <w:lvl w:ilvl="2" w:tplc="0809001B" w:tentative="1">
      <w:start w:val="1"/>
      <w:numFmt w:val="lowerRoman"/>
      <w:lvlText w:val="%3."/>
      <w:lvlJc w:val="right"/>
      <w:pPr>
        <w:ind w:left="1944" w:hanging="180"/>
      </w:pPr>
    </w:lvl>
    <w:lvl w:ilvl="3" w:tplc="0809000F" w:tentative="1">
      <w:start w:val="1"/>
      <w:numFmt w:val="decimal"/>
      <w:lvlText w:val="%4."/>
      <w:lvlJc w:val="left"/>
      <w:pPr>
        <w:ind w:left="2664" w:hanging="360"/>
      </w:pPr>
    </w:lvl>
    <w:lvl w:ilvl="4" w:tplc="08090019" w:tentative="1">
      <w:start w:val="1"/>
      <w:numFmt w:val="lowerLetter"/>
      <w:lvlText w:val="%5."/>
      <w:lvlJc w:val="left"/>
      <w:pPr>
        <w:ind w:left="3384" w:hanging="360"/>
      </w:pPr>
    </w:lvl>
    <w:lvl w:ilvl="5" w:tplc="0809001B" w:tentative="1">
      <w:start w:val="1"/>
      <w:numFmt w:val="lowerRoman"/>
      <w:lvlText w:val="%6."/>
      <w:lvlJc w:val="right"/>
      <w:pPr>
        <w:ind w:left="4104" w:hanging="180"/>
      </w:pPr>
    </w:lvl>
    <w:lvl w:ilvl="6" w:tplc="0809000F" w:tentative="1">
      <w:start w:val="1"/>
      <w:numFmt w:val="decimal"/>
      <w:lvlText w:val="%7."/>
      <w:lvlJc w:val="left"/>
      <w:pPr>
        <w:ind w:left="4824" w:hanging="360"/>
      </w:pPr>
    </w:lvl>
    <w:lvl w:ilvl="7" w:tplc="08090019" w:tentative="1">
      <w:start w:val="1"/>
      <w:numFmt w:val="lowerLetter"/>
      <w:lvlText w:val="%8."/>
      <w:lvlJc w:val="left"/>
      <w:pPr>
        <w:ind w:left="5544" w:hanging="360"/>
      </w:pPr>
    </w:lvl>
    <w:lvl w:ilvl="8" w:tplc="0809001B" w:tentative="1">
      <w:start w:val="1"/>
      <w:numFmt w:val="lowerRoman"/>
      <w:lvlText w:val="%9."/>
      <w:lvlJc w:val="right"/>
      <w:pPr>
        <w:ind w:left="6264" w:hanging="180"/>
      </w:pPr>
    </w:lvl>
  </w:abstractNum>
  <w:abstractNum w:abstractNumId="1" w15:restartNumberingAfterBreak="0">
    <w:nsid w:val="33212706"/>
    <w:multiLevelType w:val="singleLevel"/>
    <w:tmpl w:val="788616E6"/>
    <w:lvl w:ilvl="0">
      <w:start w:val="1"/>
      <w:numFmt w:val="decimal"/>
      <w:lvlText w:val="%1."/>
      <w:lvlJc w:val="left"/>
      <w:pPr>
        <w:tabs>
          <w:tab w:val="num" w:pos="720"/>
        </w:tabs>
        <w:ind w:left="720" w:hanging="720"/>
      </w:pPr>
      <w:rPr>
        <w:rFonts w:hint="default"/>
      </w:rPr>
    </w:lvl>
  </w:abstractNum>
  <w:abstractNum w:abstractNumId="2" w15:restartNumberingAfterBreak="0">
    <w:nsid w:val="59EE5B3D"/>
    <w:multiLevelType w:val="singleLevel"/>
    <w:tmpl w:val="7DA0F1DA"/>
    <w:lvl w:ilvl="0">
      <w:start w:val="1"/>
      <w:numFmt w:val="decimal"/>
      <w:pStyle w:val="RefrencesAbstratcsICC2024"/>
      <w:lvlText w:val="%1."/>
      <w:lvlJc w:val="left"/>
      <w:pPr>
        <w:tabs>
          <w:tab w:val="num" w:pos="360"/>
        </w:tabs>
        <w:ind w:left="360" w:hanging="360"/>
      </w:pPr>
      <w:rPr>
        <w:rFonts w:hint="default"/>
      </w:rPr>
    </w:lvl>
  </w:abstractNum>
  <w:abstractNum w:abstractNumId="3" w15:restartNumberingAfterBreak="0">
    <w:nsid w:val="78220CEE"/>
    <w:multiLevelType w:val="hybridMultilevel"/>
    <w:tmpl w:val="507C3A30"/>
    <w:lvl w:ilvl="0" w:tplc="0809000F">
      <w:start w:val="1"/>
      <w:numFmt w:val="decimal"/>
      <w:lvlText w:val="%1."/>
      <w:lvlJc w:val="left"/>
      <w:pPr>
        <w:ind w:left="684" w:hanging="360"/>
      </w:pPr>
    </w:lvl>
    <w:lvl w:ilvl="1" w:tplc="08090019" w:tentative="1">
      <w:start w:val="1"/>
      <w:numFmt w:val="lowerLetter"/>
      <w:lvlText w:val="%2."/>
      <w:lvlJc w:val="left"/>
      <w:pPr>
        <w:ind w:left="1404" w:hanging="360"/>
      </w:pPr>
    </w:lvl>
    <w:lvl w:ilvl="2" w:tplc="0809001B" w:tentative="1">
      <w:start w:val="1"/>
      <w:numFmt w:val="lowerRoman"/>
      <w:lvlText w:val="%3."/>
      <w:lvlJc w:val="right"/>
      <w:pPr>
        <w:ind w:left="2124" w:hanging="180"/>
      </w:pPr>
    </w:lvl>
    <w:lvl w:ilvl="3" w:tplc="0809000F" w:tentative="1">
      <w:start w:val="1"/>
      <w:numFmt w:val="decimal"/>
      <w:lvlText w:val="%4."/>
      <w:lvlJc w:val="left"/>
      <w:pPr>
        <w:ind w:left="2844" w:hanging="360"/>
      </w:pPr>
    </w:lvl>
    <w:lvl w:ilvl="4" w:tplc="08090019" w:tentative="1">
      <w:start w:val="1"/>
      <w:numFmt w:val="lowerLetter"/>
      <w:lvlText w:val="%5."/>
      <w:lvlJc w:val="left"/>
      <w:pPr>
        <w:ind w:left="3564" w:hanging="360"/>
      </w:pPr>
    </w:lvl>
    <w:lvl w:ilvl="5" w:tplc="0809001B" w:tentative="1">
      <w:start w:val="1"/>
      <w:numFmt w:val="lowerRoman"/>
      <w:lvlText w:val="%6."/>
      <w:lvlJc w:val="right"/>
      <w:pPr>
        <w:ind w:left="4284" w:hanging="180"/>
      </w:pPr>
    </w:lvl>
    <w:lvl w:ilvl="6" w:tplc="0809000F" w:tentative="1">
      <w:start w:val="1"/>
      <w:numFmt w:val="decimal"/>
      <w:lvlText w:val="%7."/>
      <w:lvlJc w:val="left"/>
      <w:pPr>
        <w:ind w:left="5004" w:hanging="360"/>
      </w:pPr>
    </w:lvl>
    <w:lvl w:ilvl="7" w:tplc="08090019" w:tentative="1">
      <w:start w:val="1"/>
      <w:numFmt w:val="lowerLetter"/>
      <w:lvlText w:val="%8."/>
      <w:lvlJc w:val="left"/>
      <w:pPr>
        <w:ind w:left="5724" w:hanging="360"/>
      </w:pPr>
    </w:lvl>
    <w:lvl w:ilvl="8" w:tplc="0809001B" w:tentative="1">
      <w:start w:val="1"/>
      <w:numFmt w:val="lowerRoman"/>
      <w:lvlText w:val="%9."/>
      <w:lvlJc w:val="right"/>
      <w:pPr>
        <w:ind w:left="6444"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0NrA0MzE3MTMzMzRS0lEKTi0uzszPAykwNKgFAKUS30gtAAAA"/>
  </w:docVars>
  <w:rsids>
    <w:rsidRoot w:val="00043E75"/>
    <w:rsid w:val="00011F78"/>
    <w:rsid w:val="00043E75"/>
    <w:rsid w:val="00061CC2"/>
    <w:rsid w:val="0006454C"/>
    <w:rsid w:val="000671CB"/>
    <w:rsid w:val="0007540F"/>
    <w:rsid w:val="000762C1"/>
    <w:rsid w:val="00080E8C"/>
    <w:rsid w:val="00083BC5"/>
    <w:rsid w:val="00084AE4"/>
    <w:rsid w:val="000B0C2A"/>
    <w:rsid w:val="000B3D5C"/>
    <w:rsid w:val="000D0A63"/>
    <w:rsid w:val="00106AB0"/>
    <w:rsid w:val="00166073"/>
    <w:rsid w:val="001747F8"/>
    <w:rsid w:val="001B6D94"/>
    <w:rsid w:val="001C6165"/>
    <w:rsid w:val="002215E2"/>
    <w:rsid w:val="00241447"/>
    <w:rsid w:val="00241CDF"/>
    <w:rsid w:val="002B6CE0"/>
    <w:rsid w:val="003054F4"/>
    <w:rsid w:val="00313932"/>
    <w:rsid w:val="00315382"/>
    <w:rsid w:val="003205AA"/>
    <w:rsid w:val="00335EF4"/>
    <w:rsid w:val="0036433A"/>
    <w:rsid w:val="00381CC5"/>
    <w:rsid w:val="0038333F"/>
    <w:rsid w:val="00386177"/>
    <w:rsid w:val="003B0211"/>
    <w:rsid w:val="003E7436"/>
    <w:rsid w:val="003F7F1C"/>
    <w:rsid w:val="00402508"/>
    <w:rsid w:val="00423D35"/>
    <w:rsid w:val="00436D36"/>
    <w:rsid w:val="00441150"/>
    <w:rsid w:val="00446032"/>
    <w:rsid w:val="00451BFD"/>
    <w:rsid w:val="004605A8"/>
    <w:rsid w:val="00496959"/>
    <w:rsid w:val="004A32AC"/>
    <w:rsid w:val="004C4AE1"/>
    <w:rsid w:val="005243B8"/>
    <w:rsid w:val="00526797"/>
    <w:rsid w:val="00546A8F"/>
    <w:rsid w:val="005841C4"/>
    <w:rsid w:val="005A1B93"/>
    <w:rsid w:val="005A7669"/>
    <w:rsid w:val="005B7457"/>
    <w:rsid w:val="005D24B0"/>
    <w:rsid w:val="005E209B"/>
    <w:rsid w:val="005E5A1F"/>
    <w:rsid w:val="005E7755"/>
    <w:rsid w:val="005F4215"/>
    <w:rsid w:val="0061349B"/>
    <w:rsid w:val="00617D9F"/>
    <w:rsid w:val="00622FE5"/>
    <w:rsid w:val="0062718A"/>
    <w:rsid w:val="00667466"/>
    <w:rsid w:val="006A3B2F"/>
    <w:rsid w:val="006A724E"/>
    <w:rsid w:val="006D65E3"/>
    <w:rsid w:val="006E0518"/>
    <w:rsid w:val="006E5D1D"/>
    <w:rsid w:val="006E75ED"/>
    <w:rsid w:val="006E78ED"/>
    <w:rsid w:val="006F0BA4"/>
    <w:rsid w:val="00711A44"/>
    <w:rsid w:val="00712A4C"/>
    <w:rsid w:val="00772D80"/>
    <w:rsid w:val="00782DBA"/>
    <w:rsid w:val="00797DAA"/>
    <w:rsid w:val="007B0D30"/>
    <w:rsid w:val="007B0E3F"/>
    <w:rsid w:val="007F6E48"/>
    <w:rsid w:val="008019D3"/>
    <w:rsid w:val="008254CD"/>
    <w:rsid w:val="00837161"/>
    <w:rsid w:val="00840F45"/>
    <w:rsid w:val="00854EAC"/>
    <w:rsid w:val="00855CB5"/>
    <w:rsid w:val="008647E0"/>
    <w:rsid w:val="008A7E3D"/>
    <w:rsid w:val="008C0F51"/>
    <w:rsid w:val="008D5791"/>
    <w:rsid w:val="008E547D"/>
    <w:rsid w:val="008F3C26"/>
    <w:rsid w:val="00933155"/>
    <w:rsid w:val="00936F2A"/>
    <w:rsid w:val="0094243C"/>
    <w:rsid w:val="00951443"/>
    <w:rsid w:val="00994ED2"/>
    <w:rsid w:val="009C075F"/>
    <w:rsid w:val="009D20B2"/>
    <w:rsid w:val="009D6F2C"/>
    <w:rsid w:val="00A66000"/>
    <w:rsid w:val="00A917BC"/>
    <w:rsid w:val="00A96748"/>
    <w:rsid w:val="00AA5765"/>
    <w:rsid w:val="00AD04CF"/>
    <w:rsid w:val="00AD715F"/>
    <w:rsid w:val="00B053B4"/>
    <w:rsid w:val="00B3113B"/>
    <w:rsid w:val="00B63DCA"/>
    <w:rsid w:val="00B91984"/>
    <w:rsid w:val="00BA5E77"/>
    <w:rsid w:val="00BC44B5"/>
    <w:rsid w:val="00C27874"/>
    <w:rsid w:val="00C32B8A"/>
    <w:rsid w:val="00C62C41"/>
    <w:rsid w:val="00C748BE"/>
    <w:rsid w:val="00C77844"/>
    <w:rsid w:val="00C80739"/>
    <w:rsid w:val="00C87252"/>
    <w:rsid w:val="00C915AC"/>
    <w:rsid w:val="00C94183"/>
    <w:rsid w:val="00CB00D9"/>
    <w:rsid w:val="00CB323C"/>
    <w:rsid w:val="00CD6E3E"/>
    <w:rsid w:val="00D25C37"/>
    <w:rsid w:val="00D3581A"/>
    <w:rsid w:val="00D511EE"/>
    <w:rsid w:val="00D67AF2"/>
    <w:rsid w:val="00D709FF"/>
    <w:rsid w:val="00D735B4"/>
    <w:rsid w:val="00D77901"/>
    <w:rsid w:val="00D923F4"/>
    <w:rsid w:val="00D92586"/>
    <w:rsid w:val="00DA20A9"/>
    <w:rsid w:val="00DC5F93"/>
    <w:rsid w:val="00E0604C"/>
    <w:rsid w:val="00E10E7E"/>
    <w:rsid w:val="00E112DB"/>
    <w:rsid w:val="00E25FC3"/>
    <w:rsid w:val="00E3034A"/>
    <w:rsid w:val="00E46991"/>
    <w:rsid w:val="00EA1785"/>
    <w:rsid w:val="00EA49AE"/>
    <w:rsid w:val="00F041F1"/>
    <w:rsid w:val="00F2712B"/>
    <w:rsid w:val="00F5307D"/>
    <w:rsid w:val="00F55EAE"/>
    <w:rsid w:val="00F71094"/>
    <w:rsid w:val="00F91281"/>
    <w:rsid w:val="00F92452"/>
    <w:rsid w:val="00FA1F31"/>
    <w:rsid w:val="00FD6767"/>
    <w:rsid w:val="00FE6B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14F3DF"/>
  <w14:defaultImageDpi w14:val="32767"/>
  <w15:chartTrackingRefBased/>
  <w15:docId w15:val="{8C8D6C30-C315-4306-B5B8-CD3A0D51D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eastAsia="en-US"/>
    </w:rPr>
  </w:style>
  <w:style w:type="paragraph" w:styleId="Heading1">
    <w:name w:val="heading 1"/>
    <w:basedOn w:val="Normal"/>
    <w:next w:val="Normal"/>
    <w:link w:val="Heading1Char"/>
    <w:qFormat/>
    <w:pPr>
      <w:keepNext/>
      <w:outlineLvl w:val="0"/>
    </w:pPr>
    <w:rPr>
      <w:b/>
    </w:rPr>
  </w:style>
  <w:style w:type="paragraph" w:styleId="Heading2">
    <w:name w:val="heading 2"/>
    <w:basedOn w:val="Normal"/>
    <w:next w:val="Normal"/>
    <w:qFormat/>
    <w:pPr>
      <w:keepNext/>
      <w:outlineLvl w:val="1"/>
    </w:pPr>
    <w:rPr>
      <w:b/>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Pr>
      <w:sz w:val="16"/>
    </w:rPr>
  </w:style>
  <w:style w:type="paragraph" w:styleId="Header">
    <w:name w:val="header"/>
    <w:basedOn w:val="Normal"/>
    <w:pPr>
      <w:tabs>
        <w:tab w:val="center" w:pos="4320"/>
        <w:tab w:val="right" w:pos="8640"/>
      </w:tabs>
    </w:pPr>
  </w:style>
  <w:style w:type="paragraph" w:customStyle="1" w:styleId="TitleNACSAbstract">
    <w:name w:val="Title NACS Abstract"/>
    <w:basedOn w:val="Heading1"/>
    <w:link w:val="TitleNACSAbstractCar"/>
    <w:pPr>
      <w:jc w:val="center"/>
    </w:pPr>
  </w:style>
  <w:style w:type="paragraph" w:customStyle="1" w:styleId="AuthorsNACS">
    <w:name w:val="Authors NACS"/>
    <w:basedOn w:val="Normal"/>
    <w:pPr>
      <w:jc w:val="center"/>
    </w:pPr>
    <w:rPr>
      <w:sz w:val="16"/>
    </w:rPr>
  </w:style>
  <w:style w:type="paragraph" w:customStyle="1" w:styleId="SectionHeadingNACS">
    <w:name w:val="Section Heading NACS"/>
    <w:basedOn w:val="Heading1"/>
    <w:link w:val="SectionHeadingNACSCar"/>
    <w:rPr>
      <w:sz w:val="16"/>
    </w:rPr>
  </w:style>
  <w:style w:type="paragraph" w:customStyle="1" w:styleId="BodyTextNACS">
    <w:name w:val="Body Text NACS"/>
    <w:basedOn w:val="BodyText"/>
    <w:link w:val="BodyTextNACSCar"/>
    <w:pPr>
      <w:jc w:val="both"/>
    </w:pPr>
  </w:style>
  <w:style w:type="paragraph" w:customStyle="1" w:styleId="AuthorAddressNACS">
    <w:name w:val="Author Address NACS"/>
    <w:basedOn w:val="Normal"/>
    <w:pPr>
      <w:jc w:val="center"/>
    </w:pPr>
    <w:rPr>
      <w:i/>
      <w:sz w:val="16"/>
    </w:rPr>
  </w:style>
  <w:style w:type="paragraph" w:styleId="Footer">
    <w:name w:val="footer"/>
    <w:basedOn w:val="Normal"/>
    <w:pPr>
      <w:tabs>
        <w:tab w:val="center" w:pos="4320"/>
        <w:tab w:val="right" w:pos="8640"/>
      </w:tabs>
    </w:pPr>
  </w:style>
  <w:style w:type="character" w:styleId="Hyperlink">
    <w:name w:val="Hyperlink"/>
    <w:rPr>
      <w:color w:val="0000FF"/>
      <w:u w:val="single"/>
    </w:rPr>
  </w:style>
  <w:style w:type="paragraph" w:customStyle="1" w:styleId="TitleAbstractICC2024">
    <w:name w:val="Title Abstract ICC2024"/>
    <w:basedOn w:val="TitleNACSAbstract"/>
    <w:link w:val="TitleAbstractICC2024Car"/>
    <w:qFormat/>
    <w:rsid w:val="00BC44B5"/>
    <w:rPr>
      <w:rFonts w:ascii="Calibri" w:hAnsi="Calibri" w:cs="Calibri"/>
    </w:rPr>
  </w:style>
  <w:style w:type="paragraph" w:customStyle="1" w:styleId="ParagraphAbstractICC2024">
    <w:name w:val="Paragraph Abstract ICC2024"/>
    <w:basedOn w:val="BodyTextNACS"/>
    <w:link w:val="ParagraphAbstractICC2024Car"/>
    <w:qFormat/>
    <w:rsid w:val="00BC44B5"/>
    <w:pPr>
      <w:ind w:firstLine="720"/>
    </w:pPr>
    <w:rPr>
      <w:rFonts w:ascii="Calibri" w:hAnsi="Calibri" w:cs="Calibri"/>
    </w:rPr>
  </w:style>
  <w:style w:type="character" w:customStyle="1" w:styleId="Heading1Char">
    <w:name w:val="Heading 1 Char"/>
    <w:link w:val="Heading1"/>
    <w:rsid w:val="00BC44B5"/>
    <w:rPr>
      <w:b/>
      <w:lang w:val="en-US" w:eastAsia="en-US"/>
    </w:rPr>
  </w:style>
  <w:style w:type="character" w:customStyle="1" w:styleId="TitleNACSAbstractCar">
    <w:name w:val="Title NACS Abstract Car"/>
    <w:basedOn w:val="Heading1Char"/>
    <w:link w:val="TitleNACSAbstract"/>
    <w:rsid w:val="00BC44B5"/>
    <w:rPr>
      <w:b/>
      <w:lang w:val="en-US" w:eastAsia="en-US"/>
    </w:rPr>
  </w:style>
  <w:style w:type="character" w:customStyle="1" w:styleId="TitleAbstractICC2024Car">
    <w:name w:val="Title Abstract ICC2024 Car"/>
    <w:link w:val="TitleAbstractICC2024"/>
    <w:rsid w:val="00BC44B5"/>
    <w:rPr>
      <w:rFonts w:ascii="Calibri" w:hAnsi="Calibri" w:cs="Calibri"/>
      <w:b/>
      <w:lang w:val="en-US" w:eastAsia="en-US"/>
    </w:rPr>
  </w:style>
  <w:style w:type="paragraph" w:customStyle="1" w:styleId="SubtitleAbstractICC2024">
    <w:name w:val="Subtitle Abstract ICC2024"/>
    <w:basedOn w:val="SectionHeadingNACS"/>
    <w:link w:val="SubtitleAbstractICC2024Car"/>
    <w:qFormat/>
    <w:rsid w:val="00BC44B5"/>
    <w:rPr>
      <w:rFonts w:ascii="Calibri" w:hAnsi="Calibri" w:cs="Calibri"/>
    </w:rPr>
  </w:style>
  <w:style w:type="character" w:customStyle="1" w:styleId="BodyTextChar">
    <w:name w:val="Body Text Char"/>
    <w:link w:val="BodyText"/>
    <w:rsid w:val="00BC44B5"/>
    <w:rPr>
      <w:sz w:val="16"/>
      <w:lang w:val="en-US" w:eastAsia="en-US"/>
    </w:rPr>
  </w:style>
  <w:style w:type="character" w:customStyle="1" w:styleId="BodyTextNACSCar">
    <w:name w:val="Body Text NACS Car"/>
    <w:basedOn w:val="BodyTextChar"/>
    <w:link w:val="BodyTextNACS"/>
    <w:rsid w:val="00BC44B5"/>
    <w:rPr>
      <w:sz w:val="16"/>
      <w:lang w:val="en-US" w:eastAsia="en-US"/>
    </w:rPr>
  </w:style>
  <w:style w:type="character" w:customStyle="1" w:styleId="ParagraphAbstractICC2024Car">
    <w:name w:val="Paragraph Abstract ICC2024 Car"/>
    <w:link w:val="ParagraphAbstractICC2024"/>
    <w:rsid w:val="00BC44B5"/>
    <w:rPr>
      <w:rFonts w:ascii="Calibri" w:hAnsi="Calibri" w:cs="Calibri"/>
      <w:sz w:val="16"/>
      <w:lang w:val="en-US" w:eastAsia="en-US"/>
    </w:rPr>
  </w:style>
  <w:style w:type="paragraph" w:customStyle="1" w:styleId="RefrencesAbstratcsICC2024">
    <w:name w:val="Refrences Abstratcs ICC2024"/>
    <w:basedOn w:val="Normal"/>
    <w:link w:val="RefrencesAbstratcsICC2024Car"/>
    <w:qFormat/>
    <w:rsid w:val="00BC44B5"/>
    <w:pPr>
      <w:numPr>
        <w:numId w:val="2"/>
      </w:numPr>
    </w:pPr>
    <w:rPr>
      <w:rFonts w:ascii="Calibri" w:hAnsi="Calibri" w:cs="Calibri"/>
      <w:sz w:val="16"/>
    </w:rPr>
  </w:style>
  <w:style w:type="character" w:customStyle="1" w:styleId="SectionHeadingNACSCar">
    <w:name w:val="Section Heading NACS Car"/>
    <w:link w:val="SectionHeadingNACS"/>
    <w:rsid w:val="00BC44B5"/>
    <w:rPr>
      <w:b/>
      <w:sz w:val="16"/>
      <w:lang w:val="en-US" w:eastAsia="en-US"/>
    </w:rPr>
  </w:style>
  <w:style w:type="character" w:customStyle="1" w:styleId="SubtitleAbstractICC2024Car">
    <w:name w:val="Subtitle Abstract ICC2024 Car"/>
    <w:link w:val="SubtitleAbstractICC2024"/>
    <w:rsid w:val="00BC44B5"/>
    <w:rPr>
      <w:rFonts w:ascii="Calibri" w:hAnsi="Calibri" w:cs="Calibri"/>
      <w:b/>
      <w:sz w:val="16"/>
      <w:lang w:val="en-US" w:eastAsia="en-US"/>
    </w:rPr>
  </w:style>
  <w:style w:type="paragraph" w:customStyle="1" w:styleId="TablecaptionAbstractICC2024">
    <w:name w:val="Table caption Abstract ICC2024"/>
    <w:basedOn w:val="BodyTextNACS"/>
    <w:link w:val="TablecaptionAbstractICC2024Car"/>
    <w:qFormat/>
    <w:rsid w:val="00FD6767"/>
    <w:rPr>
      <w:rFonts w:ascii="Calibri" w:hAnsi="Calibri" w:cs="Calibri"/>
      <w:b/>
    </w:rPr>
  </w:style>
  <w:style w:type="character" w:customStyle="1" w:styleId="RefrencesAbstratcsICC2024Car">
    <w:name w:val="Refrences Abstratcs ICC2024 Car"/>
    <w:link w:val="RefrencesAbstratcsICC2024"/>
    <w:rsid w:val="00BC44B5"/>
    <w:rPr>
      <w:rFonts w:ascii="Calibri" w:hAnsi="Calibri" w:cs="Calibri"/>
      <w:sz w:val="16"/>
      <w:lang w:val="en-US" w:eastAsia="en-US"/>
    </w:rPr>
  </w:style>
  <w:style w:type="paragraph" w:customStyle="1" w:styleId="FigureCaptionAbstractICC2024">
    <w:name w:val="Figure Caption Abstract ICC2024"/>
    <w:basedOn w:val="BodyTextNACS"/>
    <w:link w:val="FigureCaptionAbstractICC2024Car"/>
    <w:qFormat/>
    <w:rsid w:val="00FD6767"/>
    <w:rPr>
      <w:rFonts w:ascii="Calibri" w:hAnsi="Calibri" w:cs="Calibri"/>
      <w:b/>
    </w:rPr>
  </w:style>
  <w:style w:type="character" w:customStyle="1" w:styleId="TablecaptionAbstractICC2024Car">
    <w:name w:val="Table caption Abstract ICC2024 Car"/>
    <w:link w:val="TablecaptionAbstractICC2024"/>
    <w:rsid w:val="00FD6767"/>
    <w:rPr>
      <w:rFonts w:ascii="Calibri" w:hAnsi="Calibri" w:cs="Calibri"/>
      <w:b/>
      <w:sz w:val="16"/>
      <w:lang w:val="en-US" w:eastAsia="en-US"/>
    </w:rPr>
  </w:style>
  <w:style w:type="paragraph" w:customStyle="1" w:styleId="TCTableBody">
    <w:name w:val="TC_Table_Body"/>
    <w:basedOn w:val="Normal"/>
    <w:rsid w:val="00D67AF2"/>
    <w:pPr>
      <w:spacing w:after="200"/>
      <w:jc w:val="both"/>
    </w:pPr>
    <w:rPr>
      <w:rFonts w:ascii="Times" w:hAnsi="Times"/>
      <w:sz w:val="24"/>
    </w:rPr>
  </w:style>
  <w:style w:type="character" w:customStyle="1" w:styleId="FigureCaptionAbstractICC2024Car">
    <w:name w:val="Figure Caption Abstract ICC2024 Car"/>
    <w:link w:val="FigureCaptionAbstractICC2024"/>
    <w:rsid w:val="00FD6767"/>
    <w:rPr>
      <w:rFonts w:ascii="Calibri" w:hAnsi="Calibri" w:cs="Calibri"/>
      <w:b/>
      <w:sz w:val="16"/>
      <w:lang w:val="en-US" w:eastAsia="en-US"/>
    </w:rPr>
  </w:style>
  <w:style w:type="character" w:styleId="UnresolvedMention">
    <w:name w:val="Unresolved Mention"/>
    <w:uiPriority w:val="99"/>
    <w:semiHidden/>
    <w:unhideWhenUsed/>
    <w:rsid w:val="00496959"/>
    <w:rPr>
      <w:color w:val="605E5C"/>
      <w:shd w:val="clear" w:color="auto" w:fill="E1DFDD"/>
    </w:rPr>
  </w:style>
  <w:style w:type="paragraph" w:styleId="NoSpacing">
    <w:name w:val="No Spacing"/>
    <w:uiPriority w:val="1"/>
    <w:qFormat/>
    <w:rsid w:val="008D5791"/>
    <w:rPr>
      <w:lang w:val="en-US" w:eastAsia="en-US"/>
    </w:rPr>
  </w:style>
  <w:style w:type="paragraph" w:styleId="Bibliography">
    <w:name w:val="Bibliography"/>
    <w:basedOn w:val="Normal"/>
    <w:next w:val="Normal"/>
    <w:uiPriority w:val="37"/>
    <w:unhideWhenUsed/>
    <w:rsid w:val="00772D80"/>
    <w:pPr>
      <w:tabs>
        <w:tab w:val="left" w:pos="144"/>
      </w:tabs>
      <w:ind w:left="144" w:hanging="14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4FD58-EE75-4209-9690-540A0742B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2550</Words>
  <Characters>14539</Characters>
  <Application>Microsoft Office Word</Application>
  <DocSecurity>0</DocSecurity>
  <Lines>121</Lines>
  <Paragraphs>34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Novel Co-Mo/MCM-41 Catalysts for Deep Hydrodesulfurization of Jet Fuel</vt:lpstr>
      <vt:lpstr>Novel Co-Mo/MCM-41 Catalysts for Deep Hydrodesulfurization of Jet Fuel</vt:lpstr>
    </vt:vector>
  </TitlesOfParts>
  <Company/>
  <LinksUpToDate>false</LinksUpToDate>
  <CharactersWithSpaces>17055</CharactersWithSpaces>
  <SharedDoc>false</SharedDoc>
  <HLinks>
    <vt:vector size="6" baseType="variant">
      <vt:variant>
        <vt:i4>3538967</vt:i4>
      </vt:variant>
      <vt:variant>
        <vt:i4>0</vt:i4>
      </vt:variant>
      <vt:variant>
        <vt:i4>0</vt:i4>
      </vt:variant>
      <vt:variant>
        <vt:i4>5</vt:i4>
      </vt:variant>
      <vt:variant>
        <vt:lpwstr>mailto:*jpr@chem.ethz.ch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Novel Co-Mo/MCM-41 Catalysts for Deep Hydrodesulfurization of Jet Fuel</dc:title>
  <dc:subject/>
  <dc:creator>Alan M. Allgeier</dc:creator>
  <cp:keywords/>
  <cp:lastModifiedBy>Nabera  Abhinandan</cp:lastModifiedBy>
  <cp:revision>59</cp:revision>
  <cp:lastPrinted>2023-10-31T08:19:00Z</cp:lastPrinted>
  <dcterms:created xsi:type="dcterms:W3CDTF">2023-10-30T13:34:00Z</dcterms:created>
  <dcterms:modified xsi:type="dcterms:W3CDTF">2023-10-31T08:22:00Z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-2021906230</vt:i4>
  </property>
  <property fmtid="{D5CDD505-2E9C-101B-9397-08002B2CF9AE}" pid="3" name="_NewReviewCycle">
    <vt:lpwstr/>
  </property>
  <property fmtid="{D5CDD505-2E9C-101B-9397-08002B2CF9AE}" pid="4" name="_EmailSubject">
    <vt:lpwstr>Abstract template</vt:lpwstr>
  </property>
  <property fmtid="{D5CDD505-2E9C-101B-9397-08002B2CF9AE}" pid="5" name="_AuthorEmail">
    <vt:lpwstr>BAKilos@dow.com</vt:lpwstr>
  </property>
  <property fmtid="{D5CDD505-2E9C-101B-9397-08002B2CF9AE}" pid="6" name="_AuthorEmailDisplayName">
    <vt:lpwstr>Kilos, Beata (BA)</vt:lpwstr>
  </property>
  <property fmtid="{D5CDD505-2E9C-101B-9397-08002B2CF9AE}" pid="7" name="_ReviewingToolsShownOnce">
    <vt:lpwstr/>
  </property>
  <property fmtid="{D5CDD505-2E9C-101B-9397-08002B2CF9AE}" pid="8" name="ZOTERO_PREF_1">
    <vt:lpwstr>&lt;data data-version="3" zotero-version="6.0.27"&gt;&lt;session id="95cenbR4"/&gt;&lt;style id="http://www.zotero.org/styles/green-chemistry" hasBibliography="1" bibliographyStyleHasBeenSet="1"/&gt;&lt;prefs&gt;&lt;pref name="fieldType" value="Field"/&gt;&lt;/prefs&gt;&lt;/data&gt;</vt:lpwstr>
  </property>
</Properties>
</file>