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DE67F" w14:textId="7411D85C" w:rsidR="00DD3D9E" w:rsidRPr="000279DD" w:rsidRDefault="00091837">
      <w:pPr>
        <w:pStyle w:val="Els-Title"/>
        <w:rPr>
          <w:color w:val="000000" w:themeColor="text1"/>
        </w:rPr>
      </w:pPr>
      <w:r w:rsidRPr="000279DD">
        <w:rPr>
          <w:color w:val="000000" w:themeColor="text1"/>
        </w:rPr>
        <w:t>Prospective life cycle analysis of green platform chemicals uncovers their full environmental potential</w:t>
      </w:r>
    </w:p>
    <w:p w14:paraId="144DE680" w14:textId="22EDCA26" w:rsidR="00DD3D9E" w:rsidRPr="000279DD" w:rsidRDefault="00BD2651">
      <w:pPr>
        <w:pStyle w:val="Els-Author"/>
        <w:rPr>
          <w:lang w:val="en-US"/>
        </w:rPr>
      </w:pPr>
      <w:r w:rsidRPr="000279DD">
        <w:rPr>
          <w:lang w:val="en-US"/>
        </w:rPr>
        <w:t>Abhinandan Nabera,</w:t>
      </w:r>
      <w:r w:rsidRPr="000279DD">
        <w:rPr>
          <w:vertAlign w:val="superscript"/>
          <w:lang w:val="en-US"/>
        </w:rPr>
        <w:t>a</w:t>
      </w:r>
      <w:r w:rsidRPr="000279DD">
        <w:rPr>
          <w:lang w:val="en-US"/>
        </w:rPr>
        <w:t xml:space="preserve"> Ioan</w:t>
      </w:r>
      <w:r w:rsidRPr="000279DD">
        <w:rPr>
          <w:lang w:val="en-US"/>
        </w:rPr>
        <w:noBreakHyphen/>
        <w:t>Robert Istrate,</w:t>
      </w:r>
      <w:r w:rsidRPr="000279DD">
        <w:rPr>
          <w:vertAlign w:val="superscript"/>
          <w:lang w:val="en-US"/>
        </w:rPr>
        <w:t>b</w:t>
      </w:r>
      <w:r w:rsidRPr="000279DD">
        <w:rPr>
          <w:lang w:val="en-US"/>
        </w:rPr>
        <w:t xml:space="preserve"> Antonio José Martín,</w:t>
      </w:r>
      <w:r w:rsidRPr="000279DD">
        <w:rPr>
          <w:vertAlign w:val="superscript"/>
          <w:lang w:val="en-US"/>
        </w:rPr>
        <w:t>a</w:t>
      </w:r>
      <w:r w:rsidRPr="000279DD">
        <w:rPr>
          <w:lang w:val="en-US"/>
        </w:rPr>
        <w:t xml:space="preserve"> Javier Pérez</w:t>
      </w:r>
      <w:r w:rsidRPr="000279DD">
        <w:rPr>
          <w:lang w:val="en-US"/>
        </w:rPr>
        <w:noBreakHyphen/>
        <w:t>Ramírez,</w:t>
      </w:r>
      <w:r w:rsidRPr="000279DD">
        <w:rPr>
          <w:vertAlign w:val="superscript"/>
          <w:lang w:val="en-US"/>
        </w:rPr>
        <w:t>a,</w:t>
      </w:r>
      <w:r w:rsidRPr="000279DD">
        <w:rPr>
          <w:lang w:val="en-US"/>
        </w:rPr>
        <w:t>* Gonzalo Guillén-Gosálbez</w:t>
      </w:r>
      <w:r w:rsidRPr="000279DD">
        <w:rPr>
          <w:vertAlign w:val="superscript"/>
          <w:lang w:val="en-US"/>
        </w:rPr>
        <w:t>a,</w:t>
      </w:r>
      <w:r w:rsidRPr="000279DD">
        <w:rPr>
          <w:lang w:val="en-US"/>
        </w:rPr>
        <w:t>*</w:t>
      </w:r>
    </w:p>
    <w:p w14:paraId="7B27AF16" w14:textId="693083AB" w:rsidR="002F053D" w:rsidRPr="000279DD" w:rsidRDefault="002F053D" w:rsidP="002F053D">
      <w:pPr>
        <w:pStyle w:val="Els-Affiliation"/>
        <w:rPr>
          <w:lang w:val="en-US"/>
        </w:rPr>
      </w:pPr>
      <w:r w:rsidRPr="000279DD">
        <w:rPr>
          <w:vertAlign w:val="superscript"/>
          <w:lang w:val="en-US"/>
        </w:rPr>
        <w:t>a</w:t>
      </w:r>
      <w:r w:rsidRPr="000279DD">
        <w:rPr>
          <w:lang w:val="en-US"/>
        </w:rPr>
        <w:t>Department of Chemistry and Applied Biosciences, ETH Zurich, 8093 Zurich, Switzerland</w:t>
      </w:r>
    </w:p>
    <w:p w14:paraId="237B0D16" w14:textId="42C386A0" w:rsidR="007C4353" w:rsidRPr="000279DD" w:rsidRDefault="007C4353" w:rsidP="007C4353">
      <w:pPr>
        <w:pStyle w:val="Els-Affiliation"/>
        <w:rPr>
          <w:lang w:val="en-US"/>
        </w:rPr>
      </w:pPr>
      <w:r w:rsidRPr="000279DD">
        <w:rPr>
          <w:vertAlign w:val="superscript"/>
          <w:lang w:val="en-US"/>
        </w:rPr>
        <w:t>b</w:t>
      </w:r>
      <w:r w:rsidRPr="000279DD">
        <w:rPr>
          <w:lang w:val="en-US"/>
        </w:rPr>
        <w:t>Institute of Environmental Sciences (CML), Leiden University, 2333 CC Leiden, The Netherlands</w:t>
      </w:r>
    </w:p>
    <w:p w14:paraId="144DE683" w14:textId="44388B5F" w:rsidR="008D2649" w:rsidRPr="000279DD" w:rsidRDefault="00702780" w:rsidP="008D2649">
      <w:pPr>
        <w:pStyle w:val="Els-Affiliation"/>
        <w:spacing w:after="120"/>
        <w:rPr>
          <w:lang w:val="en-US"/>
        </w:rPr>
      </w:pPr>
      <w:r w:rsidRPr="000279DD">
        <w:rPr>
          <w:lang w:val="en-US"/>
        </w:rPr>
        <w:t>*jpr@chem.ethz.ch, gonzalo.guillen.gosalbez@chem.ethz.ch</w:t>
      </w:r>
    </w:p>
    <w:p w14:paraId="144DE684" w14:textId="77777777" w:rsidR="008D2649" w:rsidRPr="000279DD" w:rsidRDefault="008D2649" w:rsidP="001D5AD3">
      <w:pPr>
        <w:pStyle w:val="Els-Abstract"/>
        <w:spacing w:after="0"/>
      </w:pPr>
      <w:r w:rsidRPr="000279DD">
        <w:t>Abstract</w:t>
      </w:r>
    </w:p>
    <w:p w14:paraId="144DE686" w14:textId="31A2F591" w:rsidR="008D2649" w:rsidRPr="000279DD" w:rsidRDefault="002F2F8E" w:rsidP="008D2649">
      <w:pPr>
        <w:pStyle w:val="Els-body-text"/>
        <w:spacing w:after="120"/>
      </w:pPr>
      <w:r w:rsidRPr="000279DD">
        <w:t>Current life cycle assessments (LCAs) of c</w:t>
      </w:r>
      <w:r w:rsidR="001A7816" w:rsidRPr="000279DD">
        <w:t xml:space="preserve">onventional </w:t>
      </w:r>
      <w:r w:rsidRPr="000279DD">
        <w:t xml:space="preserve">and </w:t>
      </w:r>
      <w:r w:rsidR="006D52ED" w:rsidRPr="000279DD">
        <w:t>emerging</w:t>
      </w:r>
      <w:r w:rsidRPr="000279DD">
        <w:t xml:space="preserve"> chemical</w:t>
      </w:r>
      <w:r w:rsidR="006D52ED" w:rsidRPr="000279DD">
        <w:t xml:space="preserve"> technologies </w:t>
      </w:r>
      <w:r w:rsidRPr="000279DD">
        <w:t xml:space="preserve">often </w:t>
      </w:r>
      <w:r w:rsidR="007A717D" w:rsidRPr="000279DD">
        <w:t>neglect</w:t>
      </w:r>
      <w:r w:rsidRPr="000279DD">
        <w:t xml:space="preserve"> future changes in the economy </w:t>
      </w:r>
      <w:r w:rsidR="005B0597" w:rsidRPr="000279DD">
        <w:t xml:space="preserve">required </w:t>
      </w:r>
      <w:r w:rsidRPr="000279DD">
        <w:t xml:space="preserve">to meet climate goals, </w:t>
      </w:r>
      <w:r w:rsidR="005B0597" w:rsidRPr="000279DD">
        <w:t>such as</w:t>
      </w:r>
      <w:r w:rsidRPr="000279DD">
        <w:t xml:space="preserve"> those </w:t>
      </w:r>
      <w:r w:rsidR="005B0597" w:rsidRPr="000279DD">
        <w:t>affecting</w:t>
      </w:r>
      <w:r w:rsidR="009876AE" w:rsidRPr="000279DD">
        <w:t xml:space="preserve"> transportation systems </w:t>
      </w:r>
      <w:r w:rsidRPr="000279DD">
        <w:t>and heat and power generation</w:t>
      </w:r>
      <w:r w:rsidR="009876AE" w:rsidRPr="000279DD">
        <w:t xml:space="preserve">. Disregarding these </w:t>
      </w:r>
      <w:r w:rsidRPr="000279DD">
        <w:t xml:space="preserve">trends, which will shape the future economy, </w:t>
      </w:r>
      <w:r w:rsidR="009876AE" w:rsidRPr="000279DD">
        <w:t>could lead to</w:t>
      </w:r>
      <w:r w:rsidRPr="000279DD">
        <w:t xml:space="preserve"> less accurate assessments</w:t>
      </w:r>
      <w:bookmarkStart w:id="0" w:name="_GoBack"/>
      <w:bookmarkEnd w:id="0"/>
      <w:r w:rsidRPr="000279DD">
        <w:t xml:space="preserve"> and</w:t>
      </w:r>
      <w:r w:rsidR="009876AE" w:rsidRPr="000279DD">
        <w:t xml:space="preserve"> spurious conclusions. Hence, in this study, </w:t>
      </w:r>
      <w:r w:rsidR="00D33EC8" w:rsidRPr="000279DD">
        <w:t xml:space="preserve">we conduct a prospective </w:t>
      </w:r>
      <w:r w:rsidR="006505DB">
        <w:t>LCA</w:t>
      </w:r>
      <w:r w:rsidRPr="000279DD">
        <w:t xml:space="preserve"> to understand how future changes in the economy</w:t>
      </w:r>
      <w:r w:rsidR="00D33EC8" w:rsidRPr="000279DD">
        <w:t xml:space="preserve"> </w:t>
      </w:r>
      <w:r w:rsidRPr="000279DD">
        <w:t>(</w:t>
      </w:r>
      <w:r w:rsidR="00B7695B" w:rsidRPr="000279DD">
        <w:t>until 2050</w:t>
      </w:r>
      <w:r w:rsidRPr="000279DD">
        <w:t>) will affect the environmental impact of chemicals</w:t>
      </w:r>
      <w:r w:rsidR="006B4C92" w:rsidRPr="000279DD">
        <w:t>,</w:t>
      </w:r>
      <w:r w:rsidRPr="000279DD">
        <w:t xml:space="preserve"> </w:t>
      </w:r>
      <w:r w:rsidR="006B4C92" w:rsidRPr="000279DD">
        <w:t>using</w:t>
      </w:r>
      <w:r w:rsidRPr="000279DD">
        <w:t xml:space="preserve"> ammonia as a representative case.</w:t>
      </w:r>
      <w:r w:rsidR="00B7695B" w:rsidRPr="000279DD">
        <w:t xml:space="preserve"> </w:t>
      </w:r>
      <w:r w:rsidRPr="000279DD">
        <w:t xml:space="preserve">To </w:t>
      </w:r>
      <w:r w:rsidR="00C55D7C" w:rsidRPr="000279DD">
        <w:t>achieve this</w:t>
      </w:r>
      <w:r w:rsidRPr="000279DD">
        <w:t>, we use background data consistent with</w:t>
      </w:r>
      <w:r w:rsidR="00D33EC8" w:rsidRPr="000279DD">
        <w:t xml:space="preserve"> climate policies </w:t>
      </w:r>
      <w:r w:rsidR="002A30CB" w:rsidRPr="000279DD">
        <w:t>aimed at limiting</w:t>
      </w:r>
      <w:r w:rsidR="00D33EC8" w:rsidRPr="000279DD">
        <w:t xml:space="preserve"> global temperature rise across 26 regions. </w:t>
      </w:r>
      <w:r w:rsidR="00B7695B" w:rsidRPr="000279DD">
        <w:t>Our findings reveal that</w:t>
      </w:r>
      <w:r w:rsidRPr="000279DD">
        <w:t xml:space="preserve"> the environmental gap between fossil and</w:t>
      </w:r>
      <w:r w:rsidR="00B7695B" w:rsidRPr="000279DD">
        <w:t xml:space="preserve"> green </w:t>
      </w:r>
      <w:r w:rsidRPr="000279DD">
        <w:t xml:space="preserve">ammonia will significantly </w:t>
      </w:r>
      <w:r w:rsidR="00160C40" w:rsidRPr="000279DD">
        <w:t>increase</w:t>
      </w:r>
      <w:r w:rsidR="00B7695B" w:rsidRPr="000279DD">
        <w:t xml:space="preserve"> in </w:t>
      </w:r>
      <w:r w:rsidRPr="000279DD">
        <w:t>the future</w:t>
      </w:r>
      <w:r w:rsidR="00876942" w:rsidRPr="000279DD">
        <w:t>, with solar</w:t>
      </w:r>
      <w:r w:rsidR="000267AC" w:rsidRPr="000279DD">
        <w:noBreakHyphen/>
      </w:r>
      <w:r w:rsidR="00876942" w:rsidRPr="000279DD">
        <w:t xml:space="preserve">based routes </w:t>
      </w:r>
      <w:r w:rsidR="00782F1C" w:rsidRPr="000279DD">
        <w:t xml:space="preserve">showing </w:t>
      </w:r>
      <w:r w:rsidRPr="000279DD">
        <w:t xml:space="preserve">the most </w:t>
      </w:r>
      <w:r w:rsidR="00D33FEE" w:rsidRPr="000279DD">
        <w:t xml:space="preserve">improvement </w:t>
      </w:r>
      <w:r w:rsidRPr="000279DD">
        <w:t xml:space="preserve">due to efficiency gains in solar panels and their lower carbon footprint </w:t>
      </w:r>
      <w:r w:rsidR="00D33FEE" w:rsidRPr="000279DD">
        <w:t xml:space="preserve">resulting from </w:t>
      </w:r>
      <w:r w:rsidRPr="000279DD">
        <w:t>the decarbonization of the energy mixes used in their manufacture</w:t>
      </w:r>
      <w:r w:rsidR="00B7695B" w:rsidRPr="000279DD">
        <w:t xml:space="preserve">. </w:t>
      </w:r>
      <w:r w:rsidR="00CC2DEF" w:rsidRPr="000279DD">
        <w:t xml:space="preserve">Overall, this study </w:t>
      </w:r>
      <w:r w:rsidRPr="000279DD">
        <w:t xml:space="preserve">emphasizes the </w:t>
      </w:r>
      <w:r w:rsidR="00FE42D4" w:rsidRPr="000279DD">
        <w:t>importance of considering</w:t>
      </w:r>
      <w:r w:rsidRPr="000279DD">
        <w:t xml:space="preserve"> future trends in the assessment of chemical technologies to draw a more comprehensive picture of their environmental potential</w:t>
      </w:r>
      <w:r w:rsidR="00CC2DEF" w:rsidRPr="000279DD">
        <w:t>.</w:t>
      </w:r>
    </w:p>
    <w:p w14:paraId="144DE687" w14:textId="49ACF2E5" w:rsidR="008D2649" w:rsidRPr="000279DD" w:rsidRDefault="008D2649" w:rsidP="008D2649">
      <w:pPr>
        <w:pStyle w:val="Els-body-text"/>
        <w:spacing w:after="120"/>
      </w:pPr>
      <w:r w:rsidRPr="000279DD">
        <w:rPr>
          <w:b/>
          <w:bCs/>
        </w:rPr>
        <w:t>Keywords</w:t>
      </w:r>
      <w:r w:rsidRPr="000279DD">
        <w:t xml:space="preserve">: </w:t>
      </w:r>
      <w:r w:rsidR="001D1524" w:rsidRPr="000279DD">
        <w:t>climate policies, platform chemicals, prospective life cycle assessment</w:t>
      </w:r>
      <w:r w:rsidRPr="000279DD">
        <w:t>.</w:t>
      </w:r>
    </w:p>
    <w:p w14:paraId="144DE689" w14:textId="08D0F4C9" w:rsidR="008D2649" w:rsidRPr="000279DD" w:rsidRDefault="00B96FD8" w:rsidP="001D5AD3">
      <w:pPr>
        <w:pStyle w:val="Els-1storder-head"/>
        <w:spacing w:after="0"/>
      </w:pPr>
      <w:r w:rsidRPr="000279DD">
        <w:t>Introduction</w:t>
      </w:r>
    </w:p>
    <w:p w14:paraId="534B68DC" w14:textId="00E98168" w:rsidR="00E422A2" w:rsidRPr="000279DD" w:rsidRDefault="00E422A2" w:rsidP="00E422A2">
      <w:pPr>
        <w:pStyle w:val="Els-body-text"/>
      </w:pPr>
      <w:r w:rsidRPr="000279DD">
        <w:t xml:space="preserve">The chemical industry </w:t>
      </w:r>
      <w:r w:rsidR="00CA72D0" w:rsidRPr="000279DD">
        <w:t>poses a formidable challenge towards decarbonization, primarily due to its heavy reliance on fossil fuels, leading to 5.6 Gt CO</w:t>
      </w:r>
      <w:r w:rsidR="00CA72D0" w:rsidRPr="000279DD">
        <w:rPr>
          <w:vertAlign w:val="subscript"/>
        </w:rPr>
        <w:t>2</w:t>
      </w:r>
      <w:r w:rsidR="00CA72D0" w:rsidRPr="000279DD">
        <w:noBreakHyphen/>
        <w:t>eq</w:t>
      </w:r>
      <w:r w:rsidR="00053775" w:rsidRPr="000279DD">
        <w:t xml:space="preserve">, accounting for </w:t>
      </w:r>
      <w:r w:rsidR="00CA72D0" w:rsidRPr="000279DD">
        <w:t>10% of global GHG emissions</w:t>
      </w:r>
      <w:r w:rsidR="00053775" w:rsidRPr="000279DD">
        <w:t xml:space="preserve"> </w:t>
      </w:r>
      <w:r w:rsidR="00053775" w:rsidRPr="000279DD">
        <w:fldChar w:fldCharType="begin"/>
      </w:r>
      <w:r w:rsidR="00053775" w:rsidRPr="000279DD">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rsidRPr="000279DD">
        <w:fldChar w:fldCharType="separate"/>
      </w:r>
      <w:r w:rsidR="002E1665" w:rsidRPr="000279DD">
        <w:t>(Bauer</w:t>
      </w:r>
      <w:r w:rsidR="009E0E97">
        <w:t> </w:t>
      </w:r>
      <w:r w:rsidR="002E1665" w:rsidRPr="000279DD">
        <w:rPr>
          <w:i/>
          <w:iCs/>
        </w:rPr>
        <w:t>et al.</w:t>
      </w:r>
      <w:r w:rsidR="002E1665" w:rsidRPr="000279DD">
        <w:t>, 2023)</w:t>
      </w:r>
      <w:r w:rsidR="00053775" w:rsidRPr="000279DD">
        <w:fldChar w:fldCharType="end"/>
      </w:r>
      <w:r w:rsidR="00CA72D0" w:rsidRPr="000279DD">
        <w:t>. Moreover, only one</w:t>
      </w:r>
      <w:r w:rsidR="00CA72D0" w:rsidRPr="000279DD">
        <w:noBreakHyphen/>
        <w:t>third of these emissions are direct, with the remaining attributed to energy acquisition and the upstream value chain, highlight</w:t>
      </w:r>
      <w:r w:rsidR="007711DA" w:rsidRPr="000279DD">
        <w:t>ing</w:t>
      </w:r>
      <w:r w:rsidR="00CA72D0" w:rsidRPr="000279DD">
        <w:t xml:space="preserve"> the industry’s dependence on global energy systems and supply chains. However, this challenge also presents an opportunity to reduce environmental impacts </w:t>
      </w:r>
      <w:r w:rsidR="007A717D" w:rsidRPr="000279DD">
        <w:t>in</w:t>
      </w:r>
      <w:r w:rsidR="00CA72D0" w:rsidRPr="000279DD">
        <w:t xml:space="preserve"> chemical production through decarbonization </w:t>
      </w:r>
      <w:r w:rsidR="007A717D" w:rsidRPr="000279DD">
        <w:t>of</w:t>
      </w:r>
      <w:r w:rsidR="00CA72D0" w:rsidRPr="000279DD">
        <w:t xml:space="preserve"> other key sectors. In recent </w:t>
      </w:r>
      <w:r w:rsidR="00CA72D0" w:rsidRPr="000279DD">
        <w:lastRenderedPageBreak/>
        <w:t xml:space="preserve">times there have been rapid technological advancements in response to decarbonization challenges and climate policies aligned with the Paris Agreement. In this context, key platform chemicals such as ammonia </w:t>
      </w:r>
      <w:r w:rsidR="007A717D" w:rsidRPr="000279DD">
        <w:t xml:space="preserve">could </w:t>
      </w:r>
      <w:r w:rsidR="00CA72D0" w:rsidRPr="000279DD">
        <w:t>play a crucial role in reducing emissions due to their large production volumes and diverse applications.</w:t>
      </w:r>
      <w:r w:rsidR="00032244">
        <w:t xml:space="preserve"> Ammonia</w:t>
      </w:r>
      <w:r w:rsidR="00AA5D4A">
        <w:t xml:space="preserve"> plays a pivotal role in the production of fertilizers, ensuring global food security. Currently, 60 to 70% of the ammonia is produced from fossil fuels, leading to </w:t>
      </w:r>
      <w:r w:rsidR="00934A80">
        <w:t xml:space="preserve">emissions of </w:t>
      </w:r>
      <w:r w:rsidR="00AA5D4A">
        <w:t>450 Mt CO</w:t>
      </w:r>
      <w:r w:rsidR="00AA5D4A" w:rsidRPr="00934A80">
        <w:rPr>
          <w:vertAlign w:val="subscript"/>
        </w:rPr>
        <w:t>2</w:t>
      </w:r>
      <w:r w:rsidR="00934A80">
        <w:t> y</w:t>
      </w:r>
      <w:r w:rsidR="00934A80" w:rsidRPr="00934A80">
        <w:rPr>
          <w:vertAlign w:val="superscript"/>
        </w:rPr>
        <w:t>–1</w:t>
      </w:r>
      <w:r w:rsidR="00934A80">
        <w:t xml:space="preserve"> </w:t>
      </w:r>
      <w:r w:rsidR="00934A80">
        <w:fldChar w:fldCharType="begin"/>
      </w:r>
      <w:r w:rsidR="00934A80">
        <w:instrText xml:space="preserve"> ADDIN ZOTERO_ITEM CSL_CITATION {"citationID":"MwUfCEs8","properties":{"formattedCitation":"(Gabrielli et al., 2023)","plainCitation":"(Gabrielli et al., 2023)","noteIndex":0},"citationItems":[{"id":297,"uris":["http://zotero.org/users/local/gMmtBwrT/items/736BXPD2"],"itemData":{"id":297,"type":"article-journal","abstract":"The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934A80">
        <w:fldChar w:fldCharType="separate"/>
      </w:r>
      <w:r w:rsidR="00934A80" w:rsidRPr="00934A80">
        <w:t>(Gabrielli</w:t>
      </w:r>
      <w:r w:rsidR="00934A80">
        <w:t> </w:t>
      </w:r>
      <w:r w:rsidR="00934A80" w:rsidRPr="00934A80">
        <w:rPr>
          <w:i/>
        </w:rPr>
        <w:t>et al</w:t>
      </w:r>
      <w:r w:rsidR="00934A80" w:rsidRPr="00934A80">
        <w:t>., 2023)</w:t>
      </w:r>
      <w:r w:rsidR="00934A80">
        <w:fldChar w:fldCharType="end"/>
      </w:r>
      <w:r w:rsidR="00AA5D4A">
        <w:t xml:space="preserve">. </w:t>
      </w:r>
      <w:r w:rsidR="007A717D" w:rsidRPr="000279DD">
        <w:t>S</w:t>
      </w:r>
      <w:r w:rsidR="00CA72D0" w:rsidRPr="000279DD">
        <w:t>everal studies have evaluated low</w:t>
      </w:r>
      <w:r w:rsidR="00CA72D0" w:rsidRPr="000279DD">
        <w:noBreakHyphen/>
        <w:t xml:space="preserve">carbon production routes for ammonia </w:t>
      </w:r>
      <w:r w:rsidR="007A717D" w:rsidRPr="000279DD">
        <w:t xml:space="preserve">from </w:t>
      </w:r>
      <w:r w:rsidR="00CA72D0" w:rsidRPr="000279DD">
        <w:t>renewable carbon and hydrogen</w:t>
      </w:r>
      <w:r w:rsidR="009B5336" w:rsidRPr="000279DD">
        <w:noBreakHyphen/>
      </w:r>
      <w:r w:rsidR="00CA72D0" w:rsidRPr="000279DD">
        <w:t>based feedstock</w:t>
      </w:r>
      <w:r w:rsidR="009B5336" w:rsidRPr="000279DD">
        <w:t xml:space="preserve">s </w:t>
      </w:r>
      <w:r w:rsidR="009B5336" w:rsidRPr="000279DD">
        <w:fldChar w:fldCharType="begin"/>
      </w:r>
      <w:r w:rsidR="009B5336" w:rsidRPr="000279DD">
        <w:instrText xml:space="preserve"> ADDIN ZOTERO_ITEM CSL_CITATION {"citationID":"s0f8WweU","properties":{"formattedCitation":"(D\\uc0\\u8217{}Angelo et al., 2021; Gomez et al., 2020)","plainCitation":"(D’Angelo et al., 2021; Gomez et al., 2020)","noteIndex":0},"citationItems":[{"id":301,"uris":["http://zotero.org/users/local/gMmtBwrT/items/PZCWKF83"],"itemData":{"id":301,"type":"article-journal","abstract":"At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R."},{"family":"Baca","given":"John"},{"family":"Garzon","given":"Fernando"}],"issued":{"date-parts":[["2020",1]]}}}],"schema":"https://github.com/citation-style-language/schema/raw/master/csl-citation.json"} </w:instrText>
      </w:r>
      <w:r w:rsidR="009B5336" w:rsidRPr="000279DD">
        <w:fldChar w:fldCharType="separate"/>
      </w:r>
      <w:r w:rsidR="009B5336" w:rsidRPr="000279DD">
        <w:rPr>
          <w:szCs w:val="24"/>
        </w:rPr>
        <w:t>(D’Angelo</w:t>
      </w:r>
      <w:r w:rsidR="00641F98">
        <w:rPr>
          <w:szCs w:val="24"/>
        </w:rPr>
        <w:t> </w:t>
      </w:r>
      <w:r w:rsidR="009B5336" w:rsidRPr="000279DD">
        <w:rPr>
          <w:i/>
          <w:szCs w:val="24"/>
        </w:rPr>
        <w:t>et al</w:t>
      </w:r>
      <w:r w:rsidR="009B5336" w:rsidRPr="000279DD">
        <w:rPr>
          <w:szCs w:val="24"/>
        </w:rPr>
        <w:t>., 2021; Gomez</w:t>
      </w:r>
      <w:r w:rsidR="00641F98">
        <w:rPr>
          <w:szCs w:val="24"/>
        </w:rPr>
        <w:t> </w:t>
      </w:r>
      <w:r w:rsidR="009B5336" w:rsidRPr="000279DD">
        <w:rPr>
          <w:i/>
          <w:szCs w:val="24"/>
        </w:rPr>
        <w:t>et al.</w:t>
      </w:r>
      <w:r w:rsidR="009B5336" w:rsidRPr="000279DD">
        <w:rPr>
          <w:szCs w:val="24"/>
        </w:rPr>
        <w:t>, 2020)</w:t>
      </w:r>
      <w:r w:rsidR="009B5336" w:rsidRPr="000279DD">
        <w:fldChar w:fldCharType="end"/>
      </w:r>
      <w:r w:rsidR="009B5336" w:rsidRPr="000279DD">
        <w:t>.</w:t>
      </w:r>
      <w:r w:rsidR="00CA72D0" w:rsidRPr="000279DD">
        <w:t xml:space="preserve"> These analyses have consistently highlighted the environmental superiority of green routes over their fossil counterparts. However, the majority of </w:t>
      </w:r>
      <w:r w:rsidR="007A717D" w:rsidRPr="000279DD">
        <w:t>them</w:t>
      </w:r>
      <w:r w:rsidR="00CA72D0" w:rsidRPr="000279DD">
        <w:t xml:space="preserve"> often assume</w:t>
      </w:r>
      <w:r w:rsidR="007A717D" w:rsidRPr="000279DD">
        <w:t xml:space="preserve"> that the foreground system (chemical plant) interacts with</w:t>
      </w:r>
      <w:r w:rsidR="00CA72D0" w:rsidRPr="000279DD">
        <w:t xml:space="preserve"> the existing energy system</w:t>
      </w:r>
      <w:r w:rsidR="007A717D" w:rsidRPr="000279DD">
        <w:t>s</w:t>
      </w:r>
      <w:r w:rsidR="00CA72D0" w:rsidRPr="000279DD">
        <w:t xml:space="preserve"> </w:t>
      </w:r>
      <w:r w:rsidR="00BB2CE2" w:rsidRPr="000279DD">
        <w:t>and supply chains, neglecting forthcoming decarbonization efforts</w:t>
      </w:r>
      <w:r w:rsidR="007A717D" w:rsidRPr="000279DD">
        <w:t>, which could lead to less accurate and meaningful assessments</w:t>
      </w:r>
      <w:r w:rsidR="00BB2CE2" w:rsidRPr="000279DD">
        <w:t>. Hence, in this work, we evaluate the environmental impacts of fossil and green ammonia pathways until 2050</w:t>
      </w:r>
      <w:r w:rsidR="007A717D" w:rsidRPr="000279DD">
        <w:t>, by considering expected</w:t>
      </w:r>
      <w:r w:rsidR="00907F5D" w:rsidRPr="000279DD">
        <w:t xml:space="preserve"> </w:t>
      </w:r>
      <w:r w:rsidR="00BB2CE2" w:rsidRPr="000279DD">
        <w:t xml:space="preserve">changes in </w:t>
      </w:r>
      <w:r w:rsidR="007A717D" w:rsidRPr="000279DD">
        <w:t xml:space="preserve">the </w:t>
      </w:r>
      <w:r w:rsidR="00BB2CE2" w:rsidRPr="000279DD">
        <w:t>power, materials, and transportation sectors under three climate scenarios: a baseline scenario (3.5 </w:t>
      </w:r>
      <w:r w:rsidR="00907F5D" w:rsidRPr="000279DD">
        <w:t>°</w:t>
      </w:r>
      <w:r w:rsidR="00BB2CE2" w:rsidRPr="000279DD">
        <w:t xml:space="preserve">C), and two scenarios </w:t>
      </w:r>
      <w:r w:rsidR="007A717D" w:rsidRPr="000279DD">
        <w:t>consistent with the</w:t>
      </w:r>
      <w:r w:rsidR="00BB2CE2" w:rsidRPr="000279DD">
        <w:t xml:space="preserve"> 2 </w:t>
      </w:r>
      <w:r w:rsidR="00907F5D" w:rsidRPr="000279DD">
        <w:t>°</w:t>
      </w:r>
      <w:r w:rsidR="00BB2CE2" w:rsidRPr="000279DD">
        <w:t>C and 1.5 </w:t>
      </w:r>
      <w:r w:rsidR="00907F5D" w:rsidRPr="000279DD">
        <w:t>°</w:t>
      </w:r>
      <w:r w:rsidR="00BB2CE2" w:rsidRPr="000279DD">
        <w:t>C</w:t>
      </w:r>
      <w:r w:rsidR="007A717D" w:rsidRPr="000279DD">
        <w:t xml:space="preserve"> targets</w:t>
      </w:r>
      <w:r w:rsidR="00BB2CE2" w:rsidRPr="000279DD">
        <w:t xml:space="preserve">, respectively. Furthermore, </w:t>
      </w:r>
      <w:r w:rsidR="00AF7F60" w:rsidRPr="000279DD">
        <w:t xml:space="preserve">we </w:t>
      </w:r>
      <w:r w:rsidR="003A72A8" w:rsidRPr="000279DD">
        <w:t>highlight the significance of location</w:t>
      </w:r>
      <w:r w:rsidR="00AF7F60" w:rsidRPr="000279DD">
        <w:t>s</w:t>
      </w:r>
      <w:r w:rsidR="003A72A8" w:rsidRPr="000279DD">
        <w:t xml:space="preserve"> in decision</w:t>
      </w:r>
      <w:r w:rsidR="003A72A8" w:rsidRPr="000279DD">
        <w:noBreakHyphen/>
        <w:t xml:space="preserve">making, </w:t>
      </w:r>
      <w:r w:rsidR="00874E79" w:rsidRPr="000279DD">
        <w:t>by performing a temporal region</w:t>
      </w:r>
      <w:r w:rsidR="00874E79" w:rsidRPr="000279DD">
        <w:noBreakHyphen/>
        <w:t xml:space="preserve">specific prospective LCA for 26 regions. </w:t>
      </w:r>
      <w:r w:rsidR="009727E7" w:rsidRPr="000279DD">
        <w:t>Our</w:t>
      </w:r>
      <w:r w:rsidR="00874E79" w:rsidRPr="000279DD">
        <w:t xml:space="preserve"> results </w:t>
      </w:r>
      <w:r w:rsidR="007A717D" w:rsidRPr="000279DD">
        <w:t xml:space="preserve">show that </w:t>
      </w:r>
      <w:r w:rsidR="00ED0B0F" w:rsidRPr="000279DD">
        <w:t>green ammonia could become in the future more environmentally appealing than originally thought</w:t>
      </w:r>
      <w:r w:rsidR="00874E79" w:rsidRPr="000279DD">
        <w:t>.</w:t>
      </w:r>
    </w:p>
    <w:p w14:paraId="144DE699" w14:textId="7E2D8467" w:rsidR="008D2649" w:rsidRPr="000279DD" w:rsidRDefault="00B96FD8" w:rsidP="001D5AD3">
      <w:pPr>
        <w:pStyle w:val="Els-1storder-head"/>
        <w:spacing w:after="0"/>
      </w:pPr>
      <w:r w:rsidRPr="000279DD">
        <w:t>Methods</w:t>
      </w:r>
    </w:p>
    <w:p w14:paraId="24A330CE" w14:textId="20CC263B" w:rsidR="001572DC" w:rsidRPr="000279DD" w:rsidRDefault="001572DC" w:rsidP="001572DC">
      <w:pPr>
        <w:pStyle w:val="Els-1storder-head"/>
        <w:numPr>
          <w:ilvl w:val="0"/>
          <w:numId w:val="0"/>
        </w:numPr>
        <w:spacing w:before="0"/>
        <w:rPr>
          <w:sz w:val="20"/>
        </w:rPr>
      </w:pPr>
      <w:r w:rsidRPr="000279DD">
        <w:rPr>
          <w:b w:val="0"/>
          <w:sz w:val="20"/>
        </w:rPr>
        <w:t xml:space="preserve">We </w:t>
      </w:r>
      <w:r w:rsidR="004546D4" w:rsidRPr="000279DD">
        <w:rPr>
          <w:b w:val="0"/>
          <w:sz w:val="20"/>
        </w:rPr>
        <w:t>employ</w:t>
      </w:r>
      <w:r w:rsidRPr="000279DD">
        <w:rPr>
          <w:b w:val="0"/>
          <w:sz w:val="20"/>
        </w:rPr>
        <w:t xml:space="preserve"> the IMAGE Integrated Assessment Model (IAM) to </w:t>
      </w:r>
      <w:r w:rsidR="004546D4" w:rsidRPr="000279DD">
        <w:rPr>
          <w:b w:val="0"/>
          <w:sz w:val="20"/>
        </w:rPr>
        <w:t>evaluate</w:t>
      </w:r>
      <w:r w:rsidRPr="000279DD">
        <w:rPr>
          <w:b w:val="0"/>
          <w:sz w:val="20"/>
        </w:rPr>
        <w:t xml:space="preserve"> the environmental performance of both fossil and green pathways for ammonia production. This enables us to </w:t>
      </w:r>
      <w:r w:rsidR="004546D4" w:rsidRPr="000279DD">
        <w:rPr>
          <w:b w:val="0"/>
          <w:sz w:val="20"/>
        </w:rPr>
        <w:t>project</w:t>
      </w:r>
      <w:r w:rsidRPr="000279DD">
        <w:rPr>
          <w:b w:val="0"/>
          <w:sz w:val="20"/>
        </w:rPr>
        <w:t xml:space="preserve"> potential economic scenarios and provide</w:t>
      </w:r>
      <w:r w:rsidR="003E05E2" w:rsidRPr="000279DD">
        <w:rPr>
          <w:b w:val="0"/>
          <w:sz w:val="20"/>
        </w:rPr>
        <w:t>s</w:t>
      </w:r>
      <w:r w:rsidRPr="000279DD">
        <w:rPr>
          <w:b w:val="0"/>
          <w:sz w:val="20"/>
        </w:rPr>
        <w:t xml:space="preserve"> insights into the environmental impacts based on expected socioeconomic and technological advancements. </w:t>
      </w:r>
      <w:r w:rsidR="004546D4" w:rsidRPr="000279DD">
        <w:rPr>
          <w:b w:val="0"/>
          <w:sz w:val="20"/>
        </w:rPr>
        <w:t>Specifically</w:t>
      </w:r>
      <w:r w:rsidRPr="000279DD">
        <w:rPr>
          <w:b w:val="0"/>
          <w:sz w:val="20"/>
        </w:rPr>
        <w:t xml:space="preserve">, we adopt the </w:t>
      </w:r>
      <w:r w:rsidR="00DC5673" w:rsidRPr="000279DD">
        <w:rPr>
          <w:b w:val="0"/>
          <w:sz w:val="20"/>
        </w:rPr>
        <w:t>middle</w:t>
      </w:r>
      <w:r w:rsidR="00DC5673" w:rsidRPr="000279DD">
        <w:rPr>
          <w:b w:val="0"/>
          <w:sz w:val="20"/>
        </w:rPr>
        <w:noBreakHyphen/>
        <w:t>of</w:t>
      </w:r>
      <w:r w:rsidR="00DC5673" w:rsidRPr="000279DD">
        <w:rPr>
          <w:b w:val="0"/>
          <w:sz w:val="20"/>
        </w:rPr>
        <w:noBreakHyphen/>
        <w:t>the</w:t>
      </w:r>
      <w:r w:rsidR="00DC5673" w:rsidRPr="000279DD">
        <w:rPr>
          <w:b w:val="0"/>
          <w:sz w:val="20"/>
        </w:rPr>
        <w:noBreakHyphen/>
        <w:t>road</w:t>
      </w:r>
      <w:r w:rsidRPr="000279DD">
        <w:rPr>
          <w:b w:val="0"/>
          <w:sz w:val="20"/>
        </w:rPr>
        <w:t xml:space="preserve"> shared socioeconomic pathway (SSP2) and consider a range of representative concentration pathways (RCPs), including RCP6, RCP2.6, and RCP1.9. RCP6 corresponds to </w:t>
      </w:r>
      <w:r w:rsidR="004546D4" w:rsidRPr="000279DD">
        <w:rPr>
          <w:b w:val="0"/>
          <w:sz w:val="20"/>
        </w:rPr>
        <w:t>a</w:t>
      </w:r>
      <w:r w:rsidRPr="000279DD">
        <w:rPr>
          <w:b w:val="0"/>
          <w:sz w:val="20"/>
        </w:rPr>
        <w:t xml:space="preserve"> scenario limiting global temperature rise to 3.5</w:t>
      </w:r>
      <w:r w:rsidR="002B1333" w:rsidRPr="000279DD">
        <w:rPr>
          <w:sz w:val="20"/>
        </w:rPr>
        <w:t> </w:t>
      </w:r>
      <w:r w:rsidR="00907F5D" w:rsidRPr="000279DD">
        <w:rPr>
          <w:sz w:val="20"/>
        </w:rPr>
        <w:t>°</w:t>
      </w:r>
      <w:r w:rsidRPr="000279DD">
        <w:rPr>
          <w:b w:val="0"/>
          <w:sz w:val="20"/>
        </w:rPr>
        <w:t xml:space="preserve">C, </w:t>
      </w:r>
      <w:r w:rsidR="004546D4" w:rsidRPr="000279DD">
        <w:rPr>
          <w:b w:val="0"/>
          <w:sz w:val="20"/>
        </w:rPr>
        <w:t>while</w:t>
      </w:r>
      <w:r w:rsidRPr="000279DD">
        <w:rPr>
          <w:b w:val="0"/>
          <w:sz w:val="20"/>
        </w:rPr>
        <w:t xml:space="preserve"> RCP2.6 and RCP1.9 correspond to scenarios limiting temperature rise to 2</w:t>
      </w:r>
      <w:r w:rsidR="002B1333" w:rsidRPr="000279DD">
        <w:rPr>
          <w:sz w:val="20"/>
        </w:rPr>
        <w:t> </w:t>
      </w:r>
      <w:r w:rsidR="00907F5D" w:rsidRPr="000279DD">
        <w:rPr>
          <w:sz w:val="20"/>
        </w:rPr>
        <w:t>°</w:t>
      </w:r>
      <w:r w:rsidRPr="000279DD">
        <w:rPr>
          <w:b w:val="0"/>
          <w:sz w:val="20"/>
        </w:rPr>
        <w:t>C and 1.5</w:t>
      </w:r>
      <w:r w:rsidR="002B1333" w:rsidRPr="000279DD">
        <w:rPr>
          <w:sz w:val="20"/>
        </w:rPr>
        <w:t> </w:t>
      </w:r>
      <w:r w:rsidR="00907F5D" w:rsidRPr="000279DD">
        <w:rPr>
          <w:sz w:val="20"/>
        </w:rPr>
        <w:t>°</w:t>
      </w:r>
      <w:r w:rsidRPr="000279DD">
        <w:rPr>
          <w:b w:val="0"/>
          <w:sz w:val="20"/>
        </w:rPr>
        <w:t xml:space="preserve">C, respectively. To generate inventories for prospective LCAs </w:t>
      </w:r>
      <w:r w:rsidR="005869D8" w:rsidRPr="000279DD">
        <w:rPr>
          <w:b w:val="0"/>
          <w:sz w:val="20"/>
        </w:rPr>
        <w:t>covering</w:t>
      </w:r>
      <w:r w:rsidRPr="000279DD">
        <w:rPr>
          <w:b w:val="0"/>
          <w:sz w:val="20"/>
        </w:rPr>
        <w:t xml:space="preserve"> the</w:t>
      </w:r>
      <w:r w:rsidR="007711DA" w:rsidRPr="000279DD">
        <w:rPr>
          <w:b w:val="0"/>
          <w:sz w:val="20"/>
        </w:rPr>
        <w:t xml:space="preserve"> time</w:t>
      </w:r>
      <w:r w:rsidRPr="000279DD">
        <w:rPr>
          <w:b w:val="0"/>
          <w:sz w:val="20"/>
        </w:rPr>
        <w:t xml:space="preserve"> period from 2020 to 2050, we utilize the </w:t>
      </w:r>
      <w:r w:rsidRPr="000279DD">
        <w:rPr>
          <w:b w:val="0"/>
          <w:i/>
          <w:sz w:val="20"/>
        </w:rPr>
        <w:t>premise</w:t>
      </w:r>
      <w:r w:rsidRPr="000279DD">
        <w:rPr>
          <w:b w:val="0"/>
          <w:sz w:val="20"/>
        </w:rPr>
        <w:t xml:space="preserve"> v1.5.9 framework</w:t>
      </w:r>
      <w:r w:rsidR="002E1665" w:rsidRPr="000279DD">
        <w:rPr>
          <w:b w:val="0"/>
          <w:sz w:val="20"/>
        </w:rPr>
        <w:t xml:space="preserve"> </w:t>
      </w:r>
      <w:r w:rsidR="002E1665" w:rsidRPr="000279DD">
        <w:rPr>
          <w:b w:val="0"/>
          <w:sz w:val="20"/>
        </w:rPr>
        <w:fldChar w:fldCharType="begin"/>
      </w:r>
      <w:r w:rsidR="002E1665" w:rsidRPr="000279DD">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0279DD">
        <w:rPr>
          <w:b w:val="0"/>
          <w:sz w:val="20"/>
        </w:rPr>
        <w:fldChar w:fldCharType="separate"/>
      </w:r>
      <w:r w:rsidR="002E1665" w:rsidRPr="000279DD">
        <w:rPr>
          <w:b w:val="0"/>
          <w:sz w:val="20"/>
        </w:rPr>
        <w:t>(Sacchi</w:t>
      </w:r>
      <w:r w:rsidR="007F0BEC">
        <w:rPr>
          <w:b w:val="0"/>
          <w:sz w:val="20"/>
        </w:rPr>
        <w:t> </w:t>
      </w:r>
      <w:r w:rsidR="002E1665" w:rsidRPr="00C00AC9">
        <w:rPr>
          <w:b w:val="0"/>
          <w:i/>
          <w:sz w:val="20"/>
        </w:rPr>
        <w:t>et al</w:t>
      </w:r>
      <w:r w:rsidR="002E1665" w:rsidRPr="000279DD">
        <w:rPr>
          <w:b w:val="0"/>
          <w:sz w:val="20"/>
        </w:rPr>
        <w:t>., 2022)</w:t>
      </w:r>
      <w:r w:rsidR="002E1665" w:rsidRPr="000279DD">
        <w:rPr>
          <w:b w:val="0"/>
          <w:sz w:val="20"/>
        </w:rPr>
        <w:fldChar w:fldCharType="end"/>
      </w:r>
      <w:r w:rsidRPr="000279DD">
        <w:rPr>
          <w:b w:val="0"/>
          <w:sz w:val="20"/>
        </w:rPr>
        <w:t xml:space="preserve">. Additionally, we </w:t>
      </w:r>
      <w:r w:rsidR="00641E0D" w:rsidRPr="000279DD">
        <w:rPr>
          <w:b w:val="0"/>
          <w:sz w:val="20"/>
        </w:rPr>
        <w:t>perform a regional assessment</w:t>
      </w:r>
      <w:r w:rsidRPr="000279DD">
        <w:rPr>
          <w:b w:val="0"/>
          <w:sz w:val="20"/>
        </w:rPr>
        <w:t xml:space="preserve"> for the production of these </w:t>
      </w:r>
      <w:r w:rsidR="00C3037C" w:rsidRPr="000279DD">
        <w:rPr>
          <w:b w:val="0"/>
          <w:sz w:val="20"/>
        </w:rPr>
        <w:t>platform chemicals</w:t>
      </w:r>
      <w:r w:rsidRPr="000279DD">
        <w:rPr>
          <w:b w:val="0"/>
          <w:sz w:val="20"/>
        </w:rPr>
        <w:t xml:space="preserve"> across 26 global regions, considering location</w:t>
      </w:r>
      <w:r w:rsidR="00C3037C" w:rsidRPr="000279DD">
        <w:rPr>
          <w:b w:val="0"/>
          <w:sz w:val="20"/>
        </w:rPr>
        <w:noBreakHyphen/>
      </w:r>
      <w:r w:rsidRPr="000279DD">
        <w:rPr>
          <w:b w:val="0"/>
          <w:sz w:val="20"/>
        </w:rPr>
        <w:t xml:space="preserve">specific temporal </w:t>
      </w:r>
      <w:r w:rsidR="00C3037C" w:rsidRPr="000279DD">
        <w:rPr>
          <w:b w:val="0"/>
          <w:sz w:val="20"/>
        </w:rPr>
        <w:t>dynamics</w:t>
      </w:r>
      <w:r w:rsidRPr="000279DD">
        <w:rPr>
          <w:b w:val="0"/>
          <w:sz w:val="20"/>
        </w:rPr>
        <w:t>.</w:t>
      </w:r>
    </w:p>
    <w:p w14:paraId="46032E74" w14:textId="77777777" w:rsidR="00926D74" w:rsidRPr="000279DD" w:rsidRDefault="00B96FD8" w:rsidP="001D5AD3">
      <w:pPr>
        <w:pStyle w:val="Els-1storder-head"/>
        <w:spacing w:after="0"/>
      </w:pPr>
      <w:r w:rsidRPr="000279DD">
        <w:t>Results and Discussions</w:t>
      </w:r>
    </w:p>
    <w:p w14:paraId="5063266A" w14:textId="33326B72" w:rsidR="00935375" w:rsidRDefault="00ED0B0F" w:rsidP="00935375">
      <w:pPr>
        <w:pStyle w:val="Els-body-text"/>
      </w:pPr>
      <w:r w:rsidRPr="000279DD">
        <w:t xml:space="preserve">The impact of both </w:t>
      </w:r>
      <w:r w:rsidR="00935375" w:rsidRPr="000279DD">
        <w:t>fossil</w:t>
      </w:r>
      <w:r w:rsidRPr="000279DD">
        <w:t xml:space="preserve"> and green </w:t>
      </w:r>
      <w:r w:rsidR="00D7441A" w:rsidRPr="000279DD">
        <w:t xml:space="preserve">ammonia </w:t>
      </w:r>
      <w:r w:rsidRPr="000279DD">
        <w:t xml:space="preserve">will decline in the future, but the environmental gap between </w:t>
      </w:r>
      <w:r w:rsidR="00FD20E5" w:rsidRPr="000279DD">
        <w:t>them</w:t>
      </w:r>
      <w:r w:rsidRPr="000279DD">
        <w:t xml:space="preserve"> will grow substantially</w:t>
      </w:r>
      <w:r w:rsidR="00FD20E5" w:rsidRPr="000279DD">
        <w:t>,</w:t>
      </w:r>
      <w:r w:rsidRPr="000279DD">
        <w:t xml:space="preserve"> thus drastically improving the environmental appeal of green ammonia </w:t>
      </w:r>
      <w:r w:rsidR="003655EF" w:rsidRPr="000279DD">
        <w:t>(</w:t>
      </w:r>
      <w:r w:rsidR="00D7441A" w:rsidRPr="000279DD">
        <w:rPr>
          <w:b/>
        </w:rPr>
        <w:t>Figure 1a</w:t>
      </w:r>
      <w:r w:rsidR="00D7441A" w:rsidRPr="000279DD">
        <w:t xml:space="preserve">). </w:t>
      </w:r>
      <w:r w:rsidRPr="000279DD">
        <w:t>Particularly, u</w:t>
      </w:r>
      <w:r w:rsidR="00D7441A" w:rsidRPr="000279DD">
        <w:t xml:space="preserve">nder </w:t>
      </w:r>
      <w:r w:rsidRPr="000279DD">
        <w:t xml:space="preserve">an </w:t>
      </w:r>
      <w:r w:rsidR="00D7441A" w:rsidRPr="000279DD">
        <w:t xml:space="preserve">aggressive </w:t>
      </w:r>
      <w:r w:rsidRPr="000279DD">
        <w:t xml:space="preserve">climate </w:t>
      </w:r>
      <w:r w:rsidR="00D7441A" w:rsidRPr="000279DD">
        <w:t>polic</w:t>
      </w:r>
      <w:r w:rsidRPr="000279DD">
        <w:t>y</w:t>
      </w:r>
      <w:r w:rsidR="00D7441A" w:rsidRPr="000279DD">
        <w:t>, such as the 1.5 </w:t>
      </w:r>
      <w:r w:rsidR="00A01693" w:rsidRPr="000279DD">
        <w:t>°</w:t>
      </w:r>
      <w:r w:rsidR="00D7441A" w:rsidRPr="000279DD">
        <w:t xml:space="preserve">C scenario, these </w:t>
      </w:r>
      <w:r w:rsidR="00A46CC2" w:rsidRPr="000279DD">
        <w:t>impacts</w:t>
      </w:r>
      <w:r w:rsidR="00D7441A" w:rsidRPr="000279DD">
        <w:t xml:space="preserve"> </w:t>
      </w:r>
      <w:r w:rsidR="007C185C" w:rsidRPr="000279DD">
        <w:t>will</w:t>
      </w:r>
      <w:r w:rsidR="00D7441A" w:rsidRPr="000279DD">
        <w:t xml:space="preserve"> decrease significantly</w:t>
      </w:r>
      <w:r w:rsidR="00FD20E5" w:rsidRPr="000279DD">
        <w:t>,</w:t>
      </w:r>
      <w:r w:rsidRPr="000279DD">
        <w:t xml:space="preserve"> with</w:t>
      </w:r>
      <w:r w:rsidR="00D7441A" w:rsidRPr="000279DD">
        <w:t xml:space="preserve"> both the solar and wind</w:t>
      </w:r>
      <w:r w:rsidR="00BF7B57" w:rsidRPr="000279DD">
        <w:noBreakHyphen/>
      </w:r>
      <w:r w:rsidR="00D7441A" w:rsidRPr="000279DD">
        <w:t xml:space="preserve">based pathways </w:t>
      </w:r>
      <w:r w:rsidR="007C185C" w:rsidRPr="000279DD">
        <w:t xml:space="preserve">reducing </w:t>
      </w:r>
      <w:r w:rsidRPr="000279DD">
        <w:t>their impact by</w:t>
      </w:r>
      <w:r w:rsidR="00D7441A" w:rsidRPr="000279DD">
        <w:t xml:space="preserve"> 70% </w:t>
      </w:r>
      <w:r w:rsidR="0026374B" w:rsidRPr="000279DD">
        <w:t>in</w:t>
      </w:r>
      <w:r w:rsidR="00D7441A" w:rsidRPr="000279DD">
        <w:t xml:space="preserve"> 2050</w:t>
      </w:r>
      <w:r w:rsidRPr="000279DD">
        <w:t xml:space="preserve"> (</w:t>
      </w:r>
      <w:r w:rsidR="00FD20E5" w:rsidRPr="000279DD">
        <w:t>compared to</w:t>
      </w:r>
      <w:r w:rsidRPr="000279DD">
        <w:t xml:space="preserve"> </w:t>
      </w:r>
      <w:r w:rsidR="004601F2" w:rsidRPr="000279DD">
        <w:t>4</w:t>
      </w:r>
      <w:r w:rsidRPr="000279DD">
        <w:t>% in the fossil analogue)</w:t>
      </w:r>
      <w:r w:rsidR="00D7441A" w:rsidRPr="000279DD">
        <w:t xml:space="preserve">. </w:t>
      </w:r>
      <w:r w:rsidR="0078798C">
        <w:t>Moreover, solar</w:t>
      </w:r>
      <w:r w:rsidR="00FC1388">
        <w:noBreakHyphen/>
        <w:t>based routes are projected to compete</w:t>
      </w:r>
      <w:r w:rsidR="007869E3">
        <w:t xml:space="preserve"> with</w:t>
      </w:r>
      <w:r w:rsidR="009D32C1">
        <w:t>,</w:t>
      </w:r>
      <w:r w:rsidR="00FC1388">
        <w:t xml:space="preserve"> </w:t>
      </w:r>
      <w:r w:rsidR="007869E3">
        <w:t>or even outperform</w:t>
      </w:r>
      <w:r w:rsidR="009D32C1">
        <w:t>,</w:t>
      </w:r>
      <w:r w:rsidR="007869E3">
        <w:t xml:space="preserve"> </w:t>
      </w:r>
      <w:r w:rsidR="00FC1388">
        <w:t>their wind</w:t>
      </w:r>
      <w:r w:rsidR="00FC1388">
        <w:noBreakHyphen/>
        <w:t xml:space="preserve">based counterparts. </w:t>
      </w:r>
      <w:r w:rsidR="00D7441A" w:rsidRPr="000279DD">
        <w:t xml:space="preserve">Furthermore, a regional assessment </w:t>
      </w:r>
      <w:r w:rsidR="006132FF" w:rsidRPr="000279DD">
        <w:t xml:space="preserve">reveals </w:t>
      </w:r>
      <w:r w:rsidR="001F0369">
        <w:t xml:space="preserve">significant variations in impact reductions </w:t>
      </w:r>
      <w:r w:rsidR="006132FF" w:rsidRPr="000279DD">
        <w:t>for both solar (</w:t>
      </w:r>
      <w:r w:rsidR="006132FF" w:rsidRPr="000279DD">
        <w:rPr>
          <w:b/>
        </w:rPr>
        <w:t>Figure 1b</w:t>
      </w:r>
      <w:r w:rsidR="006132FF" w:rsidRPr="000279DD">
        <w:t>) and wind</w:t>
      </w:r>
      <w:r w:rsidR="006132FF" w:rsidRPr="000279DD">
        <w:noBreakHyphen/>
        <w:t xml:space="preserve">based </w:t>
      </w:r>
      <w:r w:rsidR="006132FF" w:rsidRPr="000279DD">
        <w:rPr>
          <w:b/>
        </w:rPr>
        <w:t>(Figure 1c</w:t>
      </w:r>
      <w:r w:rsidR="006132FF" w:rsidRPr="000279DD">
        <w:t>) ammonia</w:t>
      </w:r>
      <w:r w:rsidR="00A01662">
        <w:t xml:space="preserve"> production</w:t>
      </w:r>
      <w:r w:rsidR="006132FF" w:rsidRPr="000279DD">
        <w:t xml:space="preserve">, </w:t>
      </w:r>
      <w:r w:rsidR="009D32C1">
        <w:t xml:space="preserve">with African regions </w:t>
      </w:r>
      <w:r w:rsidR="00A01662">
        <w:t>demonstrating</w:t>
      </w:r>
      <w:r w:rsidR="009D32C1">
        <w:t xml:space="preserve"> the highest reductions</w:t>
      </w:r>
      <w:r w:rsidR="00A01662">
        <w:t>. This underscores</w:t>
      </w:r>
      <w:r w:rsidR="006132FF" w:rsidRPr="000279DD">
        <w:t xml:space="preserve"> the crucial </w:t>
      </w:r>
      <w:r w:rsidR="00A01662">
        <w:t>importance</w:t>
      </w:r>
      <w:r w:rsidR="006132FF" w:rsidRPr="000279DD">
        <w:t xml:space="preserve"> of </w:t>
      </w:r>
      <w:r w:rsidR="007C185C" w:rsidRPr="000279DD">
        <w:t>the location of green facilities</w:t>
      </w:r>
      <w:r w:rsidR="00EA467C" w:rsidRPr="000279DD">
        <w:t xml:space="preserve"> </w:t>
      </w:r>
      <w:r w:rsidR="00704835">
        <w:t>in maximizing</w:t>
      </w:r>
      <w:r w:rsidR="00EA467C" w:rsidRPr="000279DD">
        <w:t xml:space="preserve"> global benefits.</w:t>
      </w:r>
    </w:p>
    <w:p w14:paraId="3EB56CF6" w14:textId="03E5311C" w:rsidR="00A46CC2" w:rsidRPr="000279DD" w:rsidRDefault="00A46CC2" w:rsidP="00A46CC2">
      <w:pPr>
        <w:pStyle w:val="Els-body-text"/>
        <w:jc w:val="center"/>
      </w:pPr>
      <w:r w:rsidRPr="000279DD">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0A99B5E0" w14:textId="19FAC90C" w:rsidR="00413A0B" w:rsidRPr="000279DD" w:rsidRDefault="00413A0B" w:rsidP="003655EF">
      <w:pPr>
        <w:pStyle w:val="Els-body-text"/>
      </w:pPr>
      <w:r w:rsidRPr="000279DD">
        <w:rPr>
          <w:b/>
        </w:rPr>
        <w:t>Figure 1</w:t>
      </w:r>
      <w:r w:rsidR="003655EF" w:rsidRPr="000279DD">
        <w:t xml:space="preserve"> Climate change impacts of ammonia production technologies. </w:t>
      </w:r>
      <w:r w:rsidR="003655EF" w:rsidRPr="000279DD">
        <w:rPr>
          <w:b/>
        </w:rPr>
        <w:t>(a)</w:t>
      </w:r>
      <w:r w:rsidR="003655EF" w:rsidRPr="000279DD">
        <w:t xml:space="preserve"> Global average impacts of fossil, solar and wind</w:t>
      </w:r>
      <w:r w:rsidR="002D62C9" w:rsidRPr="000279DD">
        <w:noBreakHyphen/>
      </w:r>
      <w:r w:rsidR="003655EF" w:rsidRPr="000279DD">
        <w:t>based production from 2020 to 2050 across three scenarios (3.5 </w:t>
      </w:r>
      <w:r w:rsidR="0036113D" w:rsidRPr="000279DD">
        <w:t>°</w:t>
      </w:r>
      <w:r w:rsidR="003655EF" w:rsidRPr="000279DD">
        <w:t>C, 2</w:t>
      </w:r>
      <w:r w:rsidR="007879D2" w:rsidRPr="000279DD">
        <w:t> °</w:t>
      </w:r>
      <w:r w:rsidR="003655EF" w:rsidRPr="000279DD">
        <w:t>C, and 1.5 </w:t>
      </w:r>
      <w:r w:rsidR="0036113D" w:rsidRPr="000279DD">
        <w:t>°</w:t>
      </w:r>
      <w:r w:rsidR="003655EF" w:rsidRPr="000279DD">
        <w:t>C). Regional analysis under the 2 </w:t>
      </w:r>
      <w:r w:rsidR="0036113D" w:rsidRPr="000279DD">
        <w:t>°</w:t>
      </w:r>
      <w:r w:rsidR="003655EF" w:rsidRPr="000279DD">
        <w:t xml:space="preserve">C scenario for </w:t>
      </w:r>
      <w:r w:rsidR="003655EF" w:rsidRPr="000279DD">
        <w:rPr>
          <w:b/>
        </w:rPr>
        <w:t>(b)</w:t>
      </w:r>
      <w:r w:rsidR="003655EF" w:rsidRPr="000279DD">
        <w:t xml:space="preserve"> solar and </w:t>
      </w:r>
      <w:r w:rsidR="003655EF" w:rsidRPr="000279DD">
        <w:rPr>
          <w:b/>
        </w:rPr>
        <w:t>(c)</w:t>
      </w:r>
      <w:r w:rsidR="003655EF" w:rsidRPr="000279DD">
        <w:t xml:space="preserve"> wind</w:t>
      </w:r>
      <w:r w:rsidR="003655EF" w:rsidRPr="000279DD">
        <w:noBreakHyphen/>
        <w:t>based production pathways.</w:t>
      </w:r>
    </w:p>
    <w:p w14:paraId="144DE6B5" w14:textId="5B9F9F1E" w:rsidR="008D2649" w:rsidRPr="000279DD" w:rsidRDefault="00B96FD8" w:rsidP="001D5AD3">
      <w:pPr>
        <w:pStyle w:val="Els-1storder-head"/>
        <w:spacing w:after="0"/>
      </w:pPr>
      <w:r w:rsidRPr="000279DD">
        <w:t>Conclusions</w:t>
      </w:r>
    </w:p>
    <w:p w14:paraId="15A837FD" w14:textId="0E164183" w:rsidR="00AF7F60" w:rsidRPr="000279DD" w:rsidRDefault="00AF7F60" w:rsidP="00AF7F60">
      <w:pPr>
        <w:pStyle w:val="Els-body-text"/>
      </w:pPr>
      <w:r w:rsidRPr="000279DD">
        <w:t xml:space="preserve">In this work, we </w:t>
      </w:r>
      <w:r w:rsidR="0050057F" w:rsidRPr="000279DD">
        <w:t xml:space="preserve">assess the impact of </w:t>
      </w:r>
      <w:r w:rsidR="007C185C" w:rsidRPr="000279DD">
        <w:t xml:space="preserve">future economic trends, focusing on </w:t>
      </w:r>
      <w:r w:rsidR="0050057F" w:rsidRPr="000279DD">
        <w:t>climate policies</w:t>
      </w:r>
      <w:r w:rsidR="007C185C" w:rsidRPr="000279DD">
        <w:t>,</w:t>
      </w:r>
      <w:r w:rsidR="0050057F" w:rsidRPr="000279DD">
        <w:t xml:space="preserve"> on key platform chemicals</w:t>
      </w:r>
      <w:r w:rsidR="00654179" w:rsidRPr="000279DD">
        <w:t>,</w:t>
      </w:r>
      <w:r w:rsidR="0050057F" w:rsidRPr="000279DD">
        <w:t xml:space="preserve"> </w:t>
      </w:r>
      <w:r w:rsidR="007C185C" w:rsidRPr="000279DD">
        <w:t xml:space="preserve">taking </w:t>
      </w:r>
      <w:r w:rsidR="0050057F" w:rsidRPr="000279DD">
        <w:t xml:space="preserve">ammonia </w:t>
      </w:r>
      <w:r w:rsidR="007C185C" w:rsidRPr="000279DD">
        <w:t xml:space="preserve">as a testbed and performing an </w:t>
      </w:r>
      <w:r w:rsidR="00641E0D" w:rsidRPr="000279DD">
        <w:t>analysis across</w:t>
      </w:r>
      <w:r w:rsidR="0050057F" w:rsidRPr="000279DD">
        <w:t xml:space="preserve"> 26 regions spanning from 2020 to 2050. </w:t>
      </w:r>
      <w:r w:rsidR="007C185C" w:rsidRPr="000279DD">
        <w:t>W</w:t>
      </w:r>
      <w:r w:rsidR="0050057F" w:rsidRPr="000279DD">
        <w:t>e f</w:t>
      </w:r>
      <w:r w:rsidR="007C185C" w:rsidRPr="000279DD">
        <w:t>ou</w:t>
      </w:r>
      <w:r w:rsidR="0050057F" w:rsidRPr="000279DD">
        <w:t xml:space="preserve">nd that </w:t>
      </w:r>
      <w:r w:rsidR="007C185C" w:rsidRPr="000279DD">
        <w:t xml:space="preserve">while the impact of the </w:t>
      </w:r>
      <w:r w:rsidR="0050057F" w:rsidRPr="000279DD">
        <w:t>fossil</w:t>
      </w:r>
      <w:r w:rsidR="007C185C" w:rsidRPr="000279DD">
        <w:t xml:space="preserve"> and green routes will both decline, the gap between the two will grow</w:t>
      </w:r>
      <w:r w:rsidR="00654179" w:rsidRPr="000279DD">
        <w:t>,</w:t>
      </w:r>
      <w:r w:rsidR="007C185C" w:rsidRPr="000279DD">
        <w:t xml:space="preserve"> and more so </w:t>
      </w:r>
      <w:r w:rsidR="0050057F" w:rsidRPr="000279DD">
        <w:t xml:space="preserve">under ambitious climate policies. We also highlight the </w:t>
      </w:r>
      <w:r w:rsidR="007C185C" w:rsidRPr="000279DD">
        <w:t>role of the facilities’ location in the analysis, which can greatly affect the results over time</w:t>
      </w:r>
      <w:r w:rsidR="0050057F" w:rsidRPr="000279DD">
        <w:t xml:space="preserve">. Overall, this work underscores the importance of considering technological advancements, market </w:t>
      </w:r>
      <w:r w:rsidR="007C185C" w:rsidRPr="000279DD">
        <w:t>trends</w:t>
      </w:r>
      <w:r w:rsidR="0050057F" w:rsidRPr="000279DD">
        <w:t xml:space="preserve">, and regional considerations </w:t>
      </w:r>
      <w:r w:rsidR="007C185C" w:rsidRPr="000279DD">
        <w:t>in the LCA of emerging chemical technologies</w:t>
      </w:r>
      <w:r w:rsidR="0050057F" w:rsidRPr="000279DD">
        <w:t xml:space="preserve">. </w:t>
      </w:r>
      <w:r w:rsidR="007C185C" w:rsidRPr="000279DD">
        <w:t>We hope t</w:t>
      </w:r>
      <w:r w:rsidR="0050057F" w:rsidRPr="000279DD">
        <w:t xml:space="preserve">his study </w:t>
      </w:r>
      <w:r w:rsidR="009B707C" w:rsidRPr="000279DD">
        <w:t>will</w:t>
      </w:r>
      <w:r w:rsidR="0050057F" w:rsidRPr="000279DD">
        <w:t xml:space="preserve"> </w:t>
      </w:r>
      <w:r w:rsidR="007C185C" w:rsidRPr="000279DD">
        <w:t xml:space="preserve">help </w:t>
      </w:r>
      <w:r w:rsidR="00C77343" w:rsidRPr="000279DD">
        <w:t xml:space="preserve">in </w:t>
      </w:r>
      <w:r w:rsidR="0050057F" w:rsidRPr="000279DD">
        <w:t>making</w:t>
      </w:r>
      <w:r w:rsidR="007C185C" w:rsidRPr="000279DD">
        <w:t xml:space="preserve"> better </w:t>
      </w:r>
      <w:r w:rsidR="0050057F" w:rsidRPr="000279DD">
        <w:t xml:space="preserve">decisions </w:t>
      </w:r>
      <w:r w:rsidR="007C185C" w:rsidRPr="000279DD">
        <w:t xml:space="preserve">in the transition towards more </w:t>
      </w:r>
      <w:r w:rsidR="0050057F" w:rsidRPr="000279DD">
        <w:t>sustainable chemical</w:t>
      </w:r>
      <w:r w:rsidR="007C185C" w:rsidRPr="000279DD">
        <w:t>s</w:t>
      </w:r>
      <w:r w:rsidR="0050057F" w:rsidRPr="000279DD">
        <w:t>.</w:t>
      </w:r>
    </w:p>
    <w:p w14:paraId="144DE6BF" w14:textId="608D0AD6" w:rsidR="008D2649" w:rsidRPr="00A75845" w:rsidRDefault="008D2649" w:rsidP="001D5AD3">
      <w:pPr>
        <w:pStyle w:val="Els-reference-head"/>
        <w:spacing w:after="0"/>
        <w:rPr>
          <w:lang w:val="de-CH"/>
        </w:rPr>
      </w:pPr>
      <w:r w:rsidRPr="00A75845">
        <w:rPr>
          <w:lang w:val="de-CH"/>
        </w:rPr>
        <w:t>References</w:t>
      </w:r>
    </w:p>
    <w:p w14:paraId="6F726FAF" w14:textId="273D1549" w:rsidR="00934A80" w:rsidRPr="00934A80" w:rsidRDefault="002E1665" w:rsidP="00934A80">
      <w:pPr>
        <w:pStyle w:val="Bibliography"/>
        <w:rPr>
          <w:sz w:val="18"/>
        </w:rPr>
      </w:pPr>
      <w:r w:rsidRPr="000279DD">
        <w:rPr>
          <w:lang w:val="en-US"/>
        </w:rPr>
        <w:fldChar w:fldCharType="begin"/>
      </w:r>
      <w:r w:rsidRPr="00A75845">
        <w:rPr>
          <w:lang w:val="de-CH"/>
        </w:rPr>
        <w:instrText xml:space="preserve"> ADDIN ZOTERO_BIBL {"uncited":[],"omitted":[],"custom":[]} CSL_BIBLIOGRAPHY </w:instrText>
      </w:r>
      <w:r w:rsidRPr="000279DD">
        <w:rPr>
          <w:lang w:val="en-US"/>
        </w:rPr>
        <w:fldChar w:fldCharType="separate"/>
      </w:r>
      <w:r w:rsidR="00934A80" w:rsidRPr="00934A80">
        <w:rPr>
          <w:sz w:val="18"/>
        </w:rPr>
        <w:t>Bauer, F., Tilsted, J.P., Pfister, S., Oberschelp, C., Kulionis, V., 2023. Mapping GHG emissions and prospects for renewable energy in the chemical industry. Curr. Opin. Chem. Eng. 39, 100881.</w:t>
      </w:r>
    </w:p>
    <w:p w14:paraId="14338D61" w14:textId="32B710AE" w:rsidR="00934A80" w:rsidRPr="00934A80" w:rsidRDefault="00934A80" w:rsidP="00934A80">
      <w:pPr>
        <w:pStyle w:val="Bibliography"/>
        <w:rPr>
          <w:sz w:val="18"/>
        </w:rPr>
      </w:pPr>
      <w:r w:rsidRPr="00934A80">
        <w:rPr>
          <w:sz w:val="18"/>
        </w:rPr>
        <w:t>D’Angelo, S.C., Cobo, S., Tulus, V., Nabera, A., Martín, A.J., Pérez-Ramírez, J., Guillén-Gosálbez, G., 2021. Planetary Boundaries Analysis of Low-Carbon Ammonia Production Routes. ACS Sustain. Chem. Eng. 9, 9740–9749.</w:t>
      </w:r>
    </w:p>
    <w:p w14:paraId="18C37F02" w14:textId="6BB843E9" w:rsidR="00934A80" w:rsidRPr="00934A80" w:rsidRDefault="00934A80" w:rsidP="00934A80">
      <w:pPr>
        <w:pStyle w:val="Bibliography"/>
        <w:rPr>
          <w:sz w:val="18"/>
        </w:rPr>
      </w:pPr>
      <w:r w:rsidRPr="00934A80">
        <w:rPr>
          <w:sz w:val="18"/>
        </w:rPr>
        <w:t>Gabrielli, P., Rosa, L., Gazzani, M., Meys, R., Bardow, A., Mazzotti, M., Sansavini, G., 2023. Net-zero emissions chemical industry in a world of limited resources. One Earth 6, 682–704.</w:t>
      </w:r>
    </w:p>
    <w:p w14:paraId="1EEC2F1E" w14:textId="74712700" w:rsidR="00934A80" w:rsidRPr="00934A80" w:rsidRDefault="00934A80" w:rsidP="00934A80">
      <w:pPr>
        <w:pStyle w:val="Bibliography"/>
        <w:rPr>
          <w:sz w:val="18"/>
        </w:rPr>
      </w:pPr>
      <w:r w:rsidRPr="00934A80">
        <w:rPr>
          <w:sz w:val="18"/>
        </w:rPr>
        <w:t>Gomez, J.R., Baca, J., Garzon, F., 2020. Techno-economic analysis and life cycle assessment for electrochemical ammonia production using proton conducting membrane. Int. J. Hydrog. Energy 45, 721–737.</w:t>
      </w:r>
    </w:p>
    <w:p w14:paraId="65D85EFF" w14:textId="4FD88EA0" w:rsidR="00934A80" w:rsidRPr="00934A80" w:rsidRDefault="00934A80" w:rsidP="00934A80">
      <w:pPr>
        <w:pStyle w:val="Bibliography"/>
        <w:rPr>
          <w:sz w:val="18"/>
        </w:rPr>
      </w:pPr>
      <w:r w:rsidRPr="00934A80">
        <w:rPr>
          <w:sz w:val="18"/>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p>
    <w:p w14:paraId="144DE6C3" w14:textId="6C8C5BDA" w:rsidR="008D2649" w:rsidRPr="000279DD" w:rsidRDefault="002E1665" w:rsidP="009B0FFB">
      <w:pPr>
        <w:pStyle w:val="Els-referenceno-number"/>
        <w:ind w:left="0" w:firstLine="0"/>
        <w:jc w:val="both"/>
        <w:rPr>
          <w:lang w:val="en-US"/>
        </w:rPr>
      </w:pPr>
      <w:r w:rsidRPr="000279DD">
        <w:rPr>
          <w:lang w:val="en-US"/>
        </w:rPr>
        <w:fldChar w:fldCharType="end"/>
      </w:r>
    </w:p>
    <w:sectPr w:rsidR="008D2649" w:rsidRPr="000279DD"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6B336B" w14:textId="77777777" w:rsidR="005043CF" w:rsidRDefault="005043CF">
      <w:r>
        <w:separator/>
      </w:r>
    </w:p>
  </w:endnote>
  <w:endnote w:type="continuationSeparator" w:id="0">
    <w:p w14:paraId="6D5436C9" w14:textId="77777777" w:rsidR="005043CF" w:rsidRDefault="00504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ECFA74" w14:textId="77777777" w:rsidR="005043CF" w:rsidRDefault="005043CF">
      <w:r>
        <w:separator/>
      </w:r>
    </w:p>
  </w:footnote>
  <w:footnote w:type="continuationSeparator" w:id="0">
    <w:p w14:paraId="7BAF9499" w14:textId="77777777" w:rsidR="005043CF" w:rsidRDefault="00504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11"/>
  </w:num>
  <w:num w:numId="3">
    <w:abstractNumId w:val="11"/>
  </w:num>
  <w:num w:numId="4">
    <w:abstractNumId w:val="11"/>
  </w:num>
  <w:num w:numId="5">
    <w:abstractNumId w:val="0"/>
  </w:num>
  <w:num w:numId="6">
    <w:abstractNumId w:val="6"/>
  </w:num>
  <w:num w:numId="7">
    <w:abstractNumId w:val="12"/>
  </w:num>
  <w:num w:numId="8">
    <w:abstractNumId w:val="1"/>
  </w:num>
  <w:num w:numId="9">
    <w:abstractNumId w:val="10"/>
  </w:num>
  <w:num w:numId="10">
    <w:abstractNumId w:val="14"/>
  </w:num>
  <w:num w:numId="11">
    <w:abstractNumId w:val="13"/>
  </w:num>
  <w:num w:numId="12">
    <w:abstractNumId w:val="5"/>
  </w:num>
  <w:num w:numId="13">
    <w:abstractNumId w:val="8"/>
  </w:num>
  <w:num w:numId="14">
    <w:abstractNumId w:val="2"/>
  </w:num>
  <w:num w:numId="15">
    <w:abstractNumId w:val="7"/>
  </w:num>
  <w:num w:numId="16">
    <w:abstractNumId w:val="3"/>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qQUAGIwl8SwAAAA="/>
  </w:docVars>
  <w:rsids>
    <w:rsidRoot w:val="00B63237"/>
    <w:rsid w:val="000267AC"/>
    <w:rsid w:val="000279DD"/>
    <w:rsid w:val="00032244"/>
    <w:rsid w:val="00032FC1"/>
    <w:rsid w:val="000415B9"/>
    <w:rsid w:val="00053775"/>
    <w:rsid w:val="00064E67"/>
    <w:rsid w:val="00091837"/>
    <w:rsid w:val="000D3D9B"/>
    <w:rsid w:val="000E0BA4"/>
    <w:rsid w:val="001023E5"/>
    <w:rsid w:val="001572DC"/>
    <w:rsid w:val="0016032F"/>
    <w:rsid w:val="00160C40"/>
    <w:rsid w:val="001879F6"/>
    <w:rsid w:val="001A7816"/>
    <w:rsid w:val="001B1DE3"/>
    <w:rsid w:val="001B33DD"/>
    <w:rsid w:val="001C0148"/>
    <w:rsid w:val="001C1013"/>
    <w:rsid w:val="001C757E"/>
    <w:rsid w:val="001D1524"/>
    <w:rsid w:val="001D51FA"/>
    <w:rsid w:val="001D5AD3"/>
    <w:rsid w:val="001F0369"/>
    <w:rsid w:val="001F624A"/>
    <w:rsid w:val="0020390F"/>
    <w:rsid w:val="00212DB6"/>
    <w:rsid w:val="00213844"/>
    <w:rsid w:val="00225A5B"/>
    <w:rsid w:val="0026374B"/>
    <w:rsid w:val="00264926"/>
    <w:rsid w:val="00270B06"/>
    <w:rsid w:val="002A30CB"/>
    <w:rsid w:val="002B02FF"/>
    <w:rsid w:val="002B1333"/>
    <w:rsid w:val="002D62C9"/>
    <w:rsid w:val="002E1438"/>
    <w:rsid w:val="002E1665"/>
    <w:rsid w:val="002F053D"/>
    <w:rsid w:val="002F2F8E"/>
    <w:rsid w:val="0033302A"/>
    <w:rsid w:val="00344D01"/>
    <w:rsid w:val="0036113D"/>
    <w:rsid w:val="003655EF"/>
    <w:rsid w:val="003702C5"/>
    <w:rsid w:val="00394A96"/>
    <w:rsid w:val="003A72A8"/>
    <w:rsid w:val="003D1582"/>
    <w:rsid w:val="003D7E4C"/>
    <w:rsid w:val="003E05E2"/>
    <w:rsid w:val="003E41C2"/>
    <w:rsid w:val="003F55DA"/>
    <w:rsid w:val="004043A8"/>
    <w:rsid w:val="00405DEF"/>
    <w:rsid w:val="00413A0B"/>
    <w:rsid w:val="004546D4"/>
    <w:rsid w:val="004601F2"/>
    <w:rsid w:val="004628E9"/>
    <w:rsid w:val="00483509"/>
    <w:rsid w:val="00496FB1"/>
    <w:rsid w:val="0049772C"/>
    <w:rsid w:val="0050057F"/>
    <w:rsid w:val="005043CF"/>
    <w:rsid w:val="00507296"/>
    <w:rsid w:val="00507CB7"/>
    <w:rsid w:val="00552EEB"/>
    <w:rsid w:val="00567D93"/>
    <w:rsid w:val="0057572A"/>
    <w:rsid w:val="00576B67"/>
    <w:rsid w:val="005869D8"/>
    <w:rsid w:val="005A42EE"/>
    <w:rsid w:val="005B0597"/>
    <w:rsid w:val="005B7E18"/>
    <w:rsid w:val="006132FF"/>
    <w:rsid w:val="00641E0D"/>
    <w:rsid w:val="00641F98"/>
    <w:rsid w:val="006505DB"/>
    <w:rsid w:val="00654179"/>
    <w:rsid w:val="006A1733"/>
    <w:rsid w:val="006A69BF"/>
    <w:rsid w:val="006B4C92"/>
    <w:rsid w:val="006C11D1"/>
    <w:rsid w:val="006D01A8"/>
    <w:rsid w:val="006D02FE"/>
    <w:rsid w:val="006D3C9C"/>
    <w:rsid w:val="006D52ED"/>
    <w:rsid w:val="006E6A82"/>
    <w:rsid w:val="00702780"/>
    <w:rsid w:val="00704835"/>
    <w:rsid w:val="00711DF4"/>
    <w:rsid w:val="00720E4F"/>
    <w:rsid w:val="00723122"/>
    <w:rsid w:val="007667B6"/>
    <w:rsid w:val="007711DA"/>
    <w:rsid w:val="00782F1C"/>
    <w:rsid w:val="007869E3"/>
    <w:rsid w:val="0078798C"/>
    <w:rsid w:val="007879D2"/>
    <w:rsid w:val="007A717D"/>
    <w:rsid w:val="007B59FB"/>
    <w:rsid w:val="007C185C"/>
    <w:rsid w:val="007C4353"/>
    <w:rsid w:val="007C79B6"/>
    <w:rsid w:val="007D70A1"/>
    <w:rsid w:val="007F0038"/>
    <w:rsid w:val="007F0BEC"/>
    <w:rsid w:val="008132E8"/>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4A80"/>
    <w:rsid w:val="00935375"/>
    <w:rsid w:val="00943838"/>
    <w:rsid w:val="00945C26"/>
    <w:rsid w:val="00950D1C"/>
    <w:rsid w:val="00970E5D"/>
    <w:rsid w:val="009727E7"/>
    <w:rsid w:val="0097701C"/>
    <w:rsid w:val="00980A65"/>
    <w:rsid w:val="009822B9"/>
    <w:rsid w:val="009876AE"/>
    <w:rsid w:val="009A558C"/>
    <w:rsid w:val="009B0FFB"/>
    <w:rsid w:val="009B5336"/>
    <w:rsid w:val="009B707C"/>
    <w:rsid w:val="009C051D"/>
    <w:rsid w:val="009D32C1"/>
    <w:rsid w:val="009D6578"/>
    <w:rsid w:val="009D7978"/>
    <w:rsid w:val="009E0E97"/>
    <w:rsid w:val="00A00CAA"/>
    <w:rsid w:val="00A01662"/>
    <w:rsid w:val="00A01693"/>
    <w:rsid w:val="00A055D0"/>
    <w:rsid w:val="00A25E70"/>
    <w:rsid w:val="00A33765"/>
    <w:rsid w:val="00A46CC2"/>
    <w:rsid w:val="00A54FA6"/>
    <w:rsid w:val="00A63269"/>
    <w:rsid w:val="00A75845"/>
    <w:rsid w:val="00A92377"/>
    <w:rsid w:val="00AA06CC"/>
    <w:rsid w:val="00AA2DC8"/>
    <w:rsid w:val="00AA5D4A"/>
    <w:rsid w:val="00AB29ED"/>
    <w:rsid w:val="00AD13E7"/>
    <w:rsid w:val="00AE4BD8"/>
    <w:rsid w:val="00AE6403"/>
    <w:rsid w:val="00AF7F60"/>
    <w:rsid w:val="00B034DE"/>
    <w:rsid w:val="00B15BBC"/>
    <w:rsid w:val="00B17927"/>
    <w:rsid w:val="00B37719"/>
    <w:rsid w:val="00B4388F"/>
    <w:rsid w:val="00B63237"/>
    <w:rsid w:val="00B7695B"/>
    <w:rsid w:val="00B827AA"/>
    <w:rsid w:val="00B96FD8"/>
    <w:rsid w:val="00BB2CE2"/>
    <w:rsid w:val="00BD2651"/>
    <w:rsid w:val="00BD3A16"/>
    <w:rsid w:val="00BF7B57"/>
    <w:rsid w:val="00C00AC9"/>
    <w:rsid w:val="00C3037C"/>
    <w:rsid w:val="00C344CE"/>
    <w:rsid w:val="00C359ED"/>
    <w:rsid w:val="00C430E7"/>
    <w:rsid w:val="00C55D7C"/>
    <w:rsid w:val="00C71A0E"/>
    <w:rsid w:val="00C77343"/>
    <w:rsid w:val="00C960DC"/>
    <w:rsid w:val="00CA72D0"/>
    <w:rsid w:val="00CC2DEF"/>
    <w:rsid w:val="00CF078F"/>
    <w:rsid w:val="00D02C75"/>
    <w:rsid w:val="00D10E22"/>
    <w:rsid w:val="00D13D2C"/>
    <w:rsid w:val="00D33EC8"/>
    <w:rsid w:val="00D33FEE"/>
    <w:rsid w:val="00D37222"/>
    <w:rsid w:val="00D51712"/>
    <w:rsid w:val="00D51DF6"/>
    <w:rsid w:val="00D7441A"/>
    <w:rsid w:val="00D92C68"/>
    <w:rsid w:val="00DA4641"/>
    <w:rsid w:val="00DC2F94"/>
    <w:rsid w:val="00DC5673"/>
    <w:rsid w:val="00DD21A2"/>
    <w:rsid w:val="00DD3D9E"/>
    <w:rsid w:val="00DD7908"/>
    <w:rsid w:val="00E3315A"/>
    <w:rsid w:val="00E422A2"/>
    <w:rsid w:val="00E82297"/>
    <w:rsid w:val="00EA467C"/>
    <w:rsid w:val="00ED0B0F"/>
    <w:rsid w:val="00ED1670"/>
    <w:rsid w:val="00EF2BFB"/>
    <w:rsid w:val="00EF39FD"/>
    <w:rsid w:val="00F06842"/>
    <w:rsid w:val="00F107FD"/>
    <w:rsid w:val="00F25A8E"/>
    <w:rsid w:val="00FB64A8"/>
    <w:rsid w:val="00FB6A08"/>
    <w:rsid w:val="00FC1388"/>
    <w:rsid w:val="00FD20E5"/>
    <w:rsid w:val="00FE42D4"/>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 w:type="paragraph" w:styleId="Revision">
    <w:name w:val="Revision"/>
    <w:hidden/>
    <w:uiPriority w:val="99"/>
    <w:semiHidden/>
    <w:rsid w:val="002F2F8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F17CE-0C42-438D-A240-97F486B05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Template>
  <TotalTime>0</TotalTime>
  <Pages>3</Pages>
  <Words>2934</Words>
  <Characters>16730</Characters>
  <Application>Microsoft Office Word</Application>
  <DocSecurity>0</DocSecurity>
  <Lines>139</Lines>
  <Paragraphs>39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58</cp:revision>
  <cp:lastPrinted>2004-12-17T09:20:00Z</cp:lastPrinted>
  <dcterms:created xsi:type="dcterms:W3CDTF">2023-11-27T09:21:00Z</dcterms:created>
  <dcterms:modified xsi:type="dcterms:W3CDTF">2023-11-29T05:19:00Z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id="lTtA2v4q"/&gt;&lt;style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