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ACE033" w14:textId="58D6BDAD" w:rsidR="00511341" w:rsidRPr="001E566D" w:rsidRDefault="00901EC5" w:rsidP="00511341">
      <w:pPr>
        <w:spacing w:before="120" w:after="120" w:line="276" w:lineRule="auto"/>
        <w:jc w:val="center"/>
        <w:rPr>
          <w:b/>
          <w:sz w:val="28"/>
          <w:lang w:val="en-US"/>
        </w:rPr>
      </w:pPr>
      <w:r>
        <w:rPr>
          <w:b/>
          <w:sz w:val="28"/>
          <w:lang w:val="en-US"/>
        </w:rPr>
        <w:t>Climate policies can greatly reduce the environmental footprint of green</w:t>
      </w:r>
      <w:r w:rsidR="00511341" w:rsidRPr="001E566D">
        <w:rPr>
          <w:b/>
          <w:sz w:val="28"/>
          <w:lang w:val="en-US"/>
        </w:rPr>
        <w:t xml:space="preserve"> chemicals</w:t>
      </w:r>
    </w:p>
    <w:p w14:paraId="0B21C8CA" w14:textId="77777777" w:rsidR="00511341" w:rsidRPr="001E566D" w:rsidRDefault="00511341" w:rsidP="00511341">
      <w:pPr>
        <w:spacing w:before="120" w:after="120" w:line="276" w:lineRule="auto"/>
        <w:jc w:val="center"/>
        <w:rPr>
          <w:sz w:val="20"/>
          <w:szCs w:val="20"/>
          <w:lang w:val="en-US"/>
        </w:rPr>
      </w:pPr>
      <w:r w:rsidRPr="001E566D">
        <w:rPr>
          <w:sz w:val="20"/>
          <w:szCs w:val="20"/>
          <w:lang w:val="en-US"/>
        </w:rPr>
        <w:t>Abhinandan</w:t>
      </w:r>
      <w:r w:rsidR="005C2E59">
        <w:rPr>
          <w:sz w:val="20"/>
          <w:szCs w:val="20"/>
          <w:lang w:val="en-US"/>
        </w:rPr>
        <w:t> </w:t>
      </w:r>
      <w:proofErr w:type="spellStart"/>
      <w:r w:rsidRPr="001E566D">
        <w:rPr>
          <w:sz w:val="20"/>
          <w:szCs w:val="20"/>
          <w:lang w:val="en-US"/>
        </w:rPr>
        <w:t>Nabera</w:t>
      </w:r>
      <w:r w:rsidRPr="001E566D">
        <w:rPr>
          <w:sz w:val="20"/>
          <w:szCs w:val="20"/>
          <w:vertAlign w:val="superscript"/>
          <w:lang w:val="en-US"/>
        </w:rPr>
        <w:t>a</w:t>
      </w:r>
      <w:proofErr w:type="spellEnd"/>
      <w:r w:rsidRPr="001E566D">
        <w:rPr>
          <w:sz w:val="20"/>
          <w:szCs w:val="20"/>
          <w:lang w:val="en-US"/>
        </w:rPr>
        <w:t>, Antonio</w:t>
      </w:r>
      <w:r w:rsidR="005C2E59">
        <w:rPr>
          <w:sz w:val="20"/>
          <w:szCs w:val="20"/>
          <w:lang w:val="en-US"/>
        </w:rPr>
        <w:t> </w:t>
      </w:r>
      <w:r w:rsidRPr="001E566D">
        <w:rPr>
          <w:sz w:val="20"/>
          <w:szCs w:val="20"/>
          <w:lang w:val="en-US"/>
        </w:rPr>
        <w:t>José</w:t>
      </w:r>
      <w:r w:rsidR="005C2E59">
        <w:rPr>
          <w:sz w:val="20"/>
          <w:szCs w:val="20"/>
          <w:lang w:val="en-US"/>
        </w:rPr>
        <w:t> </w:t>
      </w:r>
      <w:proofErr w:type="spellStart"/>
      <w:r w:rsidRPr="001E566D">
        <w:rPr>
          <w:sz w:val="20"/>
          <w:szCs w:val="20"/>
          <w:lang w:val="en-US"/>
        </w:rPr>
        <w:t>Martín</w:t>
      </w:r>
      <w:r w:rsidRPr="001E566D">
        <w:rPr>
          <w:sz w:val="20"/>
          <w:szCs w:val="20"/>
          <w:vertAlign w:val="superscript"/>
          <w:lang w:val="en-US"/>
        </w:rPr>
        <w:t>a</w:t>
      </w:r>
      <w:proofErr w:type="spellEnd"/>
      <w:r w:rsidRPr="001E566D">
        <w:rPr>
          <w:sz w:val="20"/>
          <w:szCs w:val="20"/>
          <w:lang w:val="en-US"/>
        </w:rPr>
        <w:t>, Robert</w:t>
      </w:r>
      <w:r w:rsidR="005C2E59">
        <w:rPr>
          <w:sz w:val="20"/>
          <w:szCs w:val="20"/>
          <w:lang w:val="en-US"/>
        </w:rPr>
        <w:t> </w:t>
      </w:r>
      <w:proofErr w:type="spellStart"/>
      <w:r w:rsidRPr="001E566D">
        <w:rPr>
          <w:sz w:val="20"/>
          <w:szCs w:val="20"/>
          <w:lang w:val="en-US"/>
        </w:rPr>
        <w:t>Istrate</w:t>
      </w:r>
      <w:r w:rsidRPr="001E566D">
        <w:rPr>
          <w:sz w:val="20"/>
          <w:szCs w:val="20"/>
          <w:vertAlign w:val="superscript"/>
          <w:lang w:val="en-US"/>
        </w:rPr>
        <w:t>b</w:t>
      </w:r>
      <w:proofErr w:type="spellEnd"/>
      <w:r w:rsidRPr="001E566D">
        <w:rPr>
          <w:sz w:val="20"/>
          <w:szCs w:val="20"/>
          <w:lang w:val="en-US"/>
        </w:rPr>
        <w:t>, Javier</w:t>
      </w:r>
      <w:r w:rsidR="005C2E59">
        <w:rPr>
          <w:sz w:val="20"/>
          <w:szCs w:val="20"/>
          <w:lang w:val="en-US"/>
        </w:rPr>
        <w:t> </w:t>
      </w:r>
      <w:r w:rsidRPr="001E566D">
        <w:rPr>
          <w:sz w:val="20"/>
          <w:szCs w:val="20"/>
          <w:lang w:val="en-US"/>
        </w:rPr>
        <w:t>Pérez</w:t>
      </w:r>
      <w:r w:rsidRPr="001E566D">
        <w:rPr>
          <w:sz w:val="20"/>
          <w:szCs w:val="20"/>
          <w:lang w:val="en-US"/>
        </w:rPr>
        <w:noBreakHyphen/>
      </w:r>
      <w:proofErr w:type="spellStart"/>
      <w:r w:rsidRPr="001E566D">
        <w:rPr>
          <w:sz w:val="20"/>
          <w:szCs w:val="20"/>
          <w:lang w:val="en-US"/>
        </w:rPr>
        <w:t>Ramírez</w:t>
      </w:r>
      <w:r w:rsidRPr="001E566D">
        <w:rPr>
          <w:sz w:val="20"/>
          <w:szCs w:val="20"/>
          <w:vertAlign w:val="superscript"/>
          <w:lang w:val="en-US"/>
        </w:rPr>
        <w:t>a</w:t>
      </w:r>
      <w:proofErr w:type="spellEnd"/>
      <w:r w:rsidRPr="001E566D">
        <w:rPr>
          <w:sz w:val="20"/>
          <w:szCs w:val="20"/>
          <w:lang w:val="en-US"/>
        </w:rPr>
        <w:t>, Gonzalo </w:t>
      </w:r>
      <w:proofErr w:type="spellStart"/>
      <w:r w:rsidRPr="001E566D">
        <w:rPr>
          <w:sz w:val="20"/>
          <w:szCs w:val="20"/>
          <w:lang w:val="en-US"/>
        </w:rPr>
        <w:t>Guillén</w:t>
      </w:r>
      <w:r w:rsidRPr="001E566D">
        <w:rPr>
          <w:sz w:val="20"/>
          <w:szCs w:val="20"/>
          <w:lang w:val="en-US"/>
        </w:rPr>
        <w:noBreakHyphen/>
        <w:t>Gosálbez</w:t>
      </w:r>
      <w:r w:rsidRPr="001E566D">
        <w:rPr>
          <w:sz w:val="20"/>
          <w:szCs w:val="20"/>
          <w:vertAlign w:val="superscript"/>
          <w:lang w:val="en-US"/>
        </w:rPr>
        <w:t>a</w:t>
      </w:r>
      <w:proofErr w:type="spellEnd"/>
    </w:p>
    <w:p w14:paraId="2A20B311" w14:textId="77777777" w:rsidR="00511341" w:rsidRPr="001E566D" w:rsidRDefault="00511341" w:rsidP="00511341">
      <w:pPr>
        <w:pStyle w:val="Els-Affiliation"/>
        <w:spacing w:line="240" w:lineRule="auto"/>
        <w:jc w:val="both"/>
        <w:rPr>
          <w:rFonts w:asciiTheme="minorHAnsi" w:hAnsiTheme="minorHAnsi"/>
          <w:i w:val="0"/>
          <w:lang w:val="en-US"/>
        </w:rPr>
      </w:pPr>
      <w:r w:rsidRPr="001E566D">
        <w:rPr>
          <w:rFonts w:asciiTheme="minorHAnsi" w:hAnsiTheme="minorHAnsi"/>
          <w:i w:val="0"/>
          <w:vertAlign w:val="superscript"/>
          <w:lang w:val="en-US"/>
        </w:rPr>
        <w:t>a</w:t>
      </w:r>
      <w:r w:rsidRPr="001E566D">
        <w:rPr>
          <w:rFonts w:asciiTheme="minorHAnsi" w:hAnsiTheme="minorHAnsi"/>
          <w:i w:val="0"/>
          <w:lang w:val="en-US"/>
        </w:rPr>
        <w:t>Department of Chemistry and Applied Biosciences, Institute for Chemical and Bioengineering, ETH Zurich, Vladimir-Prelog-Weg 1, 8093 Zurich, Switzerland</w:t>
      </w:r>
    </w:p>
    <w:p w14:paraId="43826A2B" w14:textId="77777777" w:rsidR="00511341" w:rsidRPr="001E566D" w:rsidRDefault="00511341" w:rsidP="00511341">
      <w:pPr>
        <w:pStyle w:val="Els-Affiliation"/>
        <w:spacing w:line="240" w:lineRule="auto"/>
        <w:rPr>
          <w:rFonts w:asciiTheme="minorHAnsi" w:hAnsiTheme="minorHAnsi" w:cstheme="minorHAnsi"/>
          <w:i w:val="0"/>
          <w:lang w:val="en-US"/>
        </w:rPr>
      </w:pPr>
      <w:r w:rsidRPr="001E566D">
        <w:rPr>
          <w:rFonts w:asciiTheme="minorHAnsi" w:hAnsiTheme="minorHAnsi"/>
          <w:i w:val="0"/>
          <w:vertAlign w:val="superscript"/>
          <w:lang w:val="en-US"/>
        </w:rPr>
        <w:t>b</w:t>
      </w:r>
      <w:r w:rsidRPr="001E566D">
        <w:rPr>
          <w:rFonts w:asciiTheme="minorHAnsi" w:hAnsiTheme="minorHAnsi" w:cstheme="minorHAnsi"/>
          <w:i w:val="0"/>
          <w:lang w:val="en-US"/>
        </w:rPr>
        <w:t>Institute of Environmental Sciences (CML), Leiden University, 2333 CC Leiden, The Netherlands</w:t>
      </w:r>
    </w:p>
    <w:p w14:paraId="7D2FC909" w14:textId="77777777" w:rsidR="00511341" w:rsidRPr="001E566D" w:rsidRDefault="00511341" w:rsidP="005D3C44">
      <w:pPr>
        <w:spacing w:after="0"/>
        <w:jc w:val="both"/>
        <w:rPr>
          <w:b/>
          <w:sz w:val="28"/>
          <w:szCs w:val="24"/>
          <w:lang w:val="en-US"/>
        </w:rPr>
      </w:pPr>
    </w:p>
    <w:p w14:paraId="2D40612C" w14:textId="77777777" w:rsidR="00511341" w:rsidRPr="001E566D" w:rsidRDefault="00511341" w:rsidP="00511341">
      <w:pPr>
        <w:jc w:val="center"/>
        <w:rPr>
          <w:b/>
          <w:sz w:val="24"/>
          <w:szCs w:val="24"/>
          <w:lang w:val="en-US"/>
        </w:rPr>
      </w:pPr>
      <w:r w:rsidRPr="001E566D">
        <w:rPr>
          <w:b/>
          <w:sz w:val="24"/>
          <w:szCs w:val="24"/>
          <w:lang w:val="en-US"/>
        </w:rPr>
        <w:t>Abstract</w:t>
      </w:r>
    </w:p>
    <w:p w14:paraId="19DC950D" w14:textId="41377ED3" w:rsidR="00511341" w:rsidRPr="001E566D" w:rsidRDefault="00FB027B" w:rsidP="00511341">
      <w:pPr>
        <w:jc w:val="both"/>
        <w:rPr>
          <w:lang w:val="en-US"/>
        </w:rPr>
      </w:pPr>
      <w:r w:rsidRPr="001E566D">
        <w:rPr>
          <w:lang w:val="en-US"/>
        </w:rPr>
        <w:t>The chemical industry poses a formidable challenge towards decarbonization, primarily due to its heavy reliance on fossil fuels</w:t>
      </w:r>
      <w:r w:rsidR="00901EC5">
        <w:rPr>
          <w:lang w:val="en-US"/>
        </w:rPr>
        <w:t xml:space="preserve"> as carbon and energy sources</w:t>
      </w:r>
      <w:r w:rsidRPr="001E566D">
        <w:rPr>
          <w:lang w:val="en-US"/>
        </w:rPr>
        <w:t>, leading to 5.6 Gt CO</w:t>
      </w:r>
      <w:r w:rsidRPr="001E566D">
        <w:rPr>
          <w:vertAlign w:val="subscript"/>
          <w:lang w:val="en-US"/>
        </w:rPr>
        <w:t>2</w:t>
      </w:r>
      <w:r w:rsidRPr="001E566D">
        <w:rPr>
          <w:lang w:val="en-US"/>
        </w:rPr>
        <w:noBreakHyphen/>
      </w:r>
      <w:commentRangeStart w:id="0"/>
      <w:r w:rsidRPr="001E566D">
        <w:rPr>
          <w:lang w:val="en-US"/>
        </w:rPr>
        <w:t>eq</w:t>
      </w:r>
      <w:commentRangeEnd w:id="0"/>
      <w:r w:rsidR="00901EC5">
        <w:rPr>
          <w:rStyle w:val="CommentReference"/>
        </w:rPr>
        <w:commentReference w:id="0"/>
      </w:r>
      <w:r w:rsidRPr="001E566D">
        <w:rPr>
          <w:lang w:val="en-US"/>
        </w:rPr>
        <w:t>, accounting for 10% of global GHG emissions</w:t>
      </w:r>
      <w:r w:rsidR="007877FC">
        <w:rPr>
          <w:lang w:val="en-US"/>
        </w:rPr>
        <w:t xml:space="preserve"> </w:t>
      </w:r>
      <w:r w:rsidR="007877FC">
        <w:rPr>
          <w:lang w:val="en-US"/>
        </w:rPr>
        <w:fldChar w:fldCharType="begin"/>
      </w:r>
      <w:r w:rsidR="007877FC">
        <w:rPr>
          <w:lang w:val="en-US"/>
        </w:rPr>
        <w:instrText xml:space="preserve"> ADDIN ZOTERO_ITEM CSL_CITATION {"citationID":"GR4tlbrE","properties":{"formattedCitation":"[1]","plainCitation":"[1]","noteIndex":0},"citationItems":[{"id":189,"uris":["http://zotero.org/users/local/gMmtBwrT/items/DGN7SFQM"],"itemData":{"id":189,"type":"article-journal","abstract":"Chemicals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Engineering","DOI":"https://doi.org/10.1016/j.coche.2022.100881","ISSN":"2211-3398","page":"100881","title":"Mapping GHG emissions and prospects for renewable energy in the chemical industry","volume":"39","author":[{"family":"Bauer","given":"Fredric"},{"family":"Tilsted","given":"Joachim P."},{"family":"Pfister","given":"Stephan"},{"family":"Oberschelp","given":"Christopher"},{"family":"Kulionis","given":"Viktoras"}],"issued":{"date-parts":[["2023"]]}}}],"schema":"https://github.com/citation-style-language/schema/raw/master/csl-citation.json"} </w:instrText>
      </w:r>
      <w:r w:rsidR="007877FC">
        <w:rPr>
          <w:lang w:val="en-US"/>
        </w:rPr>
        <w:fldChar w:fldCharType="separate"/>
      </w:r>
      <w:r w:rsidR="007877FC" w:rsidRPr="007877FC">
        <w:rPr>
          <w:rFonts w:ascii="Calibri" w:hAnsi="Calibri" w:cs="Calibri"/>
        </w:rPr>
        <w:t>[1]</w:t>
      </w:r>
      <w:r w:rsidR="007877FC">
        <w:rPr>
          <w:lang w:val="en-US"/>
        </w:rPr>
        <w:fldChar w:fldCharType="end"/>
      </w:r>
      <w:r w:rsidRPr="001E566D">
        <w:rPr>
          <w:lang w:val="en-US"/>
        </w:rPr>
        <w:t xml:space="preserve">. </w:t>
      </w:r>
      <w:r w:rsidR="00901EC5">
        <w:rPr>
          <w:lang w:val="en-US"/>
        </w:rPr>
        <w:t>Specifically, t</w:t>
      </w:r>
      <w:r w:rsidRPr="001E566D">
        <w:rPr>
          <w:lang w:val="en-US"/>
        </w:rPr>
        <w:t xml:space="preserve">raditional routes of platform chemicals like ammonia and methanol are catalytic processes, </w:t>
      </w:r>
      <w:r w:rsidR="00901EC5">
        <w:rPr>
          <w:lang w:val="en-US"/>
        </w:rPr>
        <w:t xml:space="preserve">currently heavily </w:t>
      </w:r>
      <w:r w:rsidRPr="001E566D">
        <w:rPr>
          <w:lang w:val="en-US"/>
        </w:rPr>
        <w:t>relying on natural gas for their production and resulting in significant CO</w:t>
      </w:r>
      <w:r w:rsidRPr="001E566D">
        <w:rPr>
          <w:vertAlign w:val="subscript"/>
          <w:lang w:val="en-US"/>
        </w:rPr>
        <w:t>2</w:t>
      </w:r>
      <w:r w:rsidRPr="001E566D">
        <w:rPr>
          <w:lang w:val="en-US"/>
        </w:rPr>
        <w:t xml:space="preserve"> emissions (560 Mt y</w:t>
      </w:r>
      <w:r w:rsidR="002E3AF4">
        <w:rPr>
          <w:vertAlign w:val="superscript"/>
          <w:lang w:val="en-US"/>
        </w:rPr>
        <w:t>–</w:t>
      </w:r>
      <w:r w:rsidRPr="001E566D">
        <w:rPr>
          <w:vertAlign w:val="superscript"/>
          <w:lang w:val="en-US"/>
        </w:rPr>
        <w:t>1</w:t>
      </w:r>
      <w:r w:rsidRPr="001E566D">
        <w:rPr>
          <w:lang w:val="en-US"/>
        </w:rPr>
        <w:t>)</w:t>
      </w:r>
      <w:r w:rsidR="00504C61">
        <w:rPr>
          <w:lang w:val="en-US"/>
        </w:rPr>
        <w:t xml:space="preserve"> </w:t>
      </w:r>
      <w:r w:rsidR="00504C61">
        <w:rPr>
          <w:lang w:val="en-US"/>
        </w:rPr>
        <w:fldChar w:fldCharType="begin"/>
      </w:r>
      <w:r w:rsidR="00504C61">
        <w:rPr>
          <w:lang w:val="en-US"/>
        </w:rPr>
        <w:instrText xml:space="preserve"> ADDIN ZOTERO_ITEM CSL_CITATION {"citationID":"4w7iPtY5","properties":{"formattedCitation":"[2]","plainCitation":"[2]","noteIndex":0},"citationItems":[{"id":297,"uris":["http://zotero.org/users/local/gMmtBwrT/items/736BXPD2"],"itemData":{"id":297,"type":"article-journal","abstract":"The chemical industry is responsible for about 5% of global CO2 emissions and is key to achieving net-zero targets. Decarbonizing this industry, nevertheless, faces particular challenges given the widespread use of carbon-rich raw materials, the need for high-temperature heat, and the complex global value chains. Multiple technology routes are now available for producing chemicals with net-zero CO2 emissions based on biomass, recycling, and carbon capture, utilization, and storage. However, the extent to which these routes are viable with respect to local availability of energy and natural resources remains unclear. In this review, we compare net-zero routes by quantifying their energy, land, and water requirements and the corresponding induced resource scarcity at the country level and further discuss the technical and environmental viability of a net-zero chemical industry. We ﬁnd that a net-zero chemical industry will require location-speciﬁc integrated solutions that combine net-zero routes with circular approaches and demand-side measures and might result in a reshaping of the global chemicals trade.","container-title":"One Earth","DOI":"10.1016/j.oneear.2023.05.006","ISSN":"25903322","issue":"6","journalAbbreviation":"One Earth","language":"en","page":"682-704","source":"DOI.org (Crossref)","title":"Net-zero emissions chemical industry in a world of limited resources","volume":"6","author":[{"family":"Gabrielli","given":"Paolo"},{"family":"Rosa","given":"Lorenzo"},{"family":"Gazzani","given":"Matteo"},{"family":"Meys","given":"Raoul"},{"family":"Bardow","given":"André"},{"family":"Mazzotti","given":"Marco"},{"family":"Sansavini","given":"Giovanni"}],"issued":{"date-parts":[["2023",6]]}}}],"schema":"https://github.com/citation-style-language/schema/raw/master/csl-citation.json"} </w:instrText>
      </w:r>
      <w:r w:rsidR="00504C61">
        <w:rPr>
          <w:lang w:val="en-US"/>
        </w:rPr>
        <w:fldChar w:fldCharType="separate"/>
      </w:r>
      <w:r w:rsidR="00504C61" w:rsidRPr="00504C61">
        <w:rPr>
          <w:rFonts w:ascii="Calibri" w:hAnsi="Calibri" w:cs="Calibri"/>
        </w:rPr>
        <w:t>[2]</w:t>
      </w:r>
      <w:r w:rsidR="00504C61">
        <w:rPr>
          <w:lang w:val="en-US"/>
        </w:rPr>
        <w:fldChar w:fldCharType="end"/>
      </w:r>
      <w:r w:rsidRPr="001E566D">
        <w:rPr>
          <w:lang w:val="en-US"/>
        </w:rPr>
        <w:t>. About one</w:t>
      </w:r>
      <w:r w:rsidRPr="001E566D">
        <w:rPr>
          <w:lang w:val="en-US"/>
        </w:rPr>
        <w:noBreakHyphen/>
        <w:t xml:space="preserve">third of these </w:t>
      </w:r>
      <w:commentRangeStart w:id="1"/>
      <w:r w:rsidRPr="001E566D">
        <w:rPr>
          <w:lang w:val="en-US"/>
        </w:rPr>
        <w:t>emissions</w:t>
      </w:r>
      <w:commentRangeEnd w:id="1"/>
      <w:r w:rsidR="00901EC5">
        <w:rPr>
          <w:rStyle w:val="CommentReference"/>
        </w:rPr>
        <w:commentReference w:id="1"/>
      </w:r>
      <w:r w:rsidRPr="001E566D">
        <w:rPr>
          <w:lang w:val="en-US"/>
        </w:rPr>
        <w:t xml:space="preserve"> are direct, while the remaining are attributed to energy acquisition and the upstream value chain</w:t>
      </w:r>
      <w:r w:rsidR="00504C61">
        <w:rPr>
          <w:lang w:val="en-US"/>
        </w:rPr>
        <w:t xml:space="preserve"> </w:t>
      </w:r>
      <w:r w:rsidR="00504C61">
        <w:rPr>
          <w:lang w:val="en-US"/>
        </w:rPr>
        <w:fldChar w:fldCharType="begin"/>
      </w:r>
      <w:r w:rsidR="00504C61">
        <w:rPr>
          <w:lang w:val="en-US"/>
        </w:rPr>
        <w:instrText xml:space="preserve"> ADDIN ZOTERO_ITEM CSL_CITATION {"citationID":"oikiajCb","properties":{"formattedCitation":"[1]","plainCitation":"[1]","noteIndex":0},"citationItems":[{"id":189,"uris":["http://zotero.org/users/local/gMmtBwrT/items/DGN7SFQM"],"itemData":{"id":189,"type":"article-journal","abstract":"Chemicals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Engineering","DOI":"https://doi.org/10.1016/j.coche.2022.100881","ISSN":"2211-3398","page":"100881","title":"Mapping GHG emissions and prospects for renewable energy in the chemical industry","volume":"39","author":[{"family":"Bauer","given":"Fredric"},{"family":"Tilsted","given":"Joachim P."},{"family":"Pfister","given":"Stephan"},{"family":"Oberschelp","given":"Christopher"},{"family":"Kulionis","given":"Viktoras"}],"issued":{"date-parts":[["2023"]]}}}],"schema":"https://github.com/citation-style-language/schema/raw/master/csl-citation.json"} </w:instrText>
      </w:r>
      <w:r w:rsidR="00504C61">
        <w:rPr>
          <w:lang w:val="en-US"/>
        </w:rPr>
        <w:fldChar w:fldCharType="separate"/>
      </w:r>
      <w:r w:rsidR="00504C61" w:rsidRPr="00504C61">
        <w:rPr>
          <w:rFonts w:ascii="Calibri" w:hAnsi="Calibri" w:cs="Calibri"/>
        </w:rPr>
        <w:t>[1]</w:t>
      </w:r>
      <w:r w:rsidR="00504C61">
        <w:rPr>
          <w:lang w:val="en-US"/>
        </w:rPr>
        <w:fldChar w:fldCharType="end"/>
      </w:r>
      <w:r w:rsidRPr="001E566D">
        <w:rPr>
          <w:lang w:val="en-US"/>
        </w:rPr>
        <w:t>. This challenging dependence on global energy systems and supply chains also presents an opportunity to reduce environmental impacts in platform chemical production through other key sector decarbonization strategies.</w:t>
      </w:r>
    </w:p>
    <w:p w14:paraId="3E4ED2D0" w14:textId="77777777" w:rsidR="00345A96" w:rsidRPr="001E566D" w:rsidRDefault="001F5FE6" w:rsidP="00511341">
      <w:pPr>
        <w:jc w:val="both"/>
        <w:rPr>
          <w:lang w:val="en-US"/>
        </w:rPr>
      </w:pPr>
      <w:r w:rsidRPr="001E566D">
        <w:rPr>
          <w:lang w:val="en-US"/>
        </w:rPr>
        <w:t>In recent years, emerging catalytic technologies have played a crucial role in advancing low</w:t>
      </w:r>
      <w:r w:rsidRPr="001E566D">
        <w:rPr>
          <w:lang w:val="en-US"/>
        </w:rPr>
        <w:noBreakHyphen/>
        <w:t>carbon production routes for these chemicals. Greener production routes for ammonia and methanol</w:t>
      </w:r>
      <w:r w:rsidR="00021DAB">
        <w:rPr>
          <w:lang w:val="en-US"/>
        </w:rPr>
        <w:t>,</w:t>
      </w:r>
      <w:r w:rsidRPr="001E566D">
        <w:rPr>
          <w:lang w:val="en-US"/>
        </w:rPr>
        <w:t xml:space="preserve"> based on green hydrogen</w:t>
      </w:r>
      <w:r w:rsidR="006142B4">
        <w:rPr>
          <w:lang w:val="en-US"/>
        </w:rPr>
        <w:t>,</w:t>
      </w:r>
      <w:r w:rsidRPr="001E566D">
        <w:rPr>
          <w:lang w:val="en-US"/>
        </w:rPr>
        <w:t xml:space="preserve"> have been put forward more recently, with their environmental performance evaluated through life cycle assessments (LCAs)</w:t>
      </w:r>
      <w:r w:rsidR="00504C61">
        <w:rPr>
          <w:lang w:val="en-US"/>
        </w:rPr>
        <w:t xml:space="preserve"> </w:t>
      </w:r>
      <w:r w:rsidR="00504C61">
        <w:rPr>
          <w:lang w:val="en-US"/>
        </w:rPr>
        <w:fldChar w:fldCharType="begin"/>
      </w:r>
      <w:r w:rsidR="00504C61">
        <w:rPr>
          <w:lang w:val="en-US"/>
        </w:rPr>
        <w:instrText xml:space="preserve"> ADDIN ZOTERO_ITEM CSL_CITATION {"citationID":"HYtwteHJ","properties":{"formattedCitation":"[3\\uc0\\u8211{}5]","plainCitation":"[3–5]","noteIndex":0},"citationItems":[{"id":324,"uris":["http://zotero.org/users/local/gMmtBwrT/items/B5948C9S"],"itemData":{"id":324,"type":"article-journal","abstract":"A planetary boundary analysis of decentralised electrocatalytic ammonia synthesis powered by solar energy reveals its potential and provides regional performance figures of merit. Conditions for economic viability are discussed.\n          , \n            \n              Intense efforts have been devoted to developing green and blue centralised Haber–Bosch processes (gHB and bHB, respectively), but the feasibility of a decentralised and more sustainable scheme has yet to be assessed. Here we reveal the conditions under which small-scale systems (NH\n              3\n              -leaves) based on the electrocatalytic reduction of nitrogen (eN\n              2\n              R) powered by photovoltaic energy could realise a decentralised scheme competitive in terms of environmental and economic criteria. For this purpose, we calculated energy efficiency targets worldwide, providing clear values that may guide research in the incipient eN\n              2\n              R field. Even at this germinal stage, the NH\n              3\n              -leaf technology would compete favourably in sunny locations for CO\n              2\n              -related Earth-system processes and human health relative to the business-as-usual production scenario. Moreover, a modest 8% gain in energy efficiency would already make them outperform the gHB in terms of climate change-related impacts in the sunniest locations. If no CO\n              2\n              taxation is enforced, the lowest estimated ammonia production cost would be 3 times the industrial standard, with the potential to match it provided a substantial decrease of investment costs and very high selectivity toward ammonia in eN\n              2\n              R are achieved. The disclosed sustainability potential of NH\n              3\n              -leaf makes it a strong ally of gHB toward defossilised ammonia production.","container-title":"Energy &amp; Environmental Science","DOI":"10.1039/D2EE02683J","ISSN":"1754-5692, 1754-5706","issue":"8","journalAbbreviation":"Energy Environ. Sci.","language":"en","page":"3314-3330","source":"DOI.org (Crossref)","title":"Environmental and economic potential of decentralised electrocatalytic ammonia synthesis powered by solar energy","volume":"16","author":[{"family":"D’Angelo","given":"Sebastiano C."},{"family":"Martín","given":"Antonio J."},{"family":"Cobo","given":"Selene"},{"family":"Ordóñez","given":"Diego Freire"},{"family":"Guillén-Gosálbez","given":"Gonzalo"},{"family":"Pérez-Ramírez","given":"Javier"}],"issued":{"date-parts":[["2023"]]}}},{"id":373,"uris":["http://zotero.org/users/local/gMmtBwrT/items/YBQDCQ4Q"],"itemData":{"id":373,"type":"article-journal","abstract":"Green ammonia production is facing increasing interest on a global scale as a hydrogen carrier for power generation as well as fertilizer for food production. The conventional Haber-Bosch method for ammonia synthesis is energy demanding, requires high purity hydrogen, and is based on fossil fuels. A preliminary techno-economic model for electrochemical ammonia synthesis at near ambient pressure using feed rates of 32 metric ton/ day for hydrogen and 135 metric ton/day for nitrogen is presented in this study. Various pathways using different methods for nitrogen generation and hydrogen production were investigated to gain insight into added energy savings per metric ton of ammonia. Electrochemical synthesis using electrolysis for hydrogen and cryogenic nitrogen was found to be a potentially viable pathway for green ammonia. The proﬁtability metrics including discounted cash ﬂow rate of return, net present value and discounted payback period were estimated to be 8%, $40 MM, and 4e6 years respectively for this pathway. The cost of electricity, conversion rate, and conversion efﬁciency dominate the tonnage cost of ammonia and were used to assess the feasibility of the model. A life cycle assessment was also conducted to assess the environmental impact of a well to product ammonia process. © 2019 Hydrogen Energy Publications LLC. Published by Elsevier Ltd. All rights reserved.","container-title":"International Journal of Hydrogen Energy","DOI":"10.1016/j.ijhydene.2019.10.174","ISSN":"03603199","issue":"1","journalAbbreviation":"International Journal of Hydrogen Energy","language":"en","page":"721-737","source":"DOI.org (Crossref)","title":"Techno-economic analysis and life cycle assessment for electrochemical ammonia production using proton conducting membrane","volume":"45","author":[{"family":"Gomez","given":"Jamie R."},{"family":"Baca","given":"John"},{"family":"Garzon","given":"Fernando"}],"issued":{"date-parts":[["2020",1]]}}},{"id":427,"uris":["http://zotero.org/users/local/gMmtBwrT/items/7PNXNDBB"],"itemData":{"id":427,"type":"article-journal","abstract":"The unprecedented application of planetary boundaries in chemical process assessment uncovers the otherwise unidentifiable potential of green methanol in establishing a sustainable industry.\n          , \n            \n              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unattractive,\n              i.e.\n              , it has a 1.3–2.6-fold higher cost compared to the current fossil-based analogue, even when considering indirect environmental costs\n              via\n              monetisation of impacts and a potential CO\n              2\n              tax of at least 430.5 USD t\n              CO2-eq\n              −1\n              .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CO\n              2\n              -based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advances.","container-title":"Energy &amp; Environmental Science","DOI":"10.1039/C9EE01673B","ISSN":"1754-5692, 1754-5706","issue":"12","journalAbbreviation":"Energy Environ. Sci.","language":"en","page":"3425-3436","source":"DOI.org (Crossref)","title":"Plant-to-planet analysis of CO &lt;sub&gt;2&lt;/sub&gt; -based methanol processes","volume":"12","author":[{"family":"González-Garay","given":"Andrés"},{"family":"Frei","given":"Matthias S."},{"family":"Al-Qahtani","given":"Amjad"},{"family":"Mondelli","given":"Cecilia"},{"family":"Guillén-Gosálbez","given":"Gonzalo"},{"family":"Pérez-Ramírez","given":"Javier"}],"issued":{"date-parts":[["2019"]]}}}],"schema":"https://github.com/citation-style-language/schema/raw/master/csl-citation.json"} </w:instrText>
      </w:r>
      <w:r w:rsidR="00504C61">
        <w:rPr>
          <w:lang w:val="en-US"/>
        </w:rPr>
        <w:fldChar w:fldCharType="separate"/>
      </w:r>
      <w:r w:rsidR="00504C61" w:rsidRPr="00504C61">
        <w:rPr>
          <w:rFonts w:ascii="Calibri" w:hAnsi="Calibri" w:cs="Calibri"/>
          <w:szCs w:val="24"/>
        </w:rPr>
        <w:t>[3–5]</w:t>
      </w:r>
      <w:r w:rsidR="00504C61">
        <w:rPr>
          <w:lang w:val="en-US"/>
        </w:rPr>
        <w:fldChar w:fldCharType="end"/>
      </w:r>
      <w:r w:rsidRPr="001E566D">
        <w:rPr>
          <w:lang w:val="en-US"/>
        </w:rPr>
        <w:t>. In these LCA studies, a process model is developed utilizing mass and energy balances of the main plant (</w:t>
      </w:r>
      <w:r w:rsidRPr="001E566D">
        <w:rPr>
          <w:i/>
          <w:lang w:val="en-US"/>
        </w:rPr>
        <w:t>i.e.</w:t>
      </w:r>
      <w:r w:rsidRPr="001E566D">
        <w:rPr>
          <w:lang w:val="en-US"/>
        </w:rPr>
        <w:t>, foreground system)</w:t>
      </w:r>
      <w:r w:rsidR="006142B4">
        <w:rPr>
          <w:lang w:val="en-US"/>
        </w:rPr>
        <w:t>,</w:t>
      </w:r>
      <w:r w:rsidRPr="001E566D">
        <w:rPr>
          <w:lang w:val="en-US"/>
        </w:rPr>
        <w:t xml:space="preserve"> which is combined</w:t>
      </w:r>
      <w:r w:rsidR="00345A96" w:rsidRPr="001E566D">
        <w:rPr>
          <w:lang w:val="en-US"/>
        </w:rPr>
        <w:t xml:space="preserve"> with</w:t>
      </w:r>
      <w:r w:rsidRPr="001E566D">
        <w:rPr>
          <w:lang w:val="en-US"/>
        </w:rPr>
        <w:t xml:space="preserve"> life cycle emissions data based on various technologies across the chemical supply chains (</w:t>
      </w:r>
      <w:r w:rsidRPr="001E566D">
        <w:rPr>
          <w:i/>
          <w:lang w:val="en-US"/>
        </w:rPr>
        <w:t>i.e.</w:t>
      </w:r>
      <w:r w:rsidRPr="001E566D">
        <w:rPr>
          <w:lang w:val="en-US"/>
        </w:rPr>
        <w:t xml:space="preserve">, background system). It is common in LCA studies to assume a fixed background system, </w:t>
      </w:r>
      <w:r w:rsidRPr="001E566D">
        <w:rPr>
          <w:i/>
          <w:lang w:val="en-US"/>
        </w:rPr>
        <w:t>i.e.</w:t>
      </w:r>
      <w:r w:rsidRPr="001E566D">
        <w:rPr>
          <w:lang w:val="en-US"/>
        </w:rPr>
        <w:t xml:space="preserve">, </w:t>
      </w:r>
      <w:r w:rsidR="00345A96" w:rsidRPr="001E566D">
        <w:rPr>
          <w:lang w:val="en-US"/>
        </w:rPr>
        <w:t xml:space="preserve">a </w:t>
      </w:r>
      <w:r w:rsidRPr="001E566D">
        <w:rPr>
          <w:lang w:val="en-US"/>
        </w:rPr>
        <w:t>set of technologies providing inputs to the chemical production plant, reflecting the current state of the technosphere</w:t>
      </w:r>
      <w:r w:rsidR="00504C61">
        <w:rPr>
          <w:lang w:val="en-US"/>
        </w:rPr>
        <w:t xml:space="preserve"> </w:t>
      </w:r>
      <w:r w:rsidR="00504C61">
        <w:rPr>
          <w:lang w:val="en-US"/>
        </w:rPr>
        <w:fldChar w:fldCharType="begin"/>
      </w:r>
      <w:r w:rsidR="001C3C3C">
        <w:rPr>
          <w:lang w:val="en-US"/>
        </w:rPr>
        <w:instrText xml:space="preserve"> ADDIN ZOTERO_ITEM CSL_CITATION {"citationID":"eH685RWv","properties":{"formattedCitation":"[6\\uc0\\u8211{}8]","plainCitation":"[6–8]","noteIndex":0},"citationItems":[{"id":408,"uris":["http://zotero.org/users/local/gMmtBwrT/items/FUYH3PHJ"],"itemData":{"id":408,"type":"article-journal","abstract":"The synthesis of the vinyl chloride monomer (VCM), employed to manufacture poly(vinyl chloride) (PVC) plastic, primarily relies on oil-derived ethylene, resulting in high costs and carbon footprint. Natural gas-derived ethane in VCM synthesis has long been considered a transformative feedstock to lower emissions and expenses. In this work, we evaluate the environmental potential and economics of recently developed catalytic ethane chlorination technologies for VCM synthesis. We consider the ethylene-based business-as-usual (BAU) route and two different ethane-based processes evaluated at their current development level and their full potential, i.e., ideal conversion and selectivity. All routes are assessed under two temporal scenarios: present (2020) and prospective (2050). Combining process simulation and life cycle assessment (LCA), we find that catalytic ethane chlorination technologies can lower the production cost by 32% at their current development state and by 56% when considering their full potential. Though environmentally disadvantageous in the 2020 scenario, they emerge as more sustainable alternatives to the BAU in the 2050 scenario, reducing the carbon footprint of VCM synthesis by up to 26% at their current state and up to 58% at their full potential. Going beyond VCM synthesis, our results highlight prospective LCA as a powerful tool for assessing the true environmental implications of emerging technologies under more decarbonized future energy scenarios.","container-title":"ACS Sustainable Chemistry &amp; Engineering","DOI":"10.1021/acssuschemeng.3c03006","ISSN":"2168-0485, 2168-0485","issue":"35","journalAbbreviation":"ACS Sustainable Chem. Eng.","language":"en","page":"13062-13069","source":"DOI.org (Crossref)","title":"Economic and Environmental Competitiveness of Ethane-Based Technologies for Vinyl Chloride Synthesis","volume":"11","author":[{"family":"Medrano-García","given":"Juan D."},{"family":"Giulimondi","given":"Vera"},{"family":"Ceruti","given":"Amedeo"},{"family":"Zichittella","given":"Guido"},{"family":"Pérez-Ramírez","given":"Javier"},{"family":"Guillén-Gosálbez","given":"Gonzalo"}],"issued":{"date-parts":[["2023",9,4]]}}},{"id":195,"uris":["http://zotero.org/users/local/gMmtBwrT/items/FZ43FAFY"],"itemData":{"id":195,"type":"article-journal","abstract":"Abstract Carbon capture and utilization (CCU) has recently gained broad interest in the chemical industry. Direct electro- and thermocatalytic technologies are currently the focus of intense research, where the former employs electricity directly to reduce the CO2 molecule, while the latter comprises hydrogenation of CO2 in tandem with electrocatalytic water splitting. So far, it remains unclear which of the two is superior, yet this information is considered critical. Focusing on the platform chemical ethylene, the two CCU routes were compared using state-of-the-art performances with the fossil technology considering different power and CO2 sources. The thermo-route was found to be, at present, economically and environmentally better, yet under the same electrolyzer efficiencies, the electro-route would become superior. CCU routes could substantially improve the carbon footprint of the fossil ethylene (by 236 %) while decreasing at the same time impacts on human health, ecosystem quality, and resources (64, 140, and 80 %, respectively). However, they are economically unattractive even when considering externalities (indirect cost of environmental impacts), that is, 1.7- to 3.9-fold more expensive compared to the current fossil-based analogue. Acknowledging this limitation, the concept of hybridization was applied as a means to smooth the transition towards more sustainable chemicals. Accordingly, it was found that an optimal hybrid plant could produce carbon-neutral (cradle-to-gate) ethylene with a premium of only 30 % over the current market prices by judiciously combining CCU routes with fossil technologies.","container-title":"ChemSusChem","DOI":"https://doi.org/10.1002/cssc.202001312","issue":"23","note":"_eprint: https://chemistry-europe.onlinelibrary.wiley.com/doi/pdf/10.1002/cssc.202001312","page":"6370-6380","title":"Hybridization of Fossil- and CO2-Based Routes for Ethylene Production using Renewable Energy","volume":"13","author":[{"family":"Ioannou","given":"Iasonas"},{"family":"D'Angelo","given":"Sebastiano C."},{"family":"Martín","given":"Antonio J."},{"family":"Pérez-Ramírez","given":"Javier"},{"family":"Guillén-Gosálbez","given":"Gonzalo"}],"issued":{"date-parts":[["2020"]]}}},{"id":197,"uris":["http://zotero.org/users/local/gMmtBwrT/items/YLXPFX77"],"itemData":{"id":197,"type":"article-journal","abstract":"Summary The petrochemical sector will play a crucial role in developing low-carbon transition technologies, but the industry also contributes a significant proportion of greenhouse gas emissions. Momentum is building to help reduce the carbon footprint of this hard-to-abate sector, particularly through replacing fossil carbon feedstocks with carbon from biomass, captured CO2, and other recycled resources, but the broader implications of these so-called “solutions” remain unclear. Here, we assess the overall sustainability of such “renewable carbon pathways” by quantifying their life-cycle environmental footprints with respect to the previously defined nine planetary boundaries. We show that although a shift toward renewable carbon pathways could indeed reduce CO2 emissions by 25% to over 100%, the scenario with the lowest carbon footprint could exceed the biodiversity planetary boundary by at least 30%. Our work highlights the potential pitfalls of overlooking global environmental guardrails beyond greenhouse gas emissions reduction and identifies new avenues for quantifying the environmental footprint of decarbonization solutions for hard-to-abate sectors.","container-title":"One Earth","DOI":"https://doi.org/10.1016/j.oneear.2021.04.001","ISSN":"2590-3322","issue":"4","page":"565-583","title":"Sustainability footprints of a renewable carbon transition for the petrochemical sector within planetary boundaries","volume":"4","author":[{"family":"Galán-Martín","given":"Ángel"},{"family":"Tulus","given":"Victor"},{"family":"Díaz","given":"Ismael"},{"family":"Pozo","given":"Carlos"},{"family":"Pérez-Ramírez","given":"Javier"},{"family":"Guillén-Gosálbez","given":"Gonzalo"}],"issued":{"date-parts":[["2021"]]}}}],"schema":"https://github.com/citation-style-language/schema/raw/master/csl-citation.json"} </w:instrText>
      </w:r>
      <w:r w:rsidR="00504C61">
        <w:rPr>
          <w:lang w:val="en-US"/>
        </w:rPr>
        <w:fldChar w:fldCharType="separate"/>
      </w:r>
      <w:r w:rsidR="001C3C3C" w:rsidRPr="001C3C3C">
        <w:rPr>
          <w:rFonts w:ascii="Calibri" w:hAnsi="Calibri" w:cs="Calibri"/>
          <w:szCs w:val="24"/>
        </w:rPr>
        <w:t>[6–8]</w:t>
      </w:r>
      <w:r w:rsidR="00504C61">
        <w:rPr>
          <w:lang w:val="en-US"/>
        </w:rPr>
        <w:fldChar w:fldCharType="end"/>
      </w:r>
      <w:r w:rsidRPr="001E566D">
        <w:rPr>
          <w:lang w:val="en-US"/>
        </w:rPr>
        <w:t>.</w:t>
      </w:r>
    </w:p>
    <w:p w14:paraId="70FA4D27" w14:textId="09092A7D" w:rsidR="00FB027B" w:rsidRPr="001E566D" w:rsidRDefault="001F5FE6" w:rsidP="00511341">
      <w:pPr>
        <w:jc w:val="both"/>
        <w:rPr>
          <w:lang w:val="en-US"/>
        </w:rPr>
      </w:pPr>
      <w:r w:rsidRPr="001E566D">
        <w:rPr>
          <w:lang w:val="en-US"/>
        </w:rPr>
        <w:t xml:space="preserve">However, the targets set by climate policies will necessitate substantial changes in the economy, including </w:t>
      </w:r>
      <w:r w:rsidR="00524B07">
        <w:rPr>
          <w:lang w:val="en-US"/>
        </w:rPr>
        <w:t xml:space="preserve">the </w:t>
      </w:r>
      <w:r w:rsidRPr="001E566D">
        <w:rPr>
          <w:lang w:val="en-US"/>
        </w:rPr>
        <w:t>decarbonization of energy production and transportation.</w:t>
      </w:r>
      <w:r w:rsidR="00345A96" w:rsidRPr="001E566D">
        <w:rPr>
          <w:lang w:val="en-US"/>
        </w:rPr>
        <w:t xml:space="preserve"> Neglecting these future technological changes when evaluating the environmental impacts of chemical</w:t>
      </w:r>
      <w:r w:rsidR="00CD4CC3" w:rsidRPr="001E566D">
        <w:rPr>
          <w:lang w:val="en-US"/>
        </w:rPr>
        <w:t>s</w:t>
      </w:r>
      <w:r w:rsidR="00345A96" w:rsidRPr="001E566D">
        <w:rPr>
          <w:lang w:val="en-US"/>
        </w:rPr>
        <w:t xml:space="preserve"> can result in spurious conclusions. Hence, in this work, we </w:t>
      </w:r>
      <w:r w:rsidR="00CD4CC3" w:rsidRPr="001E566D">
        <w:rPr>
          <w:lang w:val="en-US"/>
        </w:rPr>
        <w:t xml:space="preserve">perform a prospective LCA to </w:t>
      </w:r>
      <w:r w:rsidR="00345A96" w:rsidRPr="001E566D">
        <w:rPr>
          <w:lang w:val="en-US"/>
        </w:rPr>
        <w:t>evaluate the environmental impacts of fossil and green ammonia and methanol pathways until 2050</w:t>
      </w:r>
      <w:r w:rsidR="00CD4CC3" w:rsidRPr="001E566D">
        <w:rPr>
          <w:lang w:val="en-US"/>
        </w:rPr>
        <w:t xml:space="preserve"> </w:t>
      </w:r>
      <w:r w:rsidR="00345A96" w:rsidRPr="001E566D">
        <w:rPr>
          <w:lang w:val="en-US"/>
        </w:rPr>
        <w:t xml:space="preserve">by considering potential or predicted changes in the power, materials, and transportation sectors. </w:t>
      </w:r>
    </w:p>
    <w:p w14:paraId="4D6EB7F8" w14:textId="77777777" w:rsidR="004A041E" w:rsidRPr="001E566D" w:rsidRDefault="00C62288" w:rsidP="00511341">
      <w:pPr>
        <w:jc w:val="both"/>
        <w:rPr>
          <w:lang w:val="en-US"/>
        </w:rPr>
      </w:pPr>
      <w:r w:rsidRPr="001E566D">
        <w:rPr>
          <w:lang w:val="en-US"/>
        </w:rPr>
        <w:t>Therefore, our study investigates the extent to which future economic trends affect the environmental impacts of fossil and green ammonia and methanol production pathways. To enable the assessment of current and future environmental impacts based on expected socioeconomic and technological trends</w:t>
      </w:r>
      <w:r w:rsidR="00F350A2" w:rsidRPr="001E566D">
        <w:rPr>
          <w:lang w:val="en-US"/>
        </w:rPr>
        <w:t>,</w:t>
      </w:r>
      <w:r w:rsidRPr="001E566D">
        <w:rPr>
          <w:lang w:val="en-US"/>
        </w:rPr>
        <w:t xml:space="preserve"> we utilize future projections of the economy derived with an Integrated Assessment Model (IAM). IAMs like IMAGE comprehensively capture interactions among society, the biosphere, and the climate system</w:t>
      </w:r>
      <w:r w:rsidR="00504C61">
        <w:rPr>
          <w:lang w:val="en-US"/>
        </w:rPr>
        <w:t xml:space="preserve"> </w:t>
      </w:r>
      <w:r w:rsidR="00504C61">
        <w:rPr>
          <w:lang w:val="en-US"/>
        </w:rPr>
        <w:fldChar w:fldCharType="begin"/>
      </w:r>
      <w:r w:rsidR="001C3C3C">
        <w:rPr>
          <w:lang w:val="en-US"/>
        </w:rPr>
        <w:instrText xml:space="preserve"> ADDIN ZOTERO_ITEM CSL_CITATION {"citationID":"EI9oVcEH","properties":{"formattedCitation":"[9]","plainCitation":"[9]","noteIndex":0},"citationItems":[{"id":351,"uris":["http://zotero.org/users/local/gMmtBwrT/items/JPZXGVFU"],"itemData":{"id":351,"type":"report","publisher":"PBL Netherlands Environmental Assessment Agency","title":"Integrated Assessment of Global Environmental Change with IMAGE 3.0","issued":{"date-parts":[["2014"]]}}}],"schema":"https://github.com/citation-style-language/schema/raw/master/csl-citation.json"} </w:instrText>
      </w:r>
      <w:r w:rsidR="00504C61">
        <w:rPr>
          <w:lang w:val="en-US"/>
        </w:rPr>
        <w:fldChar w:fldCharType="separate"/>
      </w:r>
      <w:r w:rsidR="001C3C3C" w:rsidRPr="001C3C3C">
        <w:rPr>
          <w:rFonts w:ascii="Calibri" w:hAnsi="Calibri" w:cs="Calibri"/>
        </w:rPr>
        <w:t>[9]</w:t>
      </w:r>
      <w:r w:rsidR="00504C61">
        <w:rPr>
          <w:lang w:val="en-US"/>
        </w:rPr>
        <w:fldChar w:fldCharType="end"/>
      </w:r>
      <w:r w:rsidRPr="001E566D">
        <w:rPr>
          <w:lang w:val="en-US"/>
        </w:rPr>
        <w:t>. Specifically, in this work, we adopt the ‘middle</w:t>
      </w:r>
      <w:r w:rsidRPr="001E566D">
        <w:rPr>
          <w:lang w:val="en-US"/>
        </w:rPr>
        <w:noBreakHyphen/>
        <w:t>of</w:t>
      </w:r>
      <w:r w:rsidRPr="001E566D">
        <w:rPr>
          <w:lang w:val="en-US"/>
        </w:rPr>
        <w:noBreakHyphen/>
        <w:t>the</w:t>
      </w:r>
      <w:r w:rsidRPr="001E566D">
        <w:rPr>
          <w:lang w:val="en-US"/>
        </w:rPr>
        <w:noBreakHyphen/>
        <w:t>road’ shared socioeconomic pathway (SSP2) to perform our assessments. In parallel, IMAGE also projects different representative concentration pathways (RCPs)</w:t>
      </w:r>
      <w:r w:rsidR="00F350A2" w:rsidRPr="001E566D">
        <w:rPr>
          <w:lang w:val="en-US"/>
        </w:rPr>
        <w:t>, s</w:t>
      </w:r>
      <w:r w:rsidRPr="001E566D">
        <w:rPr>
          <w:lang w:val="en-US"/>
        </w:rPr>
        <w:t>pecifically RCP6, RCP2.6, and RCP1.9</w:t>
      </w:r>
      <w:r w:rsidR="00F350A2" w:rsidRPr="001E566D">
        <w:rPr>
          <w:lang w:val="en-US"/>
        </w:rPr>
        <w:t>,</w:t>
      </w:r>
      <w:r w:rsidRPr="001E566D">
        <w:rPr>
          <w:lang w:val="en-US"/>
        </w:rPr>
        <w:t xml:space="preserve"> presenting a range of radiative forcing values </w:t>
      </w:r>
      <w:r w:rsidR="00F350A2" w:rsidRPr="001E566D">
        <w:rPr>
          <w:lang w:val="en-US"/>
        </w:rPr>
        <w:t>in 2100. RCP6 is a pathway that limits global mean surface temperature to below 3.5 </w:t>
      </w:r>
      <w:r w:rsidR="00F350A2" w:rsidRPr="001E566D">
        <w:rPr>
          <w:rFonts w:cstheme="minorHAnsi"/>
          <w:lang w:val="en-US"/>
        </w:rPr>
        <w:t>°</w:t>
      </w:r>
      <w:r w:rsidR="00F350A2" w:rsidRPr="001E566D">
        <w:rPr>
          <w:lang w:val="en-US"/>
        </w:rPr>
        <w:t>C, while RCP2.6 and RCP1.9 aim to restrict temperature to 2 </w:t>
      </w:r>
      <w:r w:rsidR="00F350A2" w:rsidRPr="001E566D">
        <w:rPr>
          <w:rFonts w:cstheme="minorHAnsi"/>
          <w:lang w:val="en-US"/>
        </w:rPr>
        <w:t>°</w:t>
      </w:r>
      <w:r w:rsidR="00F350A2" w:rsidRPr="001E566D">
        <w:rPr>
          <w:lang w:val="en-US"/>
        </w:rPr>
        <w:t>C and 1.5 </w:t>
      </w:r>
      <w:r w:rsidR="00F350A2" w:rsidRPr="001E566D">
        <w:rPr>
          <w:rFonts w:cstheme="minorHAnsi"/>
          <w:lang w:val="en-US"/>
        </w:rPr>
        <w:t>°</w:t>
      </w:r>
      <w:r w:rsidR="00F350A2" w:rsidRPr="001E566D">
        <w:rPr>
          <w:lang w:val="en-US"/>
        </w:rPr>
        <w:t>C, respectively</w:t>
      </w:r>
      <w:r w:rsidR="00504C61">
        <w:rPr>
          <w:lang w:val="en-US"/>
        </w:rPr>
        <w:t xml:space="preserve"> </w:t>
      </w:r>
      <w:r w:rsidR="00504C61">
        <w:rPr>
          <w:lang w:val="en-US"/>
        </w:rPr>
        <w:fldChar w:fldCharType="begin"/>
      </w:r>
      <w:r w:rsidR="001C3C3C">
        <w:rPr>
          <w:lang w:val="en-US"/>
        </w:rPr>
        <w:instrText xml:space="preserve"> ADDIN ZOTERO_ITEM CSL_CITATION {"citationID":"2IqwuCoO","properties":{"formattedCitation":"[10]","plainCitation":"[10]","noteIndex":0},"citationItems":[{"id":289,"uris":["http://zotero.org/users/local/gMmtBwrT/items/2K4ECVXA"],"itemData":{"id":289,"type":"article-journal","abstract":"Prospective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 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 ments are to be brought in to further facilitate the development of pLCA.","container-title":"Renewable and Sustainable Energy Reviews","DOI":"10.1016/j.rser.2022.112311","ISSN":"13640321","journalAbbreviation":"Renewable and Sustainable Energy Reviews","language":"en","page":"112311","source":"DOI.org (Crossref)","title":"PRospective EnvironMental Impact asSEment (premise): A streamlined approach to producing databases for prospective life cycle assessment using integrated assessment models","title-short":"PRospective EnvironMental Impact asSEment (premise)","volume":"160","author":[{"family":"Sacchi","given":"R."},{"family":"Terlouw","given":"T."},{"family":"Siala","given":"K."},{"family":"Dirnaichner","given":"A."},{"family":"Bauer","given":"C."},{"family":"Cox","given":"B."},{"family":"Mutel","given":"C."},{"family":"Daioglou","given":"V."},{"family":"Luderer","given":"G."}],"issued":{"date-parts":[["2022",5]]}}}],"schema":"https://github.com/citation-style-language/schema/raw/master/csl-citation.json"} </w:instrText>
      </w:r>
      <w:r w:rsidR="00504C61">
        <w:rPr>
          <w:lang w:val="en-US"/>
        </w:rPr>
        <w:fldChar w:fldCharType="separate"/>
      </w:r>
      <w:r w:rsidR="001C3C3C" w:rsidRPr="001C3C3C">
        <w:rPr>
          <w:rFonts w:ascii="Calibri" w:hAnsi="Calibri" w:cs="Calibri"/>
        </w:rPr>
        <w:t>[10]</w:t>
      </w:r>
      <w:r w:rsidR="00504C61">
        <w:rPr>
          <w:lang w:val="en-US"/>
        </w:rPr>
        <w:fldChar w:fldCharType="end"/>
      </w:r>
      <w:r w:rsidR="00F350A2" w:rsidRPr="001E566D">
        <w:rPr>
          <w:lang w:val="en-US"/>
        </w:rPr>
        <w:t>. Combining these SSPs with RCPs, a range of scenarios is generated entailing specific changes in the economy to perform more accurate environmental assessments.</w:t>
      </w:r>
    </w:p>
    <w:p w14:paraId="2B948707" w14:textId="3B3A87D8" w:rsidR="00953882" w:rsidRPr="001E566D" w:rsidRDefault="001E566D" w:rsidP="00511341">
      <w:pPr>
        <w:jc w:val="both"/>
        <w:rPr>
          <w:b/>
          <w:lang w:val="en-US"/>
        </w:rPr>
      </w:pPr>
      <w:r w:rsidRPr="001E566D">
        <w:rPr>
          <w:lang w:val="en-US"/>
        </w:rPr>
        <w:lastRenderedPageBreak/>
        <w:t>I</w:t>
      </w:r>
      <w:r>
        <w:rPr>
          <w:lang w:val="en-US"/>
        </w:rPr>
        <w:t>n</w:t>
      </w:r>
      <w:r w:rsidRPr="001E566D">
        <w:rPr>
          <w:lang w:val="en-US"/>
        </w:rPr>
        <w:t xml:space="preserve"> terms of climate chan</w:t>
      </w:r>
      <w:r>
        <w:rPr>
          <w:lang w:val="en-US"/>
        </w:rPr>
        <w:t>ge impacts, we found that the solar and wind</w:t>
      </w:r>
      <w:r>
        <w:rPr>
          <w:lang w:val="en-US"/>
        </w:rPr>
        <w:noBreakHyphen/>
        <w:t>based ammonia or methanol production routes show a promising trend, with significant reductions anticipated by 2050</w:t>
      </w:r>
      <w:r w:rsidR="00901EC5">
        <w:rPr>
          <w:lang w:val="en-US"/>
        </w:rPr>
        <w:t xml:space="preserve"> (in the range xx-</w:t>
      </w:r>
      <w:proofErr w:type="spellStart"/>
      <w:r w:rsidR="00901EC5">
        <w:rPr>
          <w:lang w:val="en-US"/>
        </w:rPr>
        <w:t>yy</w:t>
      </w:r>
      <w:proofErr w:type="spellEnd"/>
      <w:r w:rsidR="00901EC5">
        <w:rPr>
          <w:lang w:val="en-US"/>
        </w:rPr>
        <w:t>%)</w:t>
      </w:r>
      <w:r>
        <w:rPr>
          <w:lang w:val="en-US"/>
        </w:rPr>
        <w:t>, in contrast to fossil</w:t>
      </w:r>
      <w:r>
        <w:rPr>
          <w:lang w:val="en-US"/>
        </w:rPr>
        <w:noBreakHyphen/>
        <w:t>based pathways</w:t>
      </w:r>
      <w:r w:rsidR="00901EC5">
        <w:rPr>
          <w:lang w:val="en-US"/>
        </w:rPr>
        <w:t>, which will reduce impacts only marginally (xx-</w:t>
      </w:r>
      <w:proofErr w:type="spellStart"/>
      <w:r w:rsidR="00901EC5">
        <w:rPr>
          <w:lang w:val="en-US"/>
        </w:rPr>
        <w:t>yy</w:t>
      </w:r>
      <w:proofErr w:type="spellEnd"/>
      <w:r w:rsidR="00901EC5">
        <w:rPr>
          <w:lang w:val="en-US"/>
        </w:rPr>
        <w:t>%)</w:t>
      </w:r>
      <w:r>
        <w:rPr>
          <w:lang w:val="en-US"/>
        </w:rPr>
        <w:t>. Under more ambitious climate policies, such as the 1.5 </w:t>
      </w:r>
      <w:r w:rsidRPr="001E566D">
        <w:rPr>
          <w:rFonts w:cstheme="minorHAnsi"/>
          <w:lang w:val="en-US"/>
        </w:rPr>
        <w:t>°</w:t>
      </w:r>
      <w:r>
        <w:rPr>
          <w:rFonts w:cstheme="minorHAnsi"/>
          <w:lang w:val="en-US"/>
        </w:rPr>
        <w:t>C scenario, these impacts are expected to decrease substantially. Specifically, by 2050, both the solar</w:t>
      </w:r>
      <w:r w:rsidR="006D3CD7">
        <w:rPr>
          <w:rFonts w:cstheme="minorHAnsi"/>
          <w:lang w:val="en-US"/>
        </w:rPr>
        <w:noBreakHyphen/>
      </w:r>
      <w:r>
        <w:rPr>
          <w:rFonts w:cstheme="minorHAnsi"/>
          <w:lang w:val="en-US"/>
        </w:rPr>
        <w:t xml:space="preserve"> and wind</w:t>
      </w:r>
      <w:r>
        <w:rPr>
          <w:rFonts w:cstheme="minorHAnsi"/>
          <w:lang w:val="en-US"/>
        </w:rPr>
        <w:noBreakHyphen/>
        <w:t>based routes are projected to achieve almost a 70% reduction in impacts. Furthermore, a regional analysis reveals that for solar</w:t>
      </w:r>
      <w:r w:rsidR="002D7829">
        <w:rPr>
          <w:rFonts w:cstheme="minorHAnsi"/>
          <w:lang w:val="en-US"/>
        </w:rPr>
        <w:noBreakHyphen/>
      </w:r>
      <w:r>
        <w:rPr>
          <w:rFonts w:cstheme="minorHAnsi"/>
          <w:lang w:val="en-US"/>
        </w:rPr>
        <w:t xml:space="preserve"> and wind</w:t>
      </w:r>
      <w:r>
        <w:rPr>
          <w:rFonts w:cstheme="minorHAnsi"/>
          <w:lang w:val="en-US"/>
        </w:rPr>
        <w:noBreakHyphen/>
        <w:t>based ammonia and methanol production, impact reductions vary significantly by region, emphasizing the importance of location</w:t>
      </w:r>
      <w:r>
        <w:rPr>
          <w:rFonts w:cstheme="minorHAnsi"/>
          <w:lang w:val="en-US"/>
        </w:rPr>
        <w:noBreakHyphen/>
        <w:t>based dynamics for strategic planning. We believe these results equip policy</w:t>
      </w:r>
      <w:r w:rsidR="00D739D9">
        <w:rPr>
          <w:rFonts w:cstheme="minorHAnsi"/>
          <w:lang w:val="en-US"/>
        </w:rPr>
        <w:t xml:space="preserve">makers </w:t>
      </w:r>
      <w:r>
        <w:rPr>
          <w:rFonts w:cstheme="minorHAnsi"/>
          <w:lang w:val="en-US"/>
        </w:rPr>
        <w:t>and technolo</w:t>
      </w:r>
      <w:bookmarkStart w:id="2" w:name="_GoBack"/>
      <w:bookmarkEnd w:id="2"/>
      <w:r>
        <w:rPr>
          <w:rFonts w:cstheme="minorHAnsi"/>
          <w:lang w:val="en-US"/>
        </w:rPr>
        <w:t xml:space="preserve">gy </w:t>
      </w:r>
      <w:r w:rsidR="00297F8E">
        <w:rPr>
          <w:rFonts w:cstheme="minorHAnsi"/>
          <w:lang w:val="en-US"/>
        </w:rPr>
        <w:t>investors</w:t>
      </w:r>
      <w:r>
        <w:rPr>
          <w:rFonts w:cstheme="minorHAnsi"/>
          <w:lang w:val="en-US"/>
        </w:rPr>
        <w:t xml:space="preserve"> with tools to navigate the evolving landscape of the chemical industry, ensuring informed decisions.</w:t>
      </w:r>
    </w:p>
    <w:p w14:paraId="7C0CDA87" w14:textId="77777777" w:rsidR="00511341" w:rsidRPr="001E566D" w:rsidRDefault="00511341" w:rsidP="00511341">
      <w:pPr>
        <w:jc w:val="center"/>
        <w:rPr>
          <w:b/>
          <w:sz w:val="24"/>
          <w:szCs w:val="24"/>
          <w:lang w:val="en-US"/>
        </w:rPr>
      </w:pPr>
      <w:r w:rsidRPr="001E566D">
        <w:rPr>
          <w:b/>
          <w:sz w:val="24"/>
          <w:szCs w:val="24"/>
          <w:lang w:val="en-US"/>
        </w:rPr>
        <w:t>References</w:t>
      </w:r>
    </w:p>
    <w:p w14:paraId="142855B9" w14:textId="77777777" w:rsidR="001C3C3C" w:rsidRPr="001C3C3C" w:rsidRDefault="007877FC" w:rsidP="001C3C3C">
      <w:pPr>
        <w:pStyle w:val="Bibliography"/>
        <w:jc w:val="both"/>
        <w:rPr>
          <w:rFonts w:ascii="Calibri" w:hAnsi="Calibri" w:cs="Calibri"/>
        </w:rPr>
      </w:pPr>
      <w:r>
        <w:rPr>
          <w:lang w:val="en-US"/>
        </w:rPr>
        <w:fldChar w:fldCharType="begin"/>
      </w:r>
      <w:r>
        <w:rPr>
          <w:lang w:val="en-US"/>
        </w:rPr>
        <w:instrText xml:space="preserve"> ADDIN ZOTERO_BIBL {"uncited":[],"omitted":[],"custom":[]} CSL_BIBLIOGRAPHY </w:instrText>
      </w:r>
      <w:r>
        <w:rPr>
          <w:lang w:val="en-US"/>
        </w:rPr>
        <w:fldChar w:fldCharType="separate"/>
      </w:r>
      <w:r w:rsidR="001C3C3C" w:rsidRPr="001C3C3C">
        <w:rPr>
          <w:rFonts w:ascii="Calibri" w:hAnsi="Calibri" w:cs="Calibri"/>
        </w:rPr>
        <w:t>[1]</w:t>
      </w:r>
      <w:r w:rsidR="001C3C3C" w:rsidRPr="001C3C3C">
        <w:rPr>
          <w:rFonts w:ascii="Calibri" w:hAnsi="Calibri" w:cs="Calibri"/>
        </w:rPr>
        <w:tab/>
        <w:t>F. Bauer, J.P. Tilsted, S. Pfister, C. Oberschelp, V. Kulionis, Mapping GHG emissions and prospects for renewable energy in the chemical industry, Current Opinion in Chemical Engineering 39 (2023) 100881. https://doi.org/10.1016/j.coche.2022.100881.</w:t>
      </w:r>
    </w:p>
    <w:p w14:paraId="6A6D443D" w14:textId="77777777" w:rsidR="001C3C3C" w:rsidRPr="001C3C3C" w:rsidRDefault="001C3C3C" w:rsidP="001C3C3C">
      <w:pPr>
        <w:pStyle w:val="Bibliography"/>
        <w:jc w:val="both"/>
        <w:rPr>
          <w:rFonts w:ascii="Calibri" w:hAnsi="Calibri" w:cs="Calibri"/>
        </w:rPr>
      </w:pPr>
      <w:r w:rsidRPr="001C3C3C">
        <w:rPr>
          <w:rFonts w:ascii="Calibri" w:hAnsi="Calibri" w:cs="Calibri"/>
        </w:rPr>
        <w:t>[2]</w:t>
      </w:r>
      <w:r w:rsidRPr="001C3C3C">
        <w:rPr>
          <w:rFonts w:ascii="Calibri" w:hAnsi="Calibri" w:cs="Calibri"/>
        </w:rPr>
        <w:tab/>
        <w:t>P. Gabrielli, L. Rosa, M. Gazzani, R. Meys, A. Bardow, M. Mazzotti, G. Sansavini, Net-zero emissions chemical industry in a world of limited resources, One Earth 6 (2023) 682–704. https://doi.org/10.1016/j.oneear.2023.05.006.</w:t>
      </w:r>
    </w:p>
    <w:p w14:paraId="7CDFD48A" w14:textId="77777777" w:rsidR="001C3C3C" w:rsidRPr="001C3C3C" w:rsidRDefault="001C3C3C" w:rsidP="001C3C3C">
      <w:pPr>
        <w:pStyle w:val="Bibliography"/>
        <w:jc w:val="both"/>
        <w:rPr>
          <w:rFonts w:ascii="Calibri" w:hAnsi="Calibri" w:cs="Calibri"/>
        </w:rPr>
      </w:pPr>
      <w:r w:rsidRPr="001C3C3C">
        <w:rPr>
          <w:rFonts w:ascii="Calibri" w:hAnsi="Calibri" w:cs="Calibri"/>
        </w:rPr>
        <w:t>[3]</w:t>
      </w:r>
      <w:r w:rsidRPr="001C3C3C">
        <w:rPr>
          <w:rFonts w:ascii="Calibri" w:hAnsi="Calibri" w:cs="Calibri"/>
        </w:rPr>
        <w:tab/>
        <w:t>S.C. D’Angelo, A.J. Martín, S. Cobo, D.F. Ordóñez, G. Guillén-Gosálbez, J. Pérez-Ramírez, Environmental and economic potential of decentralised electrocatalytic ammonia synthesis powered by solar energy, Energy Environ. Sci. 16 (2023) 3314–3330. https://doi.org/10.1039/D2EE02683J.</w:t>
      </w:r>
    </w:p>
    <w:p w14:paraId="31E9A00E" w14:textId="77777777" w:rsidR="001C3C3C" w:rsidRPr="001C3C3C" w:rsidRDefault="001C3C3C" w:rsidP="001C3C3C">
      <w:pPr>
        <w:pStyle w:val="Bibliography"/>
        <w:jc w:val="both"/>
        <w:rPr>
          <w:rFonts w:ascii="Calibri" w:hAnsi="Calibri" w:cs="Calibri"/>
        </w:rPr>
      </w:pPr>
      <w:r w:rsidRPr="001C3C3C">
        <w:rPr>
          <w:rFonts w:ascii="Calibri" w:hAnsi="Calibri" w:cs="Calibri"/>
        </w:rPr>
        <w:t>[4]</w:t>
      </w:r>
      <w:r w:rsidRPr="001C3C3C">
        <w:rPr>
          <w:rFonts w:ascii="Calibri" w:hAnsi="Calibri" w:cs="Calibri"/>
        </w:rPr>
        <w:tab/>
        <w:t>J.R. Gomez, J. Baca, F. Garzon, Techno-economic analysis and life cycle assessment for electrochemical ammonia production using proton conducting membrane, International Journal of Hydrogen Energy 45 (2020) 721–737. https://doi.org/10.1016/j.ijhydene.2019.10.174.</w:t>
      </w:r>
    </w:p>
    <w:p w14:paraId="6AADFE8B" w14:textId="77777777" w:rsidR="001C3C3C" w:rsidRPr="001C3C3C" w:rsidRDefault="001C3C3C" w:rsidP="001C3C3C">
      <w:pPr>
        <w:pStyle w:val="Bibliography"/>
        <w:jc w:val="both"/>
        <w:rPr>
          <w:rFonts w:ascii="Calibri" w:hAnsi="Calibri" w:cs="Calibri"/>
        </w:rPr>
      </w:pPr>
      <w:r w:rsidRPr="001C3C3C">
        <w:rPr>
          <w:rFonts w:ascii="Calibri" w:hAnsi="Calibri" w:cs="Calibri"/>
        </w:rPr>
        <w:t>[5]</w:t>
      </w:r>
      <w:r w:rsidRPr="001C3C3C">
        <w:rPr>
          <w:rFonts w:ascii="Calibri" w:hAnsi="Calibri" w:cs="Calibri"/>
        </w:rPr>
        <w:tab/>
        <w:t xml:space="preserve">A. González-Garay, M.S. Frei, A. Al-Qahtani, C. Mondelli, G. Guillén-Gosálbez, J. Pérez-Ramírez, Plant-to-planet analysis of CO </w:t>
      </w:r>
      <w:r w:rsidRPr="001C3C3C">
        <w:rPr>
          <w:rFonts w:ascii="Calibri" w:hAnsi="Calibri" w:cs="Calibri"/>
          <w:vertAlign w:val="subscript"/>
        </w:rPr>
        <w:t>2</w:t>
      </w:r>
      <w:r w:rsidRPr="001C3C3C">
        <w:rPr>
          <w:rFonts w:ascii="Calibri" w:hAnsi="Calibri" w:cs="Calibri"/>
        </w:rPr>
        <w:t xml:space="preserve"> -based methanol processes, Energy Environ. Sci. 12 (2019) 3425–3436. https://doi.org/10.1039/C9EE01673B.</w:t>
      </w:r>
    </w:p>
    <w:p w14:paraId="300B02F3" w14:textId="77777777" w:rsidR="001C3C3C" w:rsidRPr="001C3C3C" w:rsidRDefault="001C3C3C" w:rsidP="001C3C3C">
      <w:pPr>
        <w:pStyle w:val="Bibliography"/>
        <w:jc w:val="both"/>
        <w:rPr>
          <w:rFonts w:ascii="Calibri" w:hAnsi="Calibri" w:cs="Calibri"/>
        </w:rPr>
      </w:pPr>
      <w:r w:rsidRPr="001C3C3C">
        <w:rPr>
          <w:rFonts w:ascii="Calibri" w:hAnsi="Calibri" w:cs="Calibri"/>
        </w:rPr>
        <w:t>[6]</w:t>
      </w:r>
      <w:r w:rsidRPr="001C3C3C">
        <w:rPr>
          <w:rFonts w:ascii="Calibri" w:hAnsi="Calibri" w:cs="Calibri"/>
        </w:rPr>
        <w:tab/>
        <w:t>J.D. Medrano-García, V. Giulimondi, A. Ceruti, G. Zichittella, J. Pérez-Ramírez, G. Guillén-Gosálbez, Economic and Environmental Competitiveness of Ethane-Based Technologies for Vinyl Chloride Synthesis, ACS Sustainable Chem. Eng. 11 (2023) 13062–13069. https://doi.org/10.1021/acssuschemeng.3c03006.</w:t>
      </w:r>
    </w:p>
    <w:p w14:paraId="317CDFB2" w14:textId="77777777" w:rsidR="001C3C3C" w:rsidRPr="001C3C3C" w:rsidRDefault="001C3C3C" w:rsidP="001C3C3C">
      <w:pPr>
        <w:pStyle w:val="Bibliography"/>
        <w:jc w:val="both"/>
        <w:rPr>
          <w:rFonts w:ascii="Calibri" w:hAnsi="Calibri" w:cs="Calibri"/>
        </w:rPr>
      </w:pPr>
      <w:r w:rsidRPr="001C3C3C">
        <w:rPr>
          <w:rFonts w:ascii="Calibri" w:hAnsi="Calibri" w:cs="Calibri"/>
        </w:rPr>
        <w:t>[7]</w:t>
      </w:r>
      <w:r w:rsidRPr="001C3C3C">
        <w:rPr>
          <w:rFonts w:ascii="Calibri" w:hAnsi="Calibri" w:cs="Calibri"/>
        </w:rPr>
        <w:tab/>
        <w:t>I. Ioannou, S.C. D’Angelo, A.J. Martín, J. Pérez-Ramírez, G. Guillén-Gosálbez, Hybridization of Fossil- and CO2-Based Routes for Ethylene Production using Renewable Energy, ChemSusChem 13 (2020) 6370–6380. https://doi.org/10.1002/cssc.202001312.</w:t>
      </w:r>
    </w:p>
    <w:p w14:paraId="1E9E8B14" w14:textId="77777777" w:rsidR="001C3C3C" w:rsidRPr="001C3C3C" w:rsidRDefault="001C3C3C" w:rsidP="001C3C3C">
      <w:pPr>
        <w:pStyle w:val="Bibliography"/>
        <w:jc w:val="both"/>
        <w:rPr>
          <w:rFonts w:ascii="Calibri" w:hAnsi="Calibri" w:cs="Calibri"/>
        </w:rPr>
      </w:pPr>
      <w:r w:rsidRPr="001C3C3C">
        <w:rPr>
          <w:rFonts w:ascii="Calibri" w:hAnsi="Calibri" w:cs="Calibri"/>
        </w:rPr>
        <w:t>[8]</w:t>
      </w:r>
      <w:r w:rsidRPr="001C3C3C">
        <w:rPr>
          <w:rFonts w:ascii="Calibri" w:hAnsi="Calibri" w:cs="Calibri"/>
        </w:rPr>
        <w:tab/>
        <w:t>Á. Galán-Martín, V. Tulus, I. Díaz, C. Pozo, J. Pérez-Ramírez, G. Guillén-Gosálbez, Sustainability footprints of a renewable carbon transition for the petrochemical sector within planetary boundaries, One Earth 4 (2021) 565–583. https://doi.org/10.1016/j.oneear.2021.04.001.</w:t>
      </w:r>
    </w:p>
    <w:p w14:paraId="434A48D2" w14:textId="77777777" w:rsidR="001C3C3C" w:rsidRPr="001C3C3C" w:rsidRDefault="001C3C3C" w:rsidP="001C3C3C">
      <w:pPr>
        <w:pStyle w:val="Bibliography"/>
        <w:jc w:val="both"/>
        <w:rPr>
          <w:rFonts w:ascii="Calibri" w:hAnsi="Calibri" w:cs="Calibri"/>
        </w:rPr>
      </w:pPr>
      <w:r w:rsidRPr="001C3C3C">
        <w:rPr>
          <w:rFonts w:ascii="Calibri" w:hAnsi="Calibri" w:cs="Calibri"/>
        </w:rPr>
        <w:t>[9]</w:t>
      </w:r>
      <w:r w:rsidRPr="001C3C3C">
        <w:rPr>
          <w:rFonts w:ascii="Calibri" w:hAnsi="Calibri" w:cs="Calibri"/>
        </w:rPr>
        <w:tab/>
        <w:t>Integrated Assessment of Global Environmental Change with IMAGE 3.0, PBL Netherlands Environmental Assessment Agency, 2014.</w:t>
      </w:r>
    </w:p>
    <w:p w14:paraId="13D86FDE" w14:textId="77777777" w:rsidR="00DE182F" w:rsidRPr="001E566D" w:rsidRDefault="001C3C3C" w:rsidP="001C3C3C">
      <w:pPr>
        <w:pStyle w:val="Bibliography"/>
        <w:jc w:val="both"/>
        <w:rPr>
          <w:lang w:val="en-US"/>
        </w:rPr>
      </w:pPr>
      <w:r w:rsidRPr="001C3C3C">
        <w:rPr>
          <w:rFonts w:ascii="Calibri" w:hAnsi="Calibri" w:cs="Calibri"/>
        </w:rPr>
        <w:t>[10]</w:t>
      </w:r>
      <w:r w:rsidRPr="001C3C3C">
        <w:rPr>
          <w:rFonts w:ascii="Calibri" w:hAnsi="Calibri" w:cs="Calibri"/>
        </w:rPr>
        <w:tab/>
        <w:t>R. Sacchi, T. Terlouw, K. Siala, A. Dirnaichner, C. Bauer, B. Cox, C. Mutel, V. Daioglou, G. Luderer, PRospective EnvironMental Impact asSEment (premise): A streamlined approach to producing databases for prospective life cycle assessment using integrated assessment models, Renewable and Sustainable Energy Reviews 160 (2022) 112311. https://doi.org/10.1016/j.rser.2022.112311.</w:t>
      </w:r>
      <w:r w:rsidR="007877FC">
        <w:rPr>
          <w:lang w:val="en-US"/>
        </w:rPr>
        <w:fldChar w:fldCharType="end"/>
      </w:r>
    </w:p>
    <w:sectPr w:rsidR="00DE182F" w:rsidRPr="001E566D">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Guillén Gosalbez  Gonzalo" w:date="2024-04-08T17:29:00Z" w:initials="GG">
    <w:p w14:paraId="570C4061" w14:textId="77777777" w:rsidR="00901EC5" w:rsidRDefault="00901EC5" w:rsidP="00901EC5">
      <w:pPr>
        <w:pStyle w:val="CommentText"/>
      </w:pPr>
      <w:r>
        <w:rPr>
          <w:rStyle w:val="CommentReference"/>
        </w:rPr>
        <w:annotationRef/>
      </w:r>
      <w:r>
        <w:rPr>
          <w:lang w:val="en-US"/>
        </w:rPr>
        <w:t>Annual I guess, then specify it please</w:t>
      </w:r>
    </w:p>
  </w:comment>
  <w:comment w:id="1" w:author="Guillén Gosalbez  Gonzalo" w:date="2024-04-08T17:31:00Z" w:initials="GG">
    <w:p w14:paraId="2E0BCEA4" w14:textId="77777777" w:rsidR="00901EC5" w:rsidRDefault="00901EC5" w:rsidP="00901EC5">
      <w:pPr>
        <w:pStyle w:val="CommentText"/>
      </w:pPr>
      <w:r>
        <w:rPr>
          <w:rStyle w:val="CommentReference"/>
        </w:rPr>
        <w:annotationRef/>
      </w:r>
      <w:r>
        <w:t xml:space="preserve">Cradle-to-gate?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70C4061" w15:done="0"/>
  <w15:commentEx w15:paraId="2E0BCE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DD5B6CE" w16cex:dateUtc="2024-04-08T15:29:00Z"/>
  <w16cex:commentExtensible w16cex:durableId="137F3862" w16cex:dateUtc="2024-04-08T15: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70C4061" w16cid:durableId="4DD5B6CE"/>
  <w16cid:commentId w16cid:paraId="2E0BCEA4" w16cid:durableId="137F386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PFEBA G+ Gulliver">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Guillén Gosalbez  Gonzalo">
    <w15:presenceInfo w15:providerId="AD" w15:userId="S::ggonzalo@ethz.ch::cd0d5c66-a7dc-4706-87cc-7da1018261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cwszQyMTQyMzGzNDFQ0lEKTi0uzszPAykwrAUAkyP1oCwAAAA="/>
  </w:docVars>
  <w:rsids>
    <w:rsidRoot w:val="00511341"/>
    <w:rsid w:val="00021DAB"/>
    <w:rsid w:val="001C3C3C"/>
    <w:rsid w:val="001E566D"/>
    <w:rsid w:val="001F5FE6"/>
    <w:rsid w:val="00297F8E"/>
    <w:rsid w:val="002B1CA8"/>
    <w:rsid w:val="002D0278"/>
    <w:rsid w:val="002D7829"/>
    <w:rsid w:val="002E3AF4"/>
    <w:rsid w:val="00345A96"/>
    <w:rsid w:val="003D3096"/>
    <w:rsid w:val="004A041E"/>
    <w:rsid w:val="00504C61"/>
    <w:rsid w:val="00511341"/>
    <w:rsid w:val="00524B07"/>
    <w:rsid w:val="005C2E59"/>
    <w:rsid w:val="005D3C44"/>
    <w:rsid w:val="006142B4"/>
    <w:rsid w:val="006768B5"/>
    <w:rsid w:val="00697C0B"/>
    <w:rsid w:val="006D3CD7"/>
    <w:rsid w:val="007877FC"/>
    <w:rsid w:val="00901EC5"/>
    <w:rsid w:val="00953882"/>
    <w:rsid w:val="00AF3201"/>
    <w:rsid w:val="00C12324"/>
    <w:rsid w:val="00C62288"/>
    <w:rsid w:val="00CD4CC3"/>
    <w:rsid w:val="00D56C77"/>
    <w:rsid w:val="00D739D9"/>
    <w:rsid w:val="00DE182F"/>
    <w:rsid w:val="00E01601"/>
    <w:rsid w:val="00F350A2"/>
    <w:rsid w:val="00FA694D"/>
    <w:rsid w:val="00FB027B"/>
    <w:rsid w:val="00FE3C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D7A77"/>
  <w15:chartTrackingRefBased/>
  <w15:docId w15:val="{227447F9-7B06-4812-ACB5-0611423D3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11341"/>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ls-Affiliation">
    <w:name w:val="Els-Affiliation"/>
    <w:rsid w:val="00511341"/>
    <w:pPr>
      <w:suppressAutoHyphens/>
      <w:spacing w:after="0" w:line="240" w:lineRule="exact"/>
    </w:pPr>
    <w:rPr>
      <w:rFonts w:ascii="Times New Roman" w:eastAsia="Times New Roman" w:hAnsi="Times New Roman" w:cs="Times New Roman"/>
      <w:i/>
      <w:noProof/>
      <w:sz w:val="20"/>
      <w:szCs w:val="20"/>
    </w:rPr>
  </w:style>
  <w:style w:type="paragraph" w:customStyle="1" w:styleId="Default">
    <w:name w:val="Default"/>
    <w:rsid w:val="00511341"/>
    <w:pPr>
      <w:autoSpaceDE w:val="0"/>
      <w:autoSpaceDN w:val="0"/>
      <w:adjustRightInd w:val="0"/>
      <w:spacing w:after="0" w:line="240" w:lineRule="auto"/>
    </w:pPr>
    <w:rPr>
      <w:rFonts w:ascii="PFEBA G+ Gulliver" w:hAnsi="PFEBA G+ Gulliver" w:cs="PFEBA G+ Gulliver"/>
      <w:color w:val="000000"/>
      <w:sz w:val="24"/>
      <w:szCs w:val="24"/>
      <w:lang w:val="en-IN"/>
    </w:rPr>
  </w:style>
  <w:style w:type="paragraph" w:styleId="Bibliography">
    <w:name w:val="Bibliography"/>
    <w:basedOn w:val="Normal"/>
    <w:next w:val="Normal"/>
    <w:uiPriority w:val="37"/>
    <w:unhideWhenUsed/>
    <w:rsid w:val="007877FC"/>
    <w:pPr>
      <w:tabs>
        <w:tab w:val="left" w:pos="384"/>
      </w:tabs>
      <w:spacing w:after="0" w:line="240" w:lineRule="auto"/>
      <w:ind w:left="384" w:hanging="384"/>
    </w:pPr>
  </w:style>
  <w:style w:type="paragraph" w:styleId="Revision">
    <w:name w:val="Revision"/>
    <w:hidden/>
    <w:uiPriority w:val="99"/>
    <w:semiHidden/>
    <w:rsid w:val="00901EC5"/>
    <w:pPr>
      <w:spacing w:after="0" w:line="240" w:lineRule="auto"/>
    </w:pPr>
    <w:rPr>
      <w:lang w:val="en-IN"/>
    </w:rPr>
  </w:style>
  <w:style w:type="character" w:styleId="CommentReference">
    <w:name w:val="annotation reference"/>
    <w:basedOn w:val="DefaultParagraphFont"/>
    <w:uiPriority w:val="99"/>
    <w:semiHidden/>
    <w:unhideWhenUsed/>
    <w:rsid w:val="00901EC5"/>
    <w:rPr>
      <w:sz w:val="16"/>
      <w:szCs w:val="16"/>
    </w:rPr>
  </w:style>
  <w:style w:type="paragraph" w:styleId="CommentText">
    <w:name w:val="annotation text"/>
    <w:basedOn w:val="Normal"/>
    <w:link w:val="CommentTextChar"/>
    <w:uiPriority w:val="99"/>
    <w:unhideWhenUsed/>
    <w:rsid w:val="00901EC5"/>
    <w:pPr>
      <w:spacing w:line="240" w:lineRule="auto"/>
    </w:pPr>
    <w:rPr>
      <w:sz w:val="20"/>
      <w:szCs w:val="20"/>
    </w:rPr>
  </w:style>
  <w:style w:type="character" w:customStyle="1" w:styleId="CommentTextChar">
    <w:name w:val="Comment Text Char"/>
    <w:basedOn w:val="DefaultParagraphFont"/>
    <w:link w:val="CommentText"/>
    <w:uiPriority w:val="99"/>
    <w:rsid w:val="00901EC5"/>
    <w:rPr>
      <w:sz w:val="20"/>
      <w:szCs w:val="20"/>
      <w:lang w:val="en-IN"/>
    </w:rPr>
  </w:style>
  <w:style w:type="paragraph" w:styleId="CommentSubject">
    <w:name w:val="annotation subject"/>
    <w:basedOn w:val="CommentText"/>
    <w:next w:val="CommentText"/>
    <w:link w:val="CommentSubjectChar"/>
    <w:uiPriority w:val="99"/>
    <w:semiHidden/>
    <w:unhideWhenUsed/>
    <w:rsid w:val="00901EC5"/>
    <w:rPr>
      <w:b/>
      <w:bCs/>
    </w:rPr>
  </w:style>
  <w:style w:type="character" w:customStyle="1" w:styleId="CommentSubjectChar">
    <w:name w:val="Comment Subject Char"/>
    <w:basedOn w:val="CommentTextChar"/>
    <w:link w:val="CommentSubject"/>
    <w:uiPriority w:val="99"/>
    <w:semiHidden/>
    <w:rsid w:val="00901EC5"/>
    <w:rPr>
      <w:b/>
      <w:bCs/>
      <w:sz w:val="20"/>
      <w:szCs w:val="20"/>
      <w:lang w:val="en-IN"/>
    </w:rPr>
  </w:style>
  <w:style w:type="paragraph" w:styleId="BalloonText">
    <w:name w:val="Balloon Text"/>
    <w:basedOn w:val="Normal"/>
    <w:link w:val="BalloonTextChar"/>
    <w:uiPriority w:val="99"/>
    <w:semiHidden/>
    <w:unhideWhenUsed/>
    <w:rsid w:val="00D56C7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6C77"/>
    <w:rPr>
      <w:rFonts w:ascii="Segoe UI" w:hAnsi="Segoe UI" w:cs="Segoe UI"/>
      <w:sz w:val="18"/>
      <w:szCs w:val="18"/>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3727478">
      <w:bodyDiv w:val="1"/>
      <w:marLeft w:val="0"/>
      <w:marRight w:val="0"/>
      <w:marTop w:val="0"/>
      <w:marBottom w:val="0"/>
      <w:divBdr>
        <w:top w:val="none" w:sz="0" w:space="0" w:color="auto"/>
        <w:left w:val="none" w:sz="0" w:space="0" w:color="auto"/>
        <w:bottom w:val="none" w:sz="0" w:space="0" w:color="auto"/>
        <w:right w:val="none" w:sz="0" w:space="0" w:color="auto"/>
      </w:divBdr>
      <w:divsChild>
        <w:div w:id="1436049303">
          <w:marLeft w:val="0"/>
          <w:marRight w:val="0"/>
          <w:marTop w:val="0"/>
          <w:marBottom w:val="0"/>
          <w:divBdr>
            <w:top w:val="single" w:sz="2" w:space="0" w:color="E3E3E3"/>
            <w:left w:val="single" w:sz="2" w:space="0" w:color="E3E3E3"/>
            <w:bottom w:val="single" w:sz="2" w:space="0" w:color="E3E3E3"/>
            <w:right w:val="single" w:sz="2" w:space="0" w:color="E3E3E3"/>
          </w:divBdr>
          <w:divsChild>
            <w:div w:id="927925941">
              <w:marLeft w:val="0"/>
              <w:marRight w:val="0"/>
              <w:marTop w:val="100"/>
              <w:marBottom w:val="100"/>
              <w:divBdr>
                <w:top w:val="single" w:sz="2" w:space="0" w:color="E3E3E3"/>
                <w:left w:val="single" w:sz="2" w:space="0" w:color="E3E3E3"/>
                <w:bottom w:val="single" w:sz="2" w:space="0" w:color="E3E3E3"/>
                <w:right w:val="single" w:sz="2" w:space="0" w:color="E3E3E3"/>
              </w:divBdr>
              <w:divsChild>
                <w:div w:id="414284186">
                  <w:marLeft w:val="0"/>
                  <w:marRight w:val="0"/>
                  <w:marTop w:val="0"/>
                  <w:marBottom w:val="0"/>
                  <w:divBdr>
                    <w:top w:val="single" w:sz="2" w:space="0" w:color="E3E3E3"/>
                    <w:left w:val="single" w:sz="2" w:space="0" w:color="E3E3E3"/>
                    <w:bottom w:val="single" w:sz="2" w:space="0" w:color="E3E3E3"/>
                    <w:right w:val="single" w:sz="2" w:space="0" w:color="E3E3E3"/>
                  </w:divBdr>
                  <w:divsChild>
                    <w:div w:id="1383209109">
                      <w:marLeft w:val="0"/>
                      <w:marRight w:val="0"/>
                      <w:marTop w:val="0"/>
                      <w:marBottom w:val="0"/>
                      <w:divBdr>
                        <w:top w:val="single" w:sz="2" w:space="0" w:color="E3E3E3"/>
                        <w:left w:val="single" w:sz="2" w:space="0" w:color="E3E3E3"/>
                        <w:bottom w:val="single" w:sz="2" w:space="0" w:color="E3E3E3"/>
                        <w:right w:val="single" w:sz="2" w:space="0" w:color="E3E3E3"/>
                      </w:divBdr>
                      <w:divsChild>
                        <w:div w:id="1267812436">
                          <w:marLeft w:val="0"/>
                          <w:marRight w:val="0"/>
                          <w:marTop w:val="0"/>
                          <w:marBottom w:val="0"/>
                          <w:divBdr>
                            <w:top w:val="single" w:sz="2" w:space="0" w:color="E3E3E3"/>
                            <w:left w:val="single" w:sz="2" w:space="0" w:color="E3E3E3"/>
                            <w:bottom w:val="single" w:sz="2" w:space="0" w:color="E3E3E3"/>
                            <w:right w:val="single" w:sz="2" w:space="0" w:color="E3E3E3"/>
                          </w:divBdr>
                          <w:divsChild>
                            <w:div w:id="618415975">
                              <w:marLeft w:val="0"/>
                              <w:marRight w:val="0"/>
                              <w:marTop w:val="0"/>
                              <w:marBottom w:val="0"/>
                              <w:divBdr>
                                <w:top w:val="single" w:sz="2" w:space="0" w:color="E3E3E3"/>
                                <w:left w:val="single" w:sz="2" w:space="0" w:color="E3E3E3"/>
                                <w:bottom w:val="single" w:sz="2" w:space="0" w:color="E3E3E3"/>
                                <w:right w:val="single" w:sz="2" w:space="0" w:color="E3E3E3"/>
                              </w:divBdr>
                              <w:divsChild>
                                <w:div w:id="812403975">
                                  <w:marLeft w:val="0"/>
                                  <w:marRight w:val="0"/>
                                  <w:marTop w:val="0"/>
                                  <w:marBottom w:val="0"/>
                                  <w:divBdr>
                                    <w:top w:val="single" w:sz="2" w:space="0" w:color="E3E3E3"/>
                                    <w:left w:val="single" w:sz="2" w:space="0" w:color="E3E3E3"/>
                                    <w:bottom w:val="single" w:sz="2" w:space="0" w:color="E3E3E3"/>
                                    <w:right w:val="single" w:sz="2" w:space="0" w:color="E3E3E3"/>
                                  </w:divBdr>
                                  <w:divsChild>
                                    <w:div w:id="630671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microsoft.com/office/2018/08/relationships/commentsExtensible" Target="commentsExtensible.xml"/><Relationship Id="rId4" Type="http://schemas.openxmlformats.org/officeDocument/2006/relationships/comments" Target="commen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4553</Words>
  <Characters>25957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3</cp:revision>
  <cp:lastPrinted>2024-04-06T19:09:00Z</cp:lastPrinted>
  <dcterms:created xsi:type="dcterms:W3CDTF">2024-04-08T15:35:00Z</dcterms:created>
  <dcterms:modified xsi:type="dcterms:W3CDTF">2024-04-08T17:14:00Z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id="1sO9STU5"/&gt;&lt;style id="http://www.zotero.org/styles/chemical-engineering-and-processing-process-intensification" hasBibliography="1" bibliographyStyleHasBeenSet="1"/&gt;&lt;prefs&gt;&lt;pref name="fieldType" </vt:lpwstr>
  </property>
  <property fmtid="{D5CDD505-2E9C-101B-9397-08002B2CF9AE}" pid="3" name="ZOTERO_PREF_2">
    <vt:lpwstr>value="Field"/&gt;&lt;/prefs&gt;&lt;/data&gt;</vt:lpwstr>
  </property>
</Properties>
</file>