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1BB332" w14:textId="6306FCEB" w:rsidR="009B2FA2" w:rsidRPr="00BB5E65" w:rsidRDefault="009B2FA2" w:rsidP="00362878">
      <w:pPr>
        <w:spacing w:after="0" w:line="336" w:lineRule="auto"/>
        <w:jc w:val="both"/>
        <w:rPr>
          <w:rFonts w:cstheme="minorHAnsi"/>
          <w:b/>
          <w:bCs/>
          <w:sz w:val="18"/>
          <w:szCs w:val="18"/>
        </w:rPr>
      </w:pPr>
      <w:bookmarkStart w:id="0" w:name="_Hlk136333780"/>
      <w:r w:rsidRPr="00BB5E65">
        <w:rPr>
          <w:rFonts w:cstheme="minorHAnsi"/>
          <w:b/>
          <w:bCs/>
          <w:sz w:val="18"/>
          <w:szCs w:val="18"/>
        </w:rPr>
        <w:t xml:space="preserve">Response to Reviewers for </w:t>
      </w:r>
      <w:r w:rsidR="0046441C" w:rsidRPr="0046441C">
        <w:rPr>
          <w:rFonts w:cstheme="minorHAnsi"/>
          <w:b/>
          <w:color w:val="212121"/>
          <w:sz w:val="18"/>
          <w:szCs w:val="18"/>
          <w:shd w:val="clear" w:color="auto" w:fill="FFFFFF"/>
        </w:rPr>
        <w:t>GC-ART-01-2024-000392.R1</w:t>
      </w:r>
    </w:p>
    <w:p w14:paraId="0AB679D5" w14:textId="77777777" w:rsidR="009B2FA2" w:rsidRPr="00BB5E65" w:rsidRDefault="009B2FA2" w:rsidP="00362878">
      <w:pPr>
        <w:spacing w:line="288" w:lineRule="auto"/>
        <w:jc w:val="both"/>
        <w:rPr>
          <w:rFonts w:cstheme="minorHAnsi"/>
          <w:b/>
          <w:bCs/>
          <w:sz w:val="18"/>
          <w:szCs w:val="18"/>
        </w:rPr>
      </w:pPr>
      <w:r w:rsidRPr="00BB5E65">
        <w:rPr>
          <w:rFonts w:cstheme="minorHAnsi"/>
          <w:sz w:val="18"/>
          <w:szCs w:val="18"/>
        </w:rPr>
        <w:t xml:space="preserve">Comments in </w:t>
      </w:r>
      <w:r w:rsidRPr="00BB5E65">
        <w:rPr>
          <w:rFonts w:cstheme="minorHAnsi"/>
          <w:color w:val="0000FF"/>
          <w:sz w:val="18"/>
          <w:szCs w:val="18"/>
        </w:rPr>
        <w:t>blue</w:t>
      </w:r>
      <w:r w:rsidRPr="00BB5E65">
        <w:rPr>
          <w:rFonts w:cstheme="minorHAnsi"/>
          <w:sz w:val="18"/>
          <w:szCs w:val="18"/>
        </w:rPr>
        <w:t xml:space="preserve">, replies in black, and actions in </w:t>
      </w:r>
      <w:r w:rsidRPr="00BB5E65">
        <w:rPr>
          <w:rFonts w:cstheme="minorHAnsi"/>
          <w:b/>
          <w:sz w:val="18"/>
          <w:szCs w:val="18"/>
        </w:rPr>
        <w:t xml:space="preserve">bold. </w:t>
      </w:r>
      <w:r w:rsidRPr="00BB5E65">
        <w:rPr>
          <w:rFonts w:cstheme="minorHAnsi"/>
          <w:bCs/>
          <w:sz w:val="18"/>
          <w:szCs w:val="18"/>
        </w:rPr>
        <w:t>Page and line numbers refer to the main article with highlighted changes.</w:t>
      </w:r>
    </w:p>
    <w:p w14:paraId="5C36C69C" w14:textId="1F897505" w:rsidR="00234435" w:rsidRPr="00447D25" w:rsidRDefault="00234435" w:rsidP="00234435">
      <w:pPr>
        <w:jc w:val="both"/>
        <w:rPr>
          <w:rFonts w:cstheme="minorHAnsi"/>
          <w:b/>
          <w:sz w:val="18"/>
          <w:szCs w:val="18"/>
        </w:rPr>
      </w:pPr>
      <w:r w:rsidRPr="00447D25">
        <w:rPr>
          <w:rFonts w:cstheme="minorHAnsi"/>
          <w:b/>
          <w:bCs/>
          <w:sz w:val="18"/>
          <w:szCs w:val="18"/>
          <w:u w:val="single"/>
        </w:rPr>
        <w:t>Reviewer #1</w:t>
      </w:r>
    </w:p>
    <w:p w14:paraId="3C6E4895" w14:textId="4A1FF83E" w:rsidR="00234435" w:rsidRPr="00447D25" w:rsidRDefault="00234435" w:rsidP="00234435">
      <w:pPr>
        <w:spacing w:after="0" w:line="288" w:lineRule="auto"/>
        <w:jc w:val="both"/>
        <w:rPr>
          <w:rFonts w:cstheme="minorHAnsi"/>
          <w:color w:val="0000FF"/>
          <w:sz w:val="18"/>
          <w:szCs w:val="18"/>
        </w:rPr>
      </w:pPr>
      <w:r w:rsidRPr="00447D25">
        <w:rPr>
          <w:rFonts w:cstheme="minorHAnsi"/>
          <w:color w:val="0000FF"/>
          <w:sz w:val="18"/>
          <w:szCs w:val="18"/>
        </w:rPr>
        <w:t>1.0. </w:t>
      </w:r>
      <w:r w:rsidR="00416C57" w:rsidRPr="00447D25">
        <w:rPr>
          <w:rFonts w:cstheme="minorHAnsi"/>
          <w:color w:val="0000FF"/>
          <w:sz w:val="18"/>
          <w:szCs w:val="18"/>
        </w:rPr>
        <w:t>The authors have addressed all the comments raised by the reviewers and hence I am happy to recommend this manuscript for publication.</w:t>
      </w:r>
    </w:p>
    <w:p w14:paraId="6DE343E8" w14:textId="3812281B" w:rsidR="00234435" w:rsidRPr="002A0F58" w:rsidRDefault="00B61A96" w:rsidP="00234435">
      <w:pPr>
        <w:spacing w:line="288" w:lineRule="auto"/>
        <w:jc w:val="both"/>
        <w:rPr>
          <w:rFonts w:cstheme="minorHAnsi"/>
          <w:sz w:val="18"/>
          <w:szCs w:val="18"/>
        </w:rPr>
      </w:pPr>
      <w:r>
        <w:rPr>
          <w:rFonts w:cstheme="minorHAnsi"/>
          <w:sz w:val="18"/>
          <w:szCs w:val="18"/>
        </w:rPr>
        <w:t>We thank the Reviewer for their recommendation. We appreciate their acknowledg</w:t>
      </w:r>
      <w:r w:rsidR="00680FFB">
        <w:rPr>
          <w:rFonts w:cstheme="minorHAnsi"/>
          <w:sz w:val="18"/>
          <w:szCs w:val="18"/>
        </w:rPr>
        <w:t>e</w:t>
      </w:r>
      <w:r>
        <w:rPr>
          <w:rFonts w:cstheme="minorHAnsi"/>
          <w:sz w:val="18"/>
          <w:szCs w:val="18"/>
        </w:rPr>
        <w:t>ment of our efforts in addressing the raised comments.</w:t>
      </w:r>
      <w:bookmarkStart w:id="1" w:name="_GoBack"/>
      <w:bookmarkEnd w:id="1"/>
    </w:p>
    <w:p w14:paraId="09DAF42E" w14:textId="4EBF2FBF" w:rsidR="009B2FA2" w:rsidRPr="00BB5E65" w:rsidRDefault="009B2FA2" w:rsidP="00362878">
      <w:pPr>
        <w:jc w:val="both"/>
        <w:rPr>
          <w:rFonts w:cstheme="minorHAnsi"/>
          <w:b/>
          <w:sz w:val="18"/>
          <w:szCs w:val="18"/>
        </w:rPr>
      </w:pPr>
      <w:r w:rsidRPr="00BB5E65">
        <w:rPr>
          <w:rFonts w:cstheme="minorHAnsi"/>
          <w:b/>
          <w:bCs/>
          <w:sz w:val="18"/>
          <w:szCs w:val="18"/>
          <w:u w:val="single"/>
        </w:rPr>
        <w:t>Reviewer</w:t>
      </w:r>
      <w:r w:rsidR="009B352A">
        <w:rPr>
          <w:rFonts w:cstheme="minorHAnsi"/>
          <w:b/>
          <w:bCs/>
          <w:sz w:val="18"/>
          <w:szCs w:val="18"/>
          <w:u w:val="single"/>
        </w:rPr>
        <w:t> </w:t>
      </w:r>
      <w:r w:rsidRPr="00BB5E65">
        <w:rPr>
          <w:rFonts w:cstheme="minorHAnsi"/>
          <w:b/>
          <w:bCs/>
          <w:sz w:val="18"/>
          <w:szCs w:val="18"/>
          <w:u w:val="single"/>
        </w:rPr>
        <w:t>#2</w:t>
      </w:r>
    </w:p>
    <w:p w14:paraId="2FD63D9D" w14:textId="0E089D55" w:rsidR="009B2FA2" w:rsidRPr="00BB5E65" w:rsidRDefault="009B2FA2" w:rsidP="00362878">
      <w:pPr>
        <w:spacing w:after="0" w:line="288" w:lineRule="auto"/>
        <w:jc w:val="both"/>
        <w:rPr>
          <w:rFonts w:cstheme="minorHAnsi"/>
          <w:color w:val="0000FF"/>
          <w:sz w:val="18"/>
          <w:szCs w:val="18"/>
        </w:rPr>
      </w:pPr>
      <w:r w:rsidRPr="00997CA5">
        <w:rPr>
          <w:rFonts w:cstheme="minorHAnsi"/>
          <w:color w:val="0000FF"/>
          <w:sz w:val="18"/>
          <w:szCs w:val="18"/>
        </w:rPr>
        <w:t>2.0. </w:t>
      </w:r>
      <w:r w:rsidR="0046441C" w:rsidRPr="0046441C">
        <w:rPr>
          <w:rFonts w:cstheme="minorHAnsi"/>
          <w:color w:val="0000FF"/>
          <w:sz w:val="18"/>
          <w:szCs w:val="18"/>
        </w:rPr>
        <w:t>The authors’ have revised the manuscript and responded to my comments. Overall, I am happier with the paper as it is no</w:t>
      </w:r>
      <w:r w:rsidR="00CC5E45">
        <w:rPr>
          <w:rFonts w:cstheme="minorHAnsi"/>
          <w:color w:val="0000FF"/>
          <w:sz w:val="18"/>
          <w:szCs w:val="18"/>
        </w:rPr>
        <w:t>t</w:t>
      </w:r>
      <w:r w:rsidR="0046441C" w:rsidRPr="0046441C">
        <w:rPr>
          <w:rFonts w:cstheme="minorHAnsi"/>
          <w:color w:val="0000FF"/>
          <w:sz w:val="18"/>
          <w:szCs w:val="18"/>
        </w:rPr>
        <w:t xml:space="preserve"> clearer how the pLCA was carried out. Despite this there are still areas which require further clarification or amendment:</w:t>
      </w:r>
    </w:p>
    <w:p w14:paraId="748C9F62" w14:textId="2B99675B" w:rsidR="0003501A" w:rsidRPr="002A0F58" w:rsidRDefault="0089487B" w:rsidP="0003501A">
      <w:pPr>
        <w:spacing w:line="288" w:lineRule="auto"/>
        <w:jc w:val="both"/>
        <w:rPr>
          <w:rFonts w:cstheme="minorHAnsi"/>
          <w:sz w:val="18"/>
          <w:szCs w:val="18"/>
        </w:rPr>
      </w:pPr>
      <w:r>
        <w:rPr>
          <w:rFonts w:cstheme="minorHAnsi"/>
          <w:sz w:val="18"/>
          <w:szCs w:val="18"/>
        </w:rPr>
        <w:t xml:space="preserve">We would like to sincerely thank the Reviewer for the points </w:t>
      </w:r>
      <w:r w:rsidR="00691659">
        <w:rPr>
          <w:rFonts w:cstheme="minorHAnsi"/>
          <w:sz w:val="18"/>
          <w:szCs w:val="18"/>
        </w:rPr>
        <w:t>raised and helpful suggestions for improving our manuscript. We hope that the following responses and actions</w:t>
      </w:r>
      <w:r w:rsidR="000D5BBA">
        <w:rPr>
          <w:rFonts w:cstheme="minorHAnsi"/>
          <w:sz w:val="18"/>
          <w:szCs w:val="18"/>
        </w:rPr>
        <w:t xml:space="preserve"> </w:t>
      </w:r>
      <w:r w:rsidR="00691659">
        <w:rPr>
          <w:rFonts w:cstheme="minorHAnsi"/>
          <w:sz w:val="18"/>
          <w:szCs w:val="18"/>
        </w:rPr>
        <w:t>address all issues of concern.</w:t>
      </w:r>
    </w:p>
    <w:p w14:paraId="16831A7D" w14:textId="5965274C" w:rsidR="009B2FA2" w:rsidRPr="00BB5E65" w:rsidRDefault="009B2FA2" w:rsidP="00362878">
      <w:pPr>
        <w:spacing w:after="0" w:line="288" w:lineRule="auto"/>
        <w:jc w:val="both"/>
        <w:rPr>
          <w:rFonts w:cstheme="minorHAnsi"/>
          <w:color w:val="0000FF"/>
          <w:sz w:val="18"/>
          <w:szCs w:val="18"/>
        </w:rPr>
      </w:pPr>
      <w:r w:rsidRPr="00BA110F">
        <w:rPr>
          <w:rFonts w:cstheme="minorHAnsi"/>
          <w:color w:val="0000FF"/>
          <w:sz w:val="18"/>
          <w:szCs w:val="18"/>
        </w:rPr>
        <w:t>2.1.</w:t>
      </w:r>
      <w:r w:rsidR="005243D9" w:rsidRPr="00BA110F">
        <w:rPr>
          <w:rFonts w:cstheme="minorHAnsi"/>
          <w:color w:val="0000FF"/>
          <w:sz w:val="18"/>
          <w:szCs w:val="18"/>
        </w:rPr>
        <w:t> </w:t>
      </w:r>
      <w:r w:rsidR="0046441C" w:rsidRPr="0046441C">
        <w:rPr>
          <w:rFonts w:cstheme="minorHAnsi"/>
          <w:color w:val="0000FF"/>
          <w:sz w:val="18"/>
          <w:szCs w:val="18"/>
        </w:rPr>
        <w:t>ESI</w:t>
      </w:r>
      <w:r w:rsidR="005D0A89">
        <w:t xml:space="preserve"> </w:t>
      </w:r>
      <w:r w:rsidR="0046441C" w:rsidRPr="0046441C">
        <w:rPr>
          <w:rFonts w:cstheme="minorHAnsi"/>
          <w:color w:val="0000FF"/>
          <w:sz w:val="18"/>
          <w:szCs w:val="18"/>
        </w:rPr>
        <w:t xml:space="preserve">- Section 7- gas and electricity prices. EIA annual energy outlook energy price data is for the US only (global projections on demand and trade). How was US prices adapted for a global </w:t>
      </w:r>
      <w:commentRangeStart w:id="2"/>
      <w:r w:rsidR="0046441C" w:rsidRPr="0046441C">
        <w:rPr>
          <w:rFonts w:cstheme="minorHAnsi"/>
          <w:color w:val="0000FF"/>
          <w:sz w:val="18"/>
          <w:szCs w:val="18"/>
        </w:rPr>
        <w:t>context</w:t>
      </w:r>
      <w:commentRangeEnd w:id="2"/>
      <w:r w:rsidR="000D5BBA">
        <w:rPr>
          <w:rStyle w:val="CommentReference"/>
          <w:rFonts w:eastAsiaTheme="minorEastAsia"/>
          <w:lang w:val="en-US"/>
        </w:rPr>
        <w:commentReference w:id="2"/>
      </w:r>
      <w:r w:rsidR="0046441C" w:rsidRPr="0046441C">
        <w:rPr>
          <w:rFonts w:cstheme="minorHAnsi"/>
          <w:color w:val="0000FF"/>
          <w:sz w:val="18"/>
          <w:szCs w:val="18"/>
        </w:rPr>
        <w:t>?</w:t>
      </w:r>
    </w:p>
    <w:p w14:paraId="2C9EBA35" w14:textId="1340274A" w:rsidR="0003501A" w:rsidRPr="005D0A89" w:rsidRDefault="005D0A89" w:rsidP="0003501A">
      <w:pPr>
        <w:spacing w:line="288" w:lineRule="auto"/>
        <w:jc w:val="both"/>
        <w:rPr>
          <w:rFonts w:cstheme="minorHAnsi"/>
          <w:b/>
          <w:sz w:val="18"/>
          <w:szCs w:val="18"/>
        </w:rPr>
      </w:pPr>
      <w:r>
        <w:rPr>
          <w:rFonts w:cstheme="minorHAnsi"/>
          <w:sz w:val="18"/>
          <w:szCs w:val="18"/>
        </w:rPr>
        <w:t xml:space="preserve">As pointed out by the </w:t>
      </w:r>
      <w:r w:rsidR="000D5BBA">
        <w:rPr>
          <w:rFonts w:cstheme="minorHAnsi"/>
          <w:sz w:val="18"/>
          <w:szCs w:val="18"/>
        </w:rPr>
        <w:t>R</w:t>
      </w:r>
      <w:r>
        <w:rPr>
          <w:rFonts w:cstheme="minorHAnsi"/>
          <w:sz w:val="18"/>
          <w:szCs w:val="18"/>
        </w:rPr>
        <w:t xml:space="preserve">eviewer, the </w:t>
      </w:r>
      <w:r w:rsidR="009F673B">
        <w:rPr>
          <w:rFonts w:cstheme="minorHAnsi"/>
          <w:sz w:val="18"/>
          <w:szCs w:val="18"/>
        </w:rPr>
        <w:t xml:space="preserve">gas and electricity prices utilised in the </w:t>
      </w:r>
      <w:r>
        <w:rPr>
          <w:rFonts w:cstheme="minorHAnsi"/>
          <w:sz w:val="18"/>
          <w:szCs w:val="18"/>
        </w:rPr>
        <w:t>prospective techno</w:t>
      </w:r>
      <w:r>
        <w:rPr>
          <w:rFonts w:cstheme="minorHAnsi"/>
          <w:sz w:val="18"/>
          <w:szCs w:val="18"/>
        </w:rPr>
        <w:noBreakHyphen/>
        <w:t xml:space="preserve">economic assessment shown in Section 7 of the ESI </w:t>
      </w:r>
      <w:r w:rsidR="009F673B">
        <w:rPr>
          <w:rFonts w:cstheme="minorHAnsi"/>
          <w:sz w:val="18"/>
          <w:szCs w:val="18"/>
        </w:rPr>
        <w:t>are</w:t>
      </w:r>
      <w:r>
        <w:rPr>
          <w:rFonts w:cstheme="minorHAnsi"/>
          <w:sz w:val="18"/>
          <w:szCs w:val="18"/>
        </w:rPr>
        <w:t xml:space="preserve"> primarily based on prices for the US only</w:t>
      </w:r>
      <w:r w:rsidR="000D5BBA" w:rsidRPr="000D5BBA">
        <w:rPr>
          <w:rFonts w:cstheme="minorHAnsi"/>
          <w:sz w:val="18"/>
          <w:szCs w:val="18"/>
        </w:rPr>
        <w:t xml:space="preserve"> </w:t>
      </w:r>
      <w:r w:rsidR="000D5BBA">
        <w:rPr>
          <w:rFonts w:cstheme="minorHAnsi"/>
          <w:sz w:val="18"/>
          <w:szCs w:val="18"/>
        </w:rPr>
        <w:t>due to the lack of data availability for other regions</w:t>
      </w:r>
      <w:r w:rsidR="000D5BBA" w:rsidRPr="000D5BBA">
        <w:rPr>
          <w:rFonts w:cstheme="minorHAnsi"/>
          <w:sz w:val="18"/>
          <w:szCs w:val="18"/>
        </w:rPr>
        <w:t xml:space="preserve"> </w:t>
      </w:r>
      <w:r w:rsidR="000D5BBA">
        <w:rPr>
          <w:rFonts w:cstheme="minorHAnsi"/>
          <w:sz w:val="18"/>
          <w:szCs w:val="18"/>
        </w:rPr>
        <w:t>and the inherent complexities of using future projections to perform a prospective techno</w:t>
      </w:r>
      <w:r w:rsidR="000D5BBA">
        <w:rPr>
          <w:rFonts w:cstheme="minorHAnsi"/>
          <w:sz w:val="18"/>
          <w:szCs w:val="18"/>
        </w:rPr>
        <w:noBreakHyphen/>
        <w:t>economic assessment, as mentioned in the same section.</w:t>
      </w:r>
      <w:r>
        <w:rPr>
          <w:rFonts w:cstheme="minorHAnsi"/>
          <w:sz w:val="18"/>
          <w:szCs w:val="18"/>
        </w:rPr>
        <w:t xml:space="preserve"> </w:t>
      </w:r>
      <w:r>
        <w:rPr>
          <w:rFonts w:cstheme="minorHAnsi"/>
          <w:b/>
          <w:sz w:val="18"/>
          <w:szCs w:val="18"/>
        </w:rPr>
        <w:t xml:space="preserve">We have modified </w:t>
      </w:r>
      <w:commentRangeStart w:id="3"/>
      <w:r>
        <w:rPr>
          <w:rFonts w:cstheme="minorHAnsi"/>
          <w:b/>
          <w:sz w:val="18"/>
          <w:szCs w:val="18"/>
        </w:rPr>
        <w:t>Section 7 of the ESI</w:t>
      </w:r>
      <w:commentRangeEnd w:id="3"/>
      <w:r w:rsidR="00A67839">
        <w:rPr>
          <w:rStyle w:val="CommentReference"/>
          <w:rFonts w:eastAsiaTheme="minorEastAsia"/>
          <w:lang w:val="en-US"/>
        </w:rPr>
        <w:commentReference w:id="3"/>
      </w:r>
      <w:r>
        <w:rPr>
          <w:rFonts w:cstheme="minorHAnsi"/>
          <w:b/>
          <w:sz w:val="18"/>
          <w:szCs w:val="18"/>
        </w:rPr>
        <w:t xml:space="preserve"> to clarify that </w:t>
      </w:r>
      <w:r w:rsidR="000D5BBA">
        <w:rPr>
          <w:rFonts w:cstheme="minorHAnsi"/>
          <w:b/>
          <w:sz w:val="18"/>
          <w:szCs w:val="18"/>
        </w:rPr>
        <w:t xml:space="preserve">US prices were used for </w:t>
      </w:r>
      <w:r w:rsidR="00B548D1">
        <w:rPr>
          <w:rFonts w:cstheme="minorHAnsi"/>
          <w:b/>
          <w:sz w:val="18"/>
          <w:szCs w:val="18"/>
        </w:rPr>
        <w:t>natural gas and electricity</w:t>
      </w:r>
      <w:r w:rsidR="000D5BBA">
        <w:rPr>
          <w:rFonts w:cstheme="minorHAnsi"/>
          <w:b/>
          <w:sz w:val="18"/>
          <w:szCs w:val="18"/>
        </w:rPr>
        <w:t>, thus providing</w:t>
      </w:r>
      <w:r>
        <w:rPr>
          <w:rFonts w:cstheme="minorHAnsi"/>
          <w:b/>
          <w:sz w:val="18"/>
          <w:szCs w:val="18"/>
        </w:rPr>
        <w:t xml:space="preserve"> </w:t>
      </w:r>
      <w:r w:rsidR="000D5BBA">
        <w:rPr>
          <w:rFonts w:cstheme="minorHAnsi"/>
          <w:b/>
          <w:sz w:val="18"/>
          <w:szCs w:val="18"/>
        </w:rPr>
        <w:t xml:space="preserve">an </w:t>
      </w:r>
      <w:r>
        <w:rPr>
          <w:rFonts w:cstheme="minorHAnsi"/>
          <w:b/>
          <w:sz w:val="18"/>
          <w:szCs w:val="18"/>
        </w:rPr>
        <w:t>approximation to the global context.</w:t>
      </w:r>
    </w:p>
    <w:p w14:paraId="406D7688" w14:textId="3BE6D708" w:rsidR="009B2FA2" w:rsidRPr="00BB5E65" w:rsidRDefault="009B2FA2" w:rsidP="00362878">
      <w:pPr>
        <w:spacing w:after="0" w:line="288" w:lineRule="auto"/>
        <w:jc w:val="both"/>
        <w:rPr>
          <w:rFonts w:cstheme="minorHAnsi"/>
          <w:color w:val="0000FF"/>
          <w:sz w:val="18"/>
          <w:szCs w:val="18"/>
        </w:rPr>
      </w:pPr>
      <w:r w:rsidRPr="00B53E5D">
        <w:rPr>
          <w:rFonts w:cstheme="minorHAnsi"/>
          <w:color w:val="0000FF"/>
          <w:sz w:val="18"/>
          <w:szCs w:val="18"/>
        </w:rPr>
        <w:t>2.2.</w:t>
      </w:r>
      <w:r w:rsidR="00040861" w:rsidRPr="00B53E5D">
        <w:rPr>
          <w:rFonts w:cstheme="minorHAnsi"/>
          <w:color w:val="0000FF"/>
          <w:sz w:val="18"/>
          <w:szCs w:val="18"/>
        </w:rPr>
        <w:t> </w:t>
      </w:r>
      <w:r w:rsidR="0046441C" w:rsidRPr="0046441C">
        <w:rPr>
          <w:rFonts w:cstheme="minorHAnsi"/>
          <w:color w:val="0000FF"/>
          <w:sz w:val="18"/>
          <w:szCs w:val="18"/>
        </w:rPr>
        <w:t>The analysis is a global one and this should be reflected in the title of the paper and mentioned in the methodology, as otherwise it isn’t until the results section that it’s made clear the study is global.</w:t>
      </w:r>
    </w:p>
    <w:p w14:paraId="382B6D75" w14:textId="0E37A87C" w:rsidR="0003501A" w:rsidRPr="0077570F" w:rsidRDefault="0077570F" w:rsidP="0003501A">
      <w:pPr>
        <w:spacing w:line="288" w:lineRule="auto"/>
        <w:jc w:val="both"/>
        <w:rPr>
          <w:rFonts w:cstheme="minorHAnsi"/>
          <w:sz w:val="18"/>
          <w:szCs w:val="18"/>
        </w:rPr>
      </w:pPr>
      <w:r>
        <w:rPr>
          <w:rFonts w:cstheme="minorHAnsi"/>
          <w:sz w:val="18"/>
          <w:szCs w:val="18"/>
        </w:rPr>
        <w:t xml:space="preserve">We would like to </w:t>
      </w:r>
      <w:r w:rsidR="000D5BBA">
        <w:rPr>
          <w:rFonts w:cstheme="minorHAnsi"/>
          <w:sz w:val="18"/>
          <w:szCs w:val="18"/>
        </w:rPr>
        <w:t>underscore</w:t>
      </w:r>
      <w:r>
        <w:rPr>
          <w:rFonts w:cstheme="minorHAnsi"/>
          <w:sz w:val="18"/>
          <w:szCs w:val="18"/>
        </w:rPr>
        <w:t xml:space="preserve"> that the analysis </w:t>
      </w:r>
      <w:r w:rsidR="000D5BBA">
        <w:rPr>
          <w:rFonts w:cstheme="minorHAnsi"/>
          <w:sz w:val="18"/>
          <w:szCs w:val="18"/>
        </w:rPr>
        <w:t>extends beyond the</w:t>
      </w:r>
      <w:r>
        <w:rPr>
          <w:rFonts w:cstheme="minorHAnsi"/>
          <w:sz w:val="18"/>
          <w:szCs w:val="18"/>
        </w:rPr>
        <w:t xml:space="preserve"> global scale. We </w:t>
      </w:r>
      <w:r w:rsidR="000D5BBA">
        <w:rPr>
          <w:rFonts w:cstheme="minorHAnsi"/>
          <w:sz w:val="18"/>
          <w:szCs w:val="18"/>
        </w:rPr>
        <w:t xml:space="preserve">enhance granularity </w:t>
      </w:r>
      <w:r>
        <w:rPr>
          <w:rFonts w:cstheme="minorHAnsi"/>
          <w:sz w:val="18"/>
          <w:szCs w:val="18"/>
        </w:rPr>
        <w:t xml:space="preserve">by conducting prospective life cycle assessments of all regions as defined by the IMAGE IAM utilised in our study. In the main manuscript, the results </w:t>
      </w:r>
      <w:r w:rsidRPr="002535E1">
        <w:rPr>
          <w:rFonts w:cstheme="minorHAnsi"/>
          <w:sz w:val="18"/>
          <w:szCs w:val="18"/>
        </w:rPr>
        <w:t>shown in Fig. 1, 2, and 3 are on a global scale, whereas the results shown in Fig. 4 are performed on a regional scale.</w:t>
      </w:r>
      <w:r w:rsidR="00942F46">
        <w:rPr>
          <w:rFonts w:cstheme="minorHAnsi"/>
          <w:sz w:val="18"/>
          <w:szCs w:val="18"/>
        </w:rPr>
        <w:t xml:space="preserve"> We also feel the original title reflects the generality of the analysis. </w:t>
      </w:r>
      <w:r w:rsidRPr="002535E1">
        <w:rPr>
          <w:rFonts w:cstheme="minorHAnsi"/>
          <w:b/>
          <w:sz w:val="18"/>
          <w:szCs w:val="18"/>
        </w:rPr>
        <w:t xml:space="preserve">Therefore, we have amended the methods section of the main manuscript to </w:t>
      </w:r>
      <w:r w:rsidR="00942F46">
        <w:rPr>
          <w:rFonts w:cstheme="minorHAnsi"/>
          <w:b/>
          <w:sz w:val="18"/>
          <w:szCs w:val="18"/>
        </w:rPr>
        <w:t xml:space="preserve">further clarify </w:t>
      </w:r>
      <w:r w:rsidRPr="002535E1">
        <w:rPr>
          <w:rFonts w:cstheme="minorHAnsi"/>
          <w:b/>
          <w:sz w:val="18"/>
          <w:szCs w:val="18"/>
        </w:rPr>
        <w:t>the scope of our study</w:t>
      </w:r>
      <w:r w:rsidR="006145EC" w:rsidRPr="002535E1">
        <w:rPr>
          <w:rFonts w:cstheme="minorHAnsi"/>
          <w:b/>
          <w:sz w:val="18"/>
          <w:szCs w:val="18"/>
        </w:rPr>
        <w:t xml:space="preserve"> (page </w:t>
      </w:r>
      <w:r w:rsidR="002535E1" w:rsidRPr="002535E1">
        <w:rPr>
          <w:rFonts w:cstheme="minorHAnsi"/>
          <w:b/>
          <w:sz w:val="18"/>
          <w:szCs w:val="18"/>
        </w:rPr>
        <w:t>2</w:t>
      </w:r>
      <w:r w:rsidR="006145EC" w:rsidRPr="002535E1">
        <w:rPr>
          <w:rFonts w:cstheme="minorHAnsi"/>
          <w:b/>
          <w:sz w:val="18"/>
          <w:szCs w:val="18"/>
        </w:rPr>
        <w:t>, line </w:t>
      </w:r>
      <w:r w:rsidR="002535E1" w:rsidRPr="002535E1">
        <w:rPr>
          <w:rFonts w:cstheme="minorHAnsi"/>
          <w:b/>
          <w:sz w:val="18"/>
          <w:szCs w:val="18"/>
        </w:rPr>
        <w:t>1</w:t>
      </w:r>
      <w:r w:rsidR="006145EC" w:rsidRPr="002535E1">
        <w:rPr>
          <w:rFonts w:cstheme="minorHAnsi"/>
          <w:b/>
          <w:sz w:val="18"/>
          <w:szCs w:val="18"/>
        </w:rPr>
        <w:t xml:space="preserve">, </w:t>
      </w:r>
      <w:r w:rsidR="002535E1" w:rsidRPr="002535E1">
        <w:rPr>
          <w:rFonts w:cstheme="minorHAnsi"/>
          <w:b/>
          <w:sz w:val="18"/>
          <w:szCs w:val="18"/>
        </w:rPr>
        <w:t>right</w:t>
      </w:r>
      <w:r w:rsidR="006145EC" w:rsidRPr="002535E1">
        <w:rPr>
          <w:rFonts w:cstheme="minorHAnsi"/>
          <w:b/>
          <w:sz w:val="18"/>
          <w:szCs w:val="18"/>
        </w:rPr>
        <w:t> column)</w:t>
      </w:r>
      <w:r w:rsidRPr="002535E1">
        <w:rPr>
          <w:rFonts w:cstheme="minorHAnsi"/>
          <w:b/>
          <w:sz w:val="18"/>
          <w:szCs w:val="18"/>
        </w:rPr>
        <w:t>.</w:t>
      </w:r>
    </w:p>
    <w:p w14:paraId="55E04D36" w14:textId="0BF59053" w:rsidR="009B2FA2" w:rsidRPr="00BB5E65" w:rsidRDefault="009B2FA2" w:rsidP="00362878">
      <w:pPr>
        <w:spacing w:after="0" w:line="288" w:lineRule="auto"/>
        <w:jc w:val="both"/>
        <w:rPr>
          <w:rFonts w:cstheme="minorHAnsi"/>
          <w:color w:val="0000FF"/>
          <w:sz w:val="18"/>
          <w:szCs w:val="18"/>
        </w:rPr>
      </w:pPr>
      <w:r w:rsidRPr="00FA5733">
        <w:rPr>
          <w:rFonts w:cstheme="minorHAnsi"/>
          <w:color w:val="0000FF"/>
          <w:sz w:val="18"/>
          <w:szCs w:val="18"/>
        </w:rPr>
        <w:t>2.3.</w:t>
      </w:r>
      <w:r w:rsidR="00040861" w:rsidRPr="00FA5733">
        <w:rPr>
          <w:rFonts w:cstheme="minorHAnsi"/>
          <w:color w:val="0000FF"/>
          <w:sz w:val="18"/>
          <w:szCs w:val="18"/>
        </w:rPr>
        <w:t> </w:t>
      </w:r>
      <w:r w:rsidR="0046441C" w:rsidRPr="0046441C">
        <w:rPr>
          <w:rFonts w:cstheme="minorHAnsi"/>
          <w:color w:val="0000FF"/>
          <w:sz w:val="18"/>
          <w:szCs w:val="18"/>
        </w:rPr>
        <w:t>ESI section 2.1- 25 bar hydrogen delivered is chosen but for the green hydrogen route (PEM) only 30 bar delivery is available in premise (I am using v1.8.2.dev)</w:t>
      </w:r>
      <w:r w:rsidR="0046441C">
        <w:rPr>
          <w:rFonts w:cstheme="minorHAnsi"/>
          <w:color w:val="0000FF"/>
          <w:sz w:val="18"/>
          <w:szCs w:val="18"/>
        </w:rPr>
        <w:t>.</w:t>
      </w:r>
    </w:p>
    <w:p w14:paraId="1B6A0C0C" w14:textId="4AE486F5" w:rsidR="0003501A" w:rsidRPr="00684238" w:rsidRDefault="00684238" w:rsidP="0003501A">
      <w:pPr>
        <w:spacing w:line="288" w:lineRule="auto"/>
        <w:jc w:val="both"/>
        <w:rPr>
          <w:rFonts w:cstheme="minorHAnsi"/>
          <w:sz w:val="18"/>
          <w:szCs w:val="18"/>
        </w:rPr>
      </w:pPr>
      <w:r>
        <w:rPr>
          <w:rFonts w:cstheme="minorHAnsi"/>
          <w:sz w:val="18"/>
          <w:szCs w:val="18"/>
        </w:rPr>
        <w:t>We thank the Reviewer for highlighting this discrepancy. Fossil and blue hydrogen are delivered at 25 bar, while green hydrogen from PEM</w:t>
      </w:r>
      <w:r>
        <w:rPr>
          <w:rFonts w:cstheme="minorHAnsi"/>
          <w:sz w:val="18"/>
          <w:szCs w:val="18"/>
        </w:rPr>
        <w:noBreakHyphen/>
        <w:t xml:space="preserve">based water electrolysis is delivered at 30 bar. </w:t>
      </w:r>
      <w:r>
        <w:rPr>
          <w:rFonts w:cstheme="minorHAnsi"/>
          <w:b/>
          <w:sz w:val="18"/>
          <w:szCs w:val="18"/>
        </w:rPr>
        <w:t>The ESI has been updated to clarify and correct the delivery pressures of hydrogen.</w:t>
      </w:r>
      <w:r>
        <w:rPr>
          <w:rFonts w:cstheme="minorHAnsi"/>
          <w:sz w:val="18"/>
          <w:szCs w:val="18"/>
        </w:rPr>
        <w:t xml:space="preserve"> It should also be noted that the subsequent green ammonia and methanol production routes take hydrogen at 30 bar as an input, which adheres to our results and </w:t>
      </w:r>
      <w:commentRangeStart w:id="4"/>
      <w:r>
        <w:rPr>
          <w:rFonts w:cstheme="minorHAnsi"/>
          <w:sz w:val="18"/>
          <w:szCs w:val="18"/>
        </w:rPr>
        <w:t>discussions</w:t>
      </w:r>
      <w:commentRangeEnd w:id="4"/>
      <w:r w:rsidR="0036671F">
        <w:rPr>
          <w:rStyle w:val="CommentReference"/>
          <w:rFonts w:eastAsiaTheme="minorEastAsia"/>
          <w:lang w:val="en-US"/>
        </w:rPr>
        <w:commentReference w:id="4"/>
      </w:r>
      <w:r>
        <w:rPr>
          <w:rFonts w:cstheme="minorHAnsi"/>
          <w:sz w:val="18"/>
          <w:szCs w:val="18"/>
        </w:rPr>
        <w:t>.</w:t>
      </w:r>
    </w:p>
    <w:p w14:paraId="08BA020E" w14:textId="1148CEB0" w:rsidR="009B2FA2" w:rsidRPr="00BB5E65" w:rsidRDefault="009B2FA2" w:rsidP="00362878">
      <w:pPr>
        <w:spacing w:after="0" w:line="288" w:lineRule="auto"/>
        <w:jc w:val="both"/>
        <w:rPr>
          <w:rFonts w:cstheme="minorHAnsi"/>
          <w:color w:val="0000FF"/>
          <w:sz w:val="18"/>
          <w:szCs w:val="18"/>
        </w:rPr>
      </w:pPr>
      <w:r w:rsidRPr="007238AA">
        <w:rPr>
          <w:rFonts w:cstheme="minorHAnsi"/>
          <w:color w:val="0000FF"/>
          <w:sz w:val="18"/>
          <w:szCs w:val="18"/>
        </w:rPr>
        <w:t>2.4.</w:t>
      </w:r>
      <w:r w:rsidR="00040861" w:rsidRPr="007238AA">
        <w:rPr>
          <w:rFonts w:cstheme="minorHAnsi"/>
          <w:color w:val="0000FF"/>
          <w:sz w:val="18"/>
          <w:szCs w:val="18"/>
        </w:rPr>
        <w:t> </w:t>
      </w:r>
      <w:r w:rsidR="0046441C" w:rsidRPr="0046441C">
        <w:rPr>
          <w:rFonts w:cstheme="minorHAnsi"/>
          <w:color w:val="0000FF"/>
          <w:sz w:val="18"/>
          <w:szCs w:val="18"/>
        </w:rPr>
        <w:t>Was literature data used to build a carbon capture process or was a premise generated process used? If a premise generated process, which one?</w:t>
      </w:r>
    </w:p>
    <w:p w14:paraId="2A533553" w14:textId="72694D9B" w:rsidR="0003501A" w:rsidRDefault="00FE2C1E" w:rsidP="0003501A">
      <w:pPr>
        <w:spacing w:line="288" w:lineRule="auto"/>
        <w:jc w:val="both"/>
        <w:rPr>
          <w:rFonts w:cstheme="minorHAnsi"/>
          <w:b/>
          <w:sz w:val="18"/>
          <w:szCs w:val="18"/>
        </w:rPr>
      </w:pPr>
      <w:r>
        <w:rPr>
          <w:rFonts w:cstheme="minorHAnsi"/>
          <w:sz w:val="18"/>
          <w:szCs w:val="18"/>
        </w:rPr>
        <w:t>CO</w:t>
      </w:r>
      <w:r w:rsidRPr="00FE2C1E">
        <w:rPr>
          <w:rFonts w:cstheme="minorHAnsi"/>
          <w:sz w:val="18"/>
          <w:szCs w:val="18"/>
          <w:vertAlign w:val="subscript"/>
        </w:rPr>
        <w:t>2</w:t>
      </w:r>
      <w:r>
        <w:rPr>
          <w:rFonts w:cstheme="minorHAnsi"/>
          <w:sz w:val="18"/>
          <w:szCs w:val="18"/>
        </w:rPr>
        <w:t xml:space="preserve"> is assumed to be captured through a mature technology, specifically monoethanolamine</w:t>
      </w:r>
      <w:r>
        <w:rPr>
          <w:rFonts w:cstheme="minorHAnsi"/>
          <w:sz w:val="18"/>
          <w:szCs w:val="18"/>
        </w:rPr>
        <w:noBreakHyphen/>
        <w:t xml:space="preserve">based </w:t>
      </w:r>
      <w:r w:rsidR="00FA6597">
        <w:rPr>
          <w:rFonts w:cstheme="minorHAnsi"/>
          <w:sz w:val="18"/>
          <w:szCs w:val="18"/>
        </w:rPr>
        <w:t>chemical absorption</w:t>
      </w:r>
      <w:r w:rsidR="0036671F">
        <w:rPr>
          <w:rFonts w:cstheme="minorHAnsi"/>
          <w:sz w:val="18"/>
          <w:szCs w:val="18"/>
        </w:rPr>
        <w:t xml:space="preserve"> </w:t>
      </w:r>
      <w:commentRangeStart w:id="5"/>
      <w:r w:rsidR="0036671F">
        <w:rPr>
          <w:rFonts w:cstheme="minorHAnsi"/>
          <w:sz w:val="18"/>
          <w:szCs w:val="18"/>
        </w:rPr>
        <w:t>(Section 2.2 and Table S1 of the ESI)</w:t>
      </w:r>
      <w:commentRangeEnd w:id="5"/>
      <w:r w:rsidR="0036671F">
        <w:rPr>
          <w:rStyle w:val="CommentReference"/>
          <w:rFonts w:eastAsiaTheme="minorEastAsia"/>
          <w:lang w:val="en-US"/>
        </w:rPr>
        <w:commentReference w:id="5"/>
      </w:r>
      <w:r w:rsidR="00FA6597">
        <w:rPr>
          <w:rFonts w:cstheme="minorHAnsi"/>
          <w:sz w:val="18"/>
          <w:szCs w:val="18"/>
        </w:rPr>
        <w:t>. The carbon capture and storage inventories</w:t>
      </w:r>
      <w:r w:rsidR="0036671F">
        <w:rPr>
          <w:rFonts w:cstheme="minorHAnsi"/>
          <w:sz w:val="18"/>
          <w:szCs w:val="18"/>
        </w:rPr>
        <w:t xml:space="preserve"> </w:t>
      </w:r>
      <w:r w:rsidR="00FA6597">
        <w:rPr>
          <w:rFonts w:cstheme="minorHAnsi"/>
          <w:sz w:val="18"/>
          <w:szCs w:val="18"/>
        </w:rPr>
        <w:t xml:space="preserve">were </w:t>
      </w:r>
      <w:r w:rsidR="00315A21">
        <w:rPr>
          <w:rFonts w:cstheme="minorHAnsi"/>
          <w:sz w:val="18"/>
          <w:szCs w:val="18"/>
        </w:rPr>
        <w:t>modelled</w:t>
      </w:r>
      <w:r w:rsidR="00FA6597">
        <w:rPr>
          <w:rFonts w:cstheme="minorHAnsi"/>
          <w:sz w:val="18"/>
          <w:szCs w:val="18"/>
        </w:rPr>
        <w:t xml:space="preserve"> </w:t>
      </w:r>
      <w:r w:rsidR="008D0F3A">
        <w:rPr>
          <w:rFonts w:cstheme="minorHAnsi"/>
          <w:sz w:val="18"/>
          <w:szCs w:val="18"/>
        </w:rPr>
        <w:t>based on</w:t>
      </w:r>
      <w:r w:rsidR="00FA6597">
        <w:rPr>
          <w:rFonts w:cstheme="minorHAnsi"/>
          <w:sz w:val="18"/>
          <w:szCs w:val="18"/>
        </w:rPr>
        <w:t xml:space="preserve"> literature </w:t>
      </w:r>
      <w:commentRangeStart w:id="6"/>
      <w:r w:rsidR="00FA6597">
        <w:rPr>
          <w:rFonts w:cstheme="minorHAnsi"/>
          <w:sz w:val="18"/>
          <w:szCs w:val="18"/>
        </w:rPr>
        <w:t>[Volkart </w:t>
      </w:r>
      <w:r w:rsidR="00FA6597">
        <w:rPr>
          <w:rFonts w:cstheme="minorHAnsi"/>
          <w:i/>
          <w:sz w:val="18"/>
          <w:szCs w:val="18"/>
        </w:rPr>
        <w:t>et</w:t>
      </w:r>
      <w:r w:rsidR="00FA6597">
        <w:rPr>
          <w:rFonts w:cstheme="minorHAnsi"/>
          <w:sz w:val="18"/>
          <w:szCs w:val="18"/>
        </w:rPr>
        <w:t> </w:t>
      </w:r>
      <w:r w:rsidR="00FA6597">
        <w:rPr>
          <w:rFonts w:cstheme="minorHAnsi"/>
          <w:i/>
          <w:sz w:val="18"/>
          <w:szCs w:val="18"/>
        </w:rPr>
        <w:t>al</w:t>
      </w:r>
      <w:r w:rsidR="00FA6597">
        <w:rPr>
          <w:rFonts w:cstheme="minorHAnsi"/>
          <w:sz w:val="18"/>
          <w:szCs w:val="18"/>
        </w:rPr>
        <w:t xml:space="preserve">., </w:t>
      </w:r>
      <w:r w:rsidR="00FA6597">
        <w:rPr>
          <w:rFonts w:cstheme="minorHAnsi"/>
          <w:i/>
          <w:sz w:val="18"/>
          <w:szCs w:val="18"/>
        </w:rPr>
        <w:t>Int. J. Gree</w:t>
      </w:r>
      <w:r w:rsidR="0092121B">
        <w:rPr>
          <w:rFonts w:cstheme="minorHAnsi"/>
          <w:i/>
          <w:sz w:val="18"/>
          <w:szCs w:val="18"/>
        </w:rPr>
        <w:t>n</w:t>
      </w:r>
      <w:r w:rsidR="00FA6597">
        <w:rPr>
          <w:rFonts w:cstheme="minorHAnsi"/>
          <w:i/>
          <w:sz w:val="18"/>
          <w:szCs w:val="18"/>
        </w:rPr>
        <w:t>h. Gas Control</w:t>
      </w:r>
      <w:r w:rsidR="00FA6597">
        <w:rPr>
          <w:rFonts w:cstheme="minorHAnsi"/>
          <w:sz w:val="18"/>
          <w:szCs w:val="18"/>
        </w:rPr>
        <w:t>, 2013, 13, 91–106]</w:t>
      </w:r>
      <w:commentRangeEnd w:id="6"/>
      <w:r w:rsidR="0036671F">
        <w:rPr>
          <w:rStyle w:val="CommentReference"/>
          <w:rFonts w:eastAsiaTheme="minorEastAsia"/>
          <w:lang w:val="en-US"/>
        </w:rPr>
        <w:commentReference w:id="6"/>
      </w:r>
      <w:r w:rsidR="00315A21">
        <w:rPr>
          <w:rFonts w:cstheme="minorHAnsi"/>
          <w:sz w:val="18"/>
          <w:szCs w:val="18"/>
        </w:rPr>
        <w:t xml:space="preserve"> </w:t>
      </w:r>
      <w:commentRangeStart w:id="7"/>
      <w:r w:rsidR="00315A21">
        <w:rPr>
          <w:rFonts w:cstheme="minorHAnsi"/>
          <w:sz w:val="18"/>
          <w:szCs w:val="18"/>
        </w:rPr>
        <w:t xml:space="preserve">and </w:t>
      </w:r>
      <w:r w:rsidR="008D0F3A">
        <w:rPr>
          <w:rFonts w:cstheme="minorHAnsi"/>
          <w:sz w:val="18"/>
          <w:szCs w:val="18"/>
        </w:rPr>
        <w:t xml:space="preserve">were </w:t>
      </w:r>
      <w:r w:rsidR="00315A21">
        <w:rPr>
          <w:rFonts w:cstheme="minorHAnsi"/>
          <w:sz w:val="18"/>
          <w:szCs w:val="18"/>
        </w:rPr>
        <w:t xml:space="preserve">not generated </w:t>
      </w:r>
      <w:r w:rsidR="008D0F3A">
        <w:rPr>
          <w:rFonts w:cstheme="minorHAnsi"/>
          <w:sz w:val="18"/>
          <w:szCs w:val="18"/>
        </w:rPr>
        <w:t xml:space="preserve">by </w:t>
      </w:r>
      <w:r w:rsidR="008D0F3A">
        <w:rPr>
          <w:rFonts w:cstheme="minorHAnsi"/>
          <w:i/>
          <w:sz w:val="18"/>
          <w:szCs w:val="18"/>
        </w:rPr>
        <w:t>premise</w:t>
      </w:r>
      <w:commentRangeEnd w:id="7"/>
      <w:r w:rsidR="0036671F">
        <w:rPr>
          <w:rStyle w:val="CommentReference"/>
          <w:rFonts w:eastAsiaTheme="minorEastAsia"/>
          <w:lang w:val="en-US"/>
        </w:rPr>
        <w:commentReference w:id="7"/>
      </w:r>
      <w:r w:rsidR="00FA6597">
        <w:rPr>
          <w:rFonts w:cstheme="minorHAnsi"/>
          <w:sz w:val="18"/>
          <w:szCs w:val="18"/>
        </w:rPr>
        <w:t xml:space="preserve">. </w:t>
      </w:r>
      <w:r w:rsidR="00FA6597" w:rsidRPr="007B43BF">
        <w:rPr>
          <w:rFonts w:cstheme="minorHAnsi"/>
          <w:b/>
          <w:sz w:val="18"/>
          <w:szCs w:val="18"/>
        </w:rPr>
        <w:t xml:space="preserve">In response to the Reviewers’ suggestions </w:t>
      </w:r>
      <w:r w:rsidR="008C625B" w:rsidRPr="007B43BF">
        <w:rPr>
          <w:rFonts w:cstheme="minorHAnsi"/>
          <w:b/>
          <w:sz w:val="18"/>
          <w:szCs w:val="18"/>
        </w:rPr>
        <w:t>and</w:t>
      </w:r>
      <w:r w:rsidR="007B43BF" w:rsidRPr="007B43BF">
        <w:rPr>
          <w:rFonts w:cstheme="minorHAnsi"/>
          <w:b/>
          <w:sz w:val="18"/>
          <w:szCs w:val="18"/>
        </w:rPr>
        <w:t xml:space="preserve"> </w:t>
      </w:r>
      <w:r w:rsidR="0036671F">
        <w:rPr>
          <w:rFonts w:cstheme="minorHAnsi"/>
          <w:b/>
          <w:sz w:val="18"/>
          <w:szCs w:val="18"/>
        </w:rPr>
        <w:t xml:space="preserve">additional </w:t>
      </w:r>
      <w:r w:rsidR="008C625B" w:rsidRPr="007B43BF">
        <w:rPr>
          <w:rFonts w:cstheme="minorHAnsi"/>
          <w:b/>
          <w:sz w:val="18"/>
          <w:szCs w:val="18"/>
        </w:rPr>
        <w:t>feedback</w:t>
      </w:r>
      <w:r w:rsidR="00BD3365">
        <w:rPr>
          <w:rFonts w:cstheme="minorHAnsi"/>
          <w:b/>
          <w:sz w:val="18"/>
          <w:szCs w:val="18"/>
        </w:rPr>
        <w:t xml:space="preserve"> provided</w:t>
      </w:r>
      <w:r w:rsidR="008C625B" w:rsidRPr="007B43BF">
        <w:rPr>
          <w:rFonts w:cstheme="minorHAnsi"/>
          <w:b/>
          <w:sz w:val="18"/>
          <w:szCs w:val="18"/>
        </w:rPr>
        <w:t xml:space="preserve"> </w:t>
      </w:r>
      <w:r w:rsidR="00FA6597" w:rsidRPr="007B43BF">
        <w:rPr>
          <w:rFonts w:cstheme="minorHAnsi"/>
          <w:b/>
          <w:sz w:val="18"/>
          <w:szCs w:val="18"/>
        </w:rPr>
        <w:t>in comments 2.6 and 2.7, the main processes used in our study have been listed in Table S1.</w:t>
      </w:r>
    </w:p>
    <w:p w14:paraId="1B13C2B1" w14:textId="77777777" w:rsidR="00E11972" w:rsidRDefault="00E11972" w:rsidP="0003501A">
      <w:pPr>
        <w:spacing w:line="288" w:lineRule="auto"/>
        <w:jc w:val="both"/>
        <w:rPr>
          <w:rFonts w:cstheme="minorHAnsi"/>
          <w:b/>
          <w:sz w:val="18"/>
          <w:szCs w:val="18"/>
        </w:rPr>
      </w:pPr>
    </w:p>
    <w:p w14:paraId="2A03FE30" w14:textId="77777777" w:rsidR="00E11972" w:rsidRPr="00FE2C1E" w:rsidRDefault="00E11972" w:rsidP="0003501A">
      <w:pPr>
        <w:spacing w:line="288" w:lineRule="auto"/>
        <w:jc w:val="both"/>
        <w:rPr>
          <w:rFonts w:cstheme="minorHAnsi"/>
          <w:sz w:val="18"/>
          <w:szCs w:val="18"/>
        </w:rPr>
      </w:pPr>
    </w:p>
    <w:p w14:paraId="4EF980D8" w14:textId="7A90094A" w:rsidR="009B2FA2" w:rsidRPr="00BB5E65" w:rsidRDefault="009B2FA2" w:rsidP="00362878">
      <w:pPr>
        <w:spacing w:after="0" w:line="288" w:lineRule="auto"/>
        <w:jc w:val="both"/>
        <w:rPr>
          <w:rFonts w:cstheme="minorHAnsi"/>
          <w:color w:val="0000FF"/>
          <w:sz w:val="18"/>
          <w:szCs w:val="18"/>
        </w:rPr>
      </w:pPr>
      <w:r w:rsidRPr="005C413E">
        <w:rPr>
          <w:rFonts w:cstheme="minorHAnsi"/>
          <w:color w:val="0000FF"/>
          <w:sz w:val="18"/>
          <w:szCs w:val="18"/>
        </w:rPr>
        <w:lastRenderedPageBreak/>
        <w:t>2.5.</w:t>
      </w:r>
      <w:r w:rsidR="00040861" w:rsidRPr="005C413E">
        <w:rPr>
          <w:rFonts w:cstheme="minorHAnsi"/>
          <w:color w:val="0000FF"/>
          <w:sz w:val="18"/>
          <w:szCs w:val="18"/>
        </w:rPr>
        <w:t> </w:t>
      </w:r>
      <w:r w:rsidR="0046441C" w:rsidRPr="0046441C">
        <w:rPr>
          <w:rFonts w:cstheme="minorHAnsi"/>
          <w:color w:val="0000FF"/>
          <w:sz w:val="18"/>
          <w:szCs w:val="18"/>
        </w:rPr>
        <w:t>ESI- Section 2.3- how was CCS applied to methanol synthesis from natural gas? There is little to zero CO</w:t>
      </w:r>
      <w:r w:rsidR="0046441C" w:rsidRPr="0046441C">
        <w:rPr>
          <w:rFonts w:cstheme="minorHAnsi"/>
          <w:color w:val="0000FF"/>
          <w:sz w:val="18"/>
          <w:szCs w:val="18"/>
          <w:vertAlign w:val="subscript"/>
        </w:rPr>
        <w:t>2</w:t>
      </w:r>
      <w:r w:rsidR="0046441C" w:rsidRPr="0046441C">
        <w:rPr>
          <w:rFonts w:cstheme="minorHAnsi"/>
          <w:color w:val="0000FF"/>
          <w:sz w:val="18"/>
          <w:szCs w:val="18"/>
        </w:rPr>
        <w:t xml:space="preserve"> produced in methanol synthesis from natural gas as the carbon contained in the natural gas is contained in the methanol. Ecoinvent data (and transformed premise data) does not list any CO</w:t>
      </w:r>
      <w:r w:rsidR="0046441C" w:rsidRPr="0046441C">
        <w:rPr>
          <w:rFonts w:cstheme="minorHAnsi"/>
          <w:color w:val="0000FF"/>
          <w:sz w:val="18"/>
          <w:szCs w:val="18"/>
          <w:vertAlign w:val="subscript"/>
        </w:rPr>
        <w:t>2</w:t>
      </w:r>
      <w:r w:rsidR="0046441C" w:rsidRPr="0046441C">
        <w:rPr>
          <w:rFonts w:cstheme="minorHAnsi"/>
          <w:color w:val="0000FF"/>
          <w:sz w:val="18"/>
          <w:szCs w:val="18"/>
        </w:rPr>
        <w:t xml:space="preserve"> emissions (but a small amount of methane).</w:t>
      </w:r>
    </w:p>
    <w:p w14:paraId="0E5BEB9B" w14:textId="44FE71F4" w:rsidR="0003501A" w:rsidRPr="004B5556" w:rsidRDefault="004B5556" w:rsidP="0003501A">
      <w:pPr>
        <w:spacing w:line="288" w:lineRule="auto"/>
        <w:jc w:val="both"/>
        <w:rPr>
          <w:rFonts w:cstheme="minorHAnsi"/>
          <w:b/>
          <w:sz w:val="18"/>
          <w:szCs w:val="18"/>
        </w:rPr>
      </w:pPr>
      <w:r>
        <w:rPr>
          <w:rFonts w:cstheme="minorHAnsi"/>
          <w:sz w:val="18"/>
          <w:szCs w:val="18"/>
        </w:rPr>
        <w:t>We agree with the Reviewer that there is little to zero CO</w:t>
      </w:r>
      <w:r w:rsidRPr="004C54F4">
        <w:rPr>
          <w:rFonts w:cstheme="minorHAnsi"/>
          <w:sz w:val="18"/>
          <w:szCs w:val="18"/>
          <w:vertAlign w:val="subscript"/>
        </w:rPr>
        <w:t>2</w:t>
      </w:r>
      <w:r>
        <w:rPr>
          <w:rFonts w:cstheme="minorHAnsi"/>
          <w:sz w:val="18"/>
          <w:szCs w:val="18"/>
        </w:rPr>
        <w:t xml:space="preserve"> produced in </w:t>
      </w:r>
      <w:r w:rsidR="00E11972">
        <w:rPr>
          <w:rFonts w:cstheme="minorHAnsi"/>
          <w:sz w:val="18"/>
          <w:szCs w:val="18"/>
        </w:rPr>
        <w:t xml:space="preserve">the chemical reaction producing </w:t>
      </w:r>
      <w:r>
        <w:rPr>
          <w:rFonts w:cstheme="minorHAnsi"/>
          <w:sz w:val="18"/>
          <w:szCs w:val="18"/>
        </w:rPr>
        <w:t xml:space="preserve">methanol from natural gas. However, the heat in the methanol production </w:t>
      </w:r>
      <w:r w:rsidR="00E11972">
        <w:rPr>
          <w:rFonts w:cstheme="minorHAnsi"/>
          <w:sz w:val="18"/>
          <w:szCs w:val="18"/>
        </w:rPr>
        <w:t>commonly originates from natural</w:t>
      </w:r>
      <w:r w:rsidR="000A3AE2">
        <w:rPr>
          <w:rFonts w:cstheme="minorHAnsi"/>
          <w:sz w:val="18"/>
          <w:szCs w:val="18"/>
        </w:rPr>
        <w:t xml:space="preserve"> gas</w:t>
      </w:r>
      <w:r w:rsidR="00E11972">
        <w:rPr>
          <w:rFonts w:cstheme="minorHAnsi"/>
          <w:sz w:val="18"/>
          <w:szCs w:val="18"/>
        </w:rPr>
        <w:t xml:space="preserve">, rendering net </w:t>
      </w:r>
      <w:r>
        <w:rPr>
          <w:rFonts w:cstheme="minorHAnsi"/>
          <w:sz w:val="18"/>
          <w:szCs w:val="18"/>
        </w:rPr>
        <w:t>CO</w:t>
      </w:r>
      <w:r w:rsidRPr="004C54F4">
        <w:rPr>
          <w:rFonts w:cstheme="minorHAnsi"/>
          <w:sz w:val="18"/>
          <w:szCs w:val="18"/>
          <w:vertAlign w:val="subscript"/>
        </w:rPr>
        <w:t>2</w:t>
      </w:r>
      <w:r>
        <w:rPr>
          <w:rFonts w:cstheme="minorHAnsi"/>
          <w:sz w:val="18"/>
          <w:szCs w:val="18"/>
        </w:rPr>
        <w:t xml:space="preserve"> emissions. Section 2.2</w:t>
      </w:r>
      <w:r w:rsidR="00E11972">
        <w:rPr>
          <w:rFonts w:cstheme="minorHAnsi"/>
          <w:sz w:val="18"/>
          <w:szCs w:val="18"/>
        </w:rPr>
        <w:t xml:space="preserve"> describes how</w:t>
      </w:r>
      <w:r>
        <w:rPr>
          <w:rFonts w:cstheme="minorHAnsi"/>
          <w:sz w:val="18"/>
          <w:szCs w:val="18"/>
        </w:rPr>
        <w:t xml:space="preserve"> blue scenarios for ammonia are defined as CO</w:t>
      </w:r>
      <w:r w:rsidRPr="004C54F4">
        <w:rPr>
          <w:rFonts w:cstheme="minorHAnsi"/>
          <w:sz w:val="18"/>
          <w:szCs w:val="18"/>
          <w:vertAlign w:val="subscript"/>
        </w:rPr>
        <w:t>2</w:t>
      </w:r>
      <w:r>
        <w:rPr>
          <w:rFonts w:cstheme="minorHAnsi"/>
          <w:sz w:val="18"/>
          <w:szCs w:val="18"/>
        </w:rPr>
        <w:t xml:space="preserve"> capture from both syngas and flue gas resulting from the combustion of natural gas in the SMR process. On the other hand, blue scenarios for methanol are defined as CO</w:t>
      </w:r>
      <w:r w:rsidRPr="004C54F4">
        <w:rPr>
          <w:rFonts w:cstheme="minorHAnsi"/>
          <w:sz w:val="18"/>
          <w:szCs w:val="18"/>
          <w:vertAlign w:val="subscript"/>
        </w:rPr>
        <w:t>2</w:t>
      </w:r>
      <w:r>
        <w:rPr>
          <w:rFonts w:cstheme="minorHAnsi"/>
          <w:sz w:val="18"/>
          <w:szCs w:val="18"/>
        </w:rPr>
        <w:t xml:space="preserve"> capture from flue gas only. </w:t>
      </w:r>
      <w:r w:rsidRPr="000A3AE2">
        <w:rPr>
          <w:rFonts w:cstheme="minorHAnsi"/>
          <w:b/>
          <w:sz w:val="18"/>
          <w:szCs w:val="18"/>
        </w:rPr>
        <w:t>Section 2.3</w:t>
      </w:r>
      <w:r w:rsidR="000A3AE2" w:rsidRPr="000A3AE2">
        <w:rPr>
          <w:rFonts w:cstheme="minorHAnsi"/>
          <w:b/>
          <w:sz w:val="18"/>
          <w:szCs w:val="18"/>
        </w:rPr>
        <w:t xml:space="preserve"> of the ESI</w:t>
      </w:r>
      <w:r w:rsidRPr="000A3AE2">
        <w:rPr>
          <w:rFonts w:cstheme="minorHAnsi"/>
          <w:b/>
          <w:sz w:val="18"/>
          <w:szCs w:val="18"/>
        </w:rPr>
        <w:t xml:space="preserve"> has</w:t>
      </w:r>
      <w:r>
        <w:rPr>
          <w:rFonts w:cstheme="minorHAnsi"/>
          <w:b/>
          <w:sz w:val="18"/>
          <w:szCs w:val="18"/>
        </w:rPr>
        <w:t xml:space="preserve"> been updated to clarify the definition of the blue scenario for methanol.</w:t>
      </w:r>
    </w:p>
    <w:p w14:paraId="66BFBA6C" w14:textId="75ED5D32" w:rsidR="009B2FA2" w:rsidRPr="00BB5E65" w:rsidRDefault="009B2FA2" w:rsidP="00362878">
      <w:pPr>
        <w:spacing w:after="0" w:line="288" w:lineRule="auto"/>
        <w:jc w:val="both"/>
        <w:rPr>
          <w:rFonts w:cstheme="minorHAnsi"/>
          <w:color w:val="0000FF"/>
          <w:sz w:val="18"/>
          <w:szCs w:val="18"/>
        </w:rPr>
      </w:pPr>
      <w:r w:rsidRPr="00EB1957">
        <w:rPr>
          <w:rFonts w:cstheme="minorHAnsi"/>
          <w:color w:val="0000FF"/>
          <w:sz w:val="18"/>
          <w:szCs w:val="18"/>
        </w:rPr>
        <w:t>2.6.</w:t>
      </w:r>
      <w:r w:rsidR="00040861" w:rsidRPr="00EB1957">
        <w:rPr>
          <w:rFonts w:cstheme="minorHAnsi"/>
          <w:color w:val="0000FF"/>
          <w:sz w:val="18"/>
          <w:szCs w:val="18"/>
        </w:rPr>
        <w:t> </w:t>
      </w:r>
      <w:r w:rsidR="0046441C" w:rsidRPr="0046441C">
        <w:rPr>
          <w:rFonts w:cstheme="minorHAnsi"/>
          <w:color w:val="0000FF"/>
          <w:sz w:val="18"/>
          <w:szCs w:val="18"/>
        </w:rPr>
        <w:t xml:space="preserve">ESI-Table S1. Was a premise process </w:t>
      </w:r>
      <w:r w:rsidR="0046441C" w:rsidRPr="00CC5E45">
        <w:rPr>
          <w:rFonts w:cstheme="minorHAnsi"/>
          <w:i/>
          <w:color w:val="0000FF"/>
          <w:sz w:val="18"/>
          <w:szCs w:val="18"/>
        </w:rPr>
        <w:t>e.g.</w:t>
      </w:r>
      <w:r w:rsidR="0046441C" w:rsidRPr="0046441C">
        <w:rPr>
          <w:rFonts w:cstheme="minorHAnsi"/>
          <w:color w:val="0000FF"/>
          <w:sz w:val="18"/>
          <w:szCs w:val="18"/>
        </w:rPr>
        <w:t xml:space="preserve"> methanol synthesis and distillation, hydrogen from electrolysis, CO</w:t>
      </w:r>
      <w:r w:rsidR="0046441C" w:rsidRPr="0046441C">
        <w:rPr>
          <w:rFonts w:cstheme="minorHAnsi"/>
          <w:color w:val="0000FF"/>
          <w:sz w:val="18"/>
          <w:szCs w:val="18"/>
          <w:vertAlign w:val="subscript"/>
        </w:rPr>
        <w:t>2</w:t>
      </w:r>
      <w:r w:rsidR="0046441C" w:rsidRPr="0046441C">
        <w:rPr>
          <w:rFonts w:cstheme="minorHAnsi"/>
          <w:color w:val="0000FF"/>
          <w:sz w:val="18"/>
          <w:szCs w:val="18"/>
        </w:rPr>
        <w:t xml:space="preserve"> from DAC, used to model the green methanol routes? It is not clear from the table.</w:t>
      </w:r>
    </w:p>
    <w:p w14:paraId="4BE340E7" w14:textId="3C9C0B4D" w:rsidR="0003501A" w:rsidRPr="00AC57DA" w:rsidRDefault="00A67839" w:rsidP="0003501A">
      <w:pPr>
        <w:spacing w:line="288" w:lineRule="auto"/>
        <w:jc w:val="both"/>
      </w:pPr>
      <w:r>
        <w:rPr>
          <w:rFonts w:cstheme="minorHAnsi"/>
          <w:sz w:val="18"/>
          <w:szCs w:val="18"/>
        </w:rPr>
        <w:t>T</w:t>
      </w:r>
      <w:r w:rsidR="00AC57DA">
        <w:rPr>
          <w:rFonts w:cstheme="minorHAnsi"/>
          <w:sz w:val="18"/>
          <w:szCs w:val="18"/>
        </w:rPr>
        <w:t>he inventories for the green methanol scenarios were sourced from Hank </w:t>
      </w:r>
      <w:r w:rsidR="00AC57DA">
        <w:rPr>
          <w:rFonts w:cstheme="minorHAnsi"/>
          <w:i/>
          <w:sz w:val="18"/>
          <w:szCs w:val="18"/>
        </w:rPr>
        <w:t>et</w:t>
      </w:r>
      <w:r w:rsidR="00AC57DA">
        <w:rPr>
          <w:rFonts w:cstheme="minorHAnsi"/>
          <w:sz w:val="18"/>
          <w:szCs w:val="18"/>
        </w:rPr>
        <w:t> </w:t>
      </w:r>
      <w:r w:rsidR="00AC57DA">
        <w:rPr>
          <w:rFonts w:cstheme="minorHAnsi"/>
          <w:i/>
          <w:sz w:val="18"/>
          <w:szCs w:val="18"/>
        </w:rPr>
        <w:t>al</w:t>
      </w:r>
      <w:r w:rsidR="00AC57DA">
        <w:rPr>
          <w:rFonts w:cstheme="minorHAnsi"/>
          <w:sz w:val="18"/>
          <w:szCs w:val="18"/>
        </w:rPr>
        <w:t>., with modifications</w:t>
      </w:r>
      <w:r>
        <w:rPr>
          <w:rFonts w:cstheme="minorHAnsi"/>
          <w:sz w:val="18"/>
          <w:szCs w:val="18"/>
        </w:rPr>
        <w:t xml:space="preserve"> (Section 2.3 of the ESI)</w:t>
      </w:r>
      <w:r w:rsidR="00AC57DA">
        <w:rPr>
          <w:rFonts w:cstheme="minorHAnsi"/>
          <w:sz w:val="18"/>
          <w:szCs w:val="18"/>
        </w:rPr>
        <w:t>. Specifically, the inventories for ‘methanol synthesis and distillation, hydrogen from electrolysis, and CO</w:t>
      </w:r>
      <w:r w:rsidR="00AC57DA" w:rsidRPr="00AC57DA">
        <w:rPr>
          <w:rFonts w:cstheme="minorHAnsi"/>
          <w:sz w:val="18"/>
          <w:szCs w:val="18"/>
          <w:vertAlign w:val="subscript"/>
        </w:rPr>
        <w:t>2</w:t>
      </w:r>
      <w:r w:rsidR="00AC57DA">
        <w:rPr>
          <w:rFonts w:cstheme="minorHAnsi"/>
          <w:sz w:val="18"/>
          <w:szCs w:val="18"/>
        </w:rPr>
        <w:t xml:space="preserve"> from DAC’ </w:t>
      </w:r>
      <w:r w:rsidR="00EB2490">
        <w:rPr>
          <w:rFonts w:cstheme="minorHAnsi"/>
          <w:sz w:val="18"/>
          <w:szCs w:val="18"/>
        </w:rPr>
        <w:t xml:space="preserve">from </w:t>
      </w:r>
      <w:r w:rsidR="00EB2490">
        <w:rPr>
          <w:rFonts w:cstheme="minorHAnsi"/>
          <w:i/>
          <w:sz w:val="18"/>
          <w:szCs w:val="18"/>
        </w:rPr>
        <w:t>premise</w:t>
      </w:r>
      <w:r w:rsidR="00EB2490" w:rsidRPr="00946A35">
        <w:rPr>
          <w:rFonts w:cstheme="minorHAnsi"/>
          <w:sz w:val="18"/>
          <w:szCs w:val="18"/>
        </w:rPr>
        <w:t xml:space="preserve"> </w:t>
      </w:r>
      <w:r w:rsidR="00AC57DA">
        <w:rPr>
          <w:rFonts w:cstheme="minorHAnsi"/>
          <w:sz w:val="18"/>
          <w:szCs w:val="18"/>
        </w:rPr>
        <w:t>were utilised. However, the inventories for CO</w:t>
      </w:r>
      <w:r w:rsidR="00AC57DA" w:rsidRPr="00AC57DA">
        <w:rPr>
          <w:rFonts w:cstheme="minorHAnsi"/>
          <w:sz w:val="18"/>
          <w:szCs w:val="18"/>
          <w:vertAlign w:val="subscript"/>
        </w:rPr>
        <w:t>2</w:t>
      </w:r>
      <w:r w:rsidR="00AC57DA">
        <w:rPr>
          <w:rFonts w:cstheme="minorHAnsi"/>
          <w:sz w:val="18"/>
          <w:szCs w:val="18"/>
        </w:rPr>
        <w:t xml:space="preserve"> from DAC and hydrogen from PEM electrolysis, as </w:t>
      </w:r>
      <w:r w:rsidR="00D24F1B">
        <w:rPr>
          <w:rFonts w:cstheme="minorHAnsi"/>
          <w:sz w:val="18"/>
          <w:szCs w:val="18"/>
        </w:rPr>
        <w:t>detailed</w:t>
      </w:r>
      <w:r w:rsidR="00AC57DA">
        <w:rPr>
          <w:rFonts w:cstheme="minorHAnsi"/>
          <w:sz w:val="18"/>
          <w:szCs w:val="18"/>
        </w:rPr>
        <w:t xml:space="preserve"> in Table S1 of the ESI, were substituted for the existing CO</w:t>
      </w:r>
      <w:r w:rsidR="00AC57DA" w:rsidRPr="00AC57DA">
        <w:rPr>
          <w:rFonts w:cstheme="minorHAnsi"/>
          <w:sz w:val="18"/>
          <w:szCs w:val="18"/>
          <w:vertAlign w:val="subscript"/>
        </w:rPr>
        <w:t>2</w:t>
      </w:r>
      <w:r w:rsidR="00AC57DA">
        <w:rPr>
          <w:rFonts w:cstheme="minorHAnsi"/>
          <w:sz w:val="18"/>
          <w:szCs w:val="18"/>
        </w:rPr>
        <w:t xml:space="preserve"> and hydrogen inventories. We acknowledge the Reviewer’s suggestion regarding </w:t>
      </w:r>
      <w:r>
        <w:rPr>
          <w:rFonts w:cstheme="minorHAnsi"/>
          <w:sz w:val="18"/>
          <w:szCs w:val="18"/>
        </w:rPr>
        <w:t>strengthening further the transparency</w:t>
      </w:r>
      <w:r w:rsidR="00AC57DA">
        <w:rPr>
          <w:rFonts w:cstheme="minorHAnsi"/>
          <w:sz w:val="18"/>
          <w:szCs w:val="18"/>
        </w:rPr>
        <w:t xml:space="preserve"> of inventory source</w:t>
      </w:r>
      <w:r>
        <w:rPr>
          <w:rFonts w:cstheme="minorHAnsi"/>
          <w:sz w:val="18"/>
          <w:szCs w:val="18"/>
        </w:rPr>
        <w:t>s</w:t>
      </w:r>
      <w:r w:rsidR="00AC57DA">
        <w:rPr>
          <w:rFonts w:cstheme="minorHAnsi"/>
          <w:sz w:val="18"/>
          <w:szCs w:val="18"/>
        </w:rPr>
        <w:t xml:space="preserve"> in Table S1. </w:t>
      </w:r>
      <w:r w:rsidR="00AC57DA" w:rsidRPr="00AC57DA">
        <w:rPr>
          <w:rFonts w:cstheme="minorHAnsi"/>
          <w:b/>
          <w:sz w:val="18"/>
          <w:szCs w:val="18"/>
        </w:rPr>
        <w:t xml:space="preserve">Consequently, we have revised Table S1 </w:t>
      </w:r>
      <w:r w:rsidR="000A5ECA">
        <w:rPr>
          <w:rFonts w:cstheme="minorHAnsi"/>
          <w:b/>
          <w:sz w:val="18"/>
          <w:szCs w:val="18"/>
        </w:rPr>
        <w:t xml:space="preserve">in the ESI </w:t>
      </w:r>
      <w:r w:rsidR="00AC57DA" w:rsidRPr="00AC57DA">
        <w:rPr>
          <w:rFonts w:cstheme="minorHAnsi"/>
          <w:b/>
          <w:sz w:val="18"/>
          <w:szCs w:val="18"/>
        </w:rPr>
        <w:t xml:space="preserve">to provide additional details on the </w:t>
      </w:r>
      <w:r w:rsidR="00AC57DA" w:rsidRPr="00AC57DA">
        <w:rPr>
          <w:rFonts w:cstheme="minorHAnsi"/>
          <w:b/>
          <w:i/>
          <w:sz w:val="18"/>
          <w:szCs w:val="18"/>
        </w:rPr>
        <w:t>premise</w:t>
      </w:r>
      <w:r w:rsidR="00AC57DA" w:rsidRPr="00AC57DA">
        <w:rPr>
          <w:b/>
          <w:sz w:val="18"/>
          <w:szCs w:val="18"/>
        </w:rPr>
        <w:t xml:space="preserve"> and Ecoinvent processes utilised.</w:t>
      </w:r>
    </w:p>
    <w:p w14:paraId="4311F678" w14:textId="001AEE2B" w:rsidR="009B2FA2" w:rsidRPr="00BB5E65" w:rsidRDefault="009B2FA2" w:rsidP="00362878">
      <w:pPr>
        <w:spacing w:after="0" w:line="288" w:lineRule="auto"/>
        <w:jc w:val="both"/>
        <w:rPr>
          <w:rFonts w:cstheme="minorHAnsi"/>
          <w:color w:val="0000FF"/>
          <w:sz w:val="18"/>
          <w:szCs w:val="18"/>
        </w:rPr>
      </w:pPr>
      <w:r w:rsidRPr="00D43342">
        <w:rPr>
          <w:rFonts w:cstheme="minorHAnsi"/>
          <w:color w:val="0000FF"/>
          <w:sz w:val="18"/>
          <w:szCs w:val="18"/>
        </w:rPr>
        <w:t>2.7.</w:t>
      </w:r>
      <w:r w:rsidR="00040861" w:rsidRPr="00D43342">
        <w:rPr>
          <w:rFonts w:cstheme="minorHAnsi"/>
          <w:color w:val="0000FF"/>
          <w:sz w:val="18"/>
          <w:szCs w:val="18"/>
        </w:rPr>
        <w:t> </w:t>
      </w:r>
      <w:r w:rsidR="0046441C" w:rsidRPr="0046441C">
        <w:rPr>
          <w:rFonts w:cstheme="minorHAnsi"/>
          <w:color w:val="0000FF"/>
          <w:sz w:val="18"/>
          <w:szCs w:val="18"/>
        </w:rPr>
        <w:t>ESI-Table S1- can the premise and ecoinvent processes used (not all but the main ones) be listed?</w:t>
      </w:r>
    </w:p>
    <w:p w14:paraId="39AA0F89" w14:textId="3F08A840" w:rsidR="0003501A" w:rsidRPr="000D04E7" w:rsidRDefault="000A5ECA" w:rsidP="0003501A">
      <w:pPr>
        <w:spacing w:line="288" w:lineRule="auto"/>
        <w:jc w:val="both"/>
        <w:rPr>
          <w:rFonts w:cstheme="minorHAnsi"/>
          <w:b/>
          <w:sz w:val="18"/>
          <w:szCs w:val="18"/>
        </w:rPr>
      </w:pPr>
      <w:r w:rsidRPr="005C3624">
        <w:rPr>
          <w:rFonts w:cstheme="minorHAnsi"/>
          <w:b/>
          <w:sz w:val="18"/>
          <w:szCs w:val="18"/>
        </w:rPr>
        <w:t xml:space="preserve">We have modified Table S1 in the ESI to include more details </w:t>
      </w:r>
      <w:r w:rsidR="000D04E7" w:rsidRPr="005C3624">
        <w:rPr>
          <w:rFonts w:cstheme="minorHAnsi"/>
          <w:b/>
          <w:sz w:val="18"/>
          <w:szCs w:val="18"/>
        </w:rPr>
        <w:t xml:space="preserve">on the main inventories utilised from </w:t>
      </w:r>
      <w:r w:rsidR="000D04E7" w:rsidRPr="005C3624">
        <w:rPr>
          <w:rFonts w:cstheme="minorHAnsi"/>
          <w:b/>
          <w:i/>
          <w:sz w:val="18"/>
          <w:szCs w:val="18"/>
        </w:rPr>
        <w:t>premise</w:t>
      </w:r>
      <w:r w:rsidR="000D04E7" w:rsidRPr="005C3624">
        <w:rPr>
          <w:rFonts w:cstheme="minorHAnsi"/>
          <w:b/>
          <w:sz w:val="18"/>
          <w:szCs w:val="18"/>
        </w:rPr>
        <w:t xml:space="preserve"> and Ecoinvent.</w:t>
      </w:r>
    </w:p>
    <w:p w14:paraId="01029FD7" w14:textId="5089A486" w:rsidR="009B2FA2" w:rsidRPr="00BB5E65" w:rsidRDefault="009B2FA2" w:rsidP="00362878">
      <w:pPr>
        <w:spacing w:after="0" w:line="288" w:lineRule="auto"/>
        <w:jc w:val="both"/>
        <w:rPr>
          <w:rFonts w:cstheme="minorHAnsi"/>
          <w:color w:val="0000FF"/>
          <w:sz w:val="18"/>
          <w:szCs w:val="18"/>
        </w:rPr>
      </w:pPr>
      <w:r w:rsidRPr="000B32C6">
        <w:rPr>
          <w:rFonts w:cstheme="minorHAnsi"/>
          <w:color w:val="0000FF"/>
          <w:sz w:val="18"/>
          <w:szCs w:val="18"/>
        </w:rPr>
        <w:t>2.8.</w:t>
      </w:r>
      <w:r w:rsidR="00040861" w:rsidRPr="000B32C6">
        <w:rPr>
          <w:rFonts w:cstheme="minorHAnsi"/>
          <w:color w:val="0000FF"/>
          <w:sz w:val="18"/>
          <w:szCs w:val="18"/>
        </w:rPr>
        <w:t> </w:t>
      </w:r>
      <w:r w:rsidR="0046441C" w:rsidRPr="0046441C">
        <w:rPr>
          <w:rFonts w:cstheme="minorHAnsi"/>
          <w:color w:val="0000FF"/>
          <w:sz w:val="18"/>
          <w:szCs w:val="18"/>
        </w:rPr>
        <w:t>Negative emissions from DAC CO</w:t>
      </w:r>
      <w:r w:rsidR="0046441C" w:rsidRPr="0046441C">
        <w:rPr>
          <w:rFonts w:cstheme="minorHAnsi"/>
          <w:color w:val="0000FF"/>
          <w:sz w:val="18"/>
          <w:szCs w:val="18"/>
          <w:vertAlign w:val="subscript"/>
        </w:rPr>
        <w:t>2</w:t>
      </w:r>
      <w:r w:rsidR="000617C7" w:rsidRPr="000617C7">
        <w:rPr>
          <w:rFonts w:cstheme="minorHAnsi"/>
          <w:color w:val="0000FF"/>
          <w:sz w:val="18"/>
          <w:szCs w:val="18"/>
        </w:rPr>
        <w:t xml:space="preserve"> </w:t>
      </w:r>
      <w:r w:rsidR="0046441C" w:rsidRPr="0046441C">
        <w:rPr>
          <w:rFonts w:cstheme="minorHAnsi"/>
          <w:color w:val="0000FF"/>
          <w:sz w:val="18"/>
          <w:szCs w:val="18"/>
        </w:rPr>
        <w:t>- I appreciate the clarifications made in the paper about the cradle to gate system boundary but this result is still highly dependent to the assumption that CO</w:t>
      </w:r>
      <w:r w:rsidR="0046441C" w:rsidRPr="0046441C">
        <w:rPr>
          <w:rFonts w:cstheme="minorHAnsi"/>
          <w:color w:val="0000FF"/>
          <w:sz w:val="18"/>
          <w:szCs w:val="18"/>
          <w:vertAlign w:val="subscript"/>
        </w:rPr>
        <w:t>2</w:t>
      </w:r>
      <w:r w:rsidR="0046441C" w:rsidRPr="0046441C">
        <w:rPr>
          <w:rFonts w:cstheme="minorHAnsi"/>
          <w:color w:val="0000FF"/>
          <w:sz w:val="18"/>
          <w:szCs w:val="18"/>
        </w:rPr>
        <w:t xml:space="preserve"> from DAC can be considered negative when it’s not being stored. The authors would be better off clarifying this as a limitation of the study and that this particular result is highly subjective to this assumption.</w:t>
      </w:r>
      <w:r w:rsidR="0046441C">
        <w:rPr>
          <w:rFonts w:cstheme="minorHAnsi"/>
          <w:color w:val="0000FF"/>
          <w:sz w:val="18"/>
          <w:szCs w:val="18"/>
        </w:rPr>
        <w:t xml:space="preserve"> </w:t>
      </w:r>
      <w:r w:rsidR="0046441C" w:rsidRPr="0046441C">
        <w:rPr>
          <w:rFonts w:cstheme="minorHAnsi"/>
          <w:color w:val="0000FF"/>
          <w:sz w:val="18"/>
          <w:szCs w:val="18"/>
        </w:rPr>
        <w:t>There is little consensus on whether CO</w:t>
      </w:r>
      <w:r w:rsidR="0046441C" w:rsidRPr="0046441C">
        <w:rPr>
          <w:rFonts w:cstheme="minorHAnsi"/>
          <w:color w:val="0000FF"/>
          <w:sz w:val="18"/>
          <w:szCs w:val="18"/>
          <w:vertAlign w:val="subscript"/>
        </w:rPr>
        <w:t>2</w:t>
      </w:r>
      <w:r w:rsidR="0046441C" w:rsidRPr="0046441C">
        <w:rPr>
          <w:rFonts w:cstheme="minorHAnsi"/>
          <w:color w:val="0000FF"/>
          <w:sz w:val="18"/>
          <w:szCs w:val="18"/>
        </w:rPr>
        <w:t xml:space="preserve"> from DAC used in fuel or chemical production would be considered negative and what negative emissions truly means. Based on a report by the USA National Academies of Sciences: 'To be considered a NET, direct air capture systems must sequester the captured CO</w:t>
      </w:r>
      <w:r w:rsidR="0046441C" w:rsidRPr="0046441C">
        <w:rPr>
          <w:rFonts w:cstheme="minorHAnsi"/>
          <w:color w:val="0000FF"/>
          <w:sz w:val="18"/>
          <w:szCs w:val="18"/>
          <w:vertAlign w:val="subscript"/>
        </w:rPr>
        <w:t>2</w:t>
      </w:r>
      <w:r w:rsidR="0046441C" w:rsidRPr="0046441C">
        <w:rPr>
          <w:rFonts w:cstheme="minorHAnsi"/>
          <w:color w:val="0000FF"/>
          <w:sz w:val="18"/>
          <w:szCs w:val="18"/>
        </w:rPr>
        <w:t xml:space="preserve"> on a timescale that positively impacts climate change' (Direct Air Capture - Negative Emissions Technologies and Reliable Sequestration - NCBI Bookshelf (nih.gov))</w:t>
      </w:r>
      <w:r w:rsidR="000F5FA5">
        <w:rPr>
          <w:rFonts w:cstheme="minorHAnsi"/>
          <w:color w:val="0000FF"/>
          <w:sz w:val="18"/>
          <w:szCs w:val="18"/>
        </w:rPr>
        <w:t xml:space="preserve">. </w:t>
      </w:r>
      <w:r w:rsidR="0046441C" w:rsidRPr="0046441C">
        <w:rPr>
          <w:rFonts w:cstheme="minorHAnsi"/>
          <w:color w:val="0000FF"/>
          <w:sz w:val="18"/>
          <w:szCs w:val="18"/>
        </w:rPr>
        <w:t>In a recent paper which looked at carbon storage (of industrial CO</w:t>
      </w:r>
      <w:r w:rsidR="0046441C" w:rsidRPr="0046441C">
        <w:rPr>
          <w:rFonts w:cstheme="minorHAnsi"/>
          <w:color w:val="0000FF"/>
          <w:sz w:val="18"/>
          <w:szCs w:val="18"/>
          <w:vertAlign w:val="subscript"/>
        </w:rPr>
        <w:t>2</w:t>
      </w:r>
      <w:r w:rsidR="0046441C" w:rsidRPr="0046441C">
        <w:rPr>
          <w:rFonts w:cstheme="minorHAnsi"/>
          <w:color w:val="0000FF"/>
          <w:sz w:val="18"/>
          <w:szCs w:val="18"/>
        </w:rPr>
        <w:t xml:space="preserve">) in crops, a net carbon storage quantity was determined </w:t>
      </w:r>
      <w:commentRangeStart w:id="8"/>
      <w:r w:rsidR="0046441C" w:rsidRPr="0046441C">
        <w:rPr>
          <w:rFonts w:cstheme="minorHAnsi"/>
          <w:color w:val="0000FF"/>
          <w:sz w:val="18"/>
          <w:szCs w:val="18"/>
        </w:rPr>
        <w:t>(https://www.sciencedirect.com/science/article/pii/S0959652623038088#sec2</w:t>
      </w:r>
      <w:commentRangeEnd w:id="8"/>
      <w:r w:rsidR="003C3148">
        <w:rPr>
          <w:rStyle w:val="CommentReference"/>
          <w:rFonts w:eastAsiaTheme="minorEastAsia"/>
          <w:lang w:val="en-US"/>
        </w:rPr>
        <w:commentReference w:id="8"/>
      </w:r>
      <w:r w:rsidR="0046441C" w:rsidRPr="0046441C">
        <w:rPr>
          <w:rFonts w:cstheme="minorHAnsi"/>
          <w:color w:val="0000FF"/>
          <w:sz w:val="18"/>
          <w:szCs w:val="18"/>
        </w:rPr>
        <w:t>).</w:t>
      </w:r>
    </w:p>
    <w:p w14:paraId="6B9B97D8" w14:textId="127A2092" w:rsidR="0009419D" w:rsidRPr="00EB19B3" w:rsidRDefault="00D31C97" w:rsidP="0009419D">
      <w:pPr>
        <w:spacing w:line="288" w:lineRule="auto"/>
        <w:jc w:val="both"/>
        <w:rPr>
          <w:rFonts w:cstheme="minorHAnsi"/>
          <w:b/>
          <w:sz w:val="18"/>
          <w:szCs w:val="18"/>
        </w:rPr>
      </w:pPr>
      <w:commentRangeStart w:id="9"/>
      <w:r>
        <w:rPr>
          <w:rFonts w:cstheme="minorHAnsi"/>
          <w:sz w:val="18"/>
          <w:szCs w:val="18"/>
        </w:rPr>
        <w:t>As described in the main manuscript, the green methanol routes utilise CO</w:t>
      </w:r>
      <w:r w:rsidRPr="005366F1">
        <w:rPr>
          <w:rFonts w:cstheme="minorHAnsi"/>
          <w:sz w:val="18"/>
          <w:szCs w:val="18"/>
          <w:vertAlign w:val="subscript"/>
        </w:rPr>
        <w:t>2</w:t>
      </w:r>
      <w:r>
        <w:rPr>
          <w:rFonts w:cstheme="minorHAnsi"/>
          <w:sz w:val="18"/>
          <w:szCs w:val="18"/>
        </w:rPr>
        <w:t xml:space="preserve"> from DAC</w:t>
      </w:r>
      <w:commentRangeEnd w:id="9"/>
      <w:r w:rsidR="00DE2DB1">
        <w:rPr>
          <w:rStyle w:val="CommentReference"/>
          <w:rFonts w:eastAsiaTheme="minorEastAsia"/>
          <w:lang w:val="en-US"/>
        </w:rPr>
        <w:commentReference w:id="9"/>
      </w:r>
      <w:r>
        <w:rPr>
          <w:rFonts w:cstheme="minorHAnsi"/>
          <w:sz w:val="18"/>
          <w:szCs w:val="18"/>
        </w:rPr>
        <w:t>. We agree with the Reviewer that CO</w:t>
      </w:r>
      <w:r w:rsidRPr="005366F1">
        <w:rPr>
          <w:rFonts w:cstheme="minorHAnsi"/>
          <w:sz w:val="18"/>
          <w:szCs w:val="18"/>
          <w:vertAlign w:val="subscript"/>
        </w:rPr>
        <w:t>2</w:t>
      </w:r>
      <w:r>
        <w:rPr>
          <w:rFonts w:cstheme="minorHAnsi"/>
          <w:sz w:val="18"/>
          <w:szCs w:val="18"/>
        </w:rPr>
        <w:t xml:space="preserve"> from DAC technology will only result in negative emissions if captured from the air and sequestered. However, on a cradle</w:t>
      </w:r>
      <w:r>
        <w:rPr>
          <w:rFonts w:cstheme="minorHAnsi"/>
          <w:sz w:val="18"/>
          <w:szCs w:val="18"/>
        </w:rPr>
        <w:noBreakHyphen/>
        <w:t>to</w:t>
      </w:r>
      <w:r>
        <w:rPr>
          <w:rFonts w:cstheme="minorHAnsi"/>
          <w:sz w:val="18"/>
          <w:szCs w:val="18"/>
        </w:rPr>
        <w:noBreakHyphen/>
        <w:t xml:space="preserve">gate basis, </w:t>
      </w:r>
      <w:r w:rsidR="00143E6C">
        <w:rPr>
          <w:rFonts w:cstheme="minorHAnsi"/>
          <w:sz w:val="18"/>
          <w:szCs w:val="18"/>
        </w:rPr>
        <w:t>the CO</w:t>
      </w:r>
      <w:r w:rsidR="00143E6C" w:rsidRPr="001A36D1">
        <w:rPr>
          <w:rFonts w:cstheme="minorHAnsi"/>
          <w:sz w:val="18"/>
          <w:szCs w:val="18"/>
          <w:vertAlign w:val="subscript"/>
        </w:rPr>
        <w:t>2</w:t>
      </w:r>
      <w:r w:rsidR="00143E6C" w:rsidRPr="001A36D1">
        <w:rPr>
          <w:rFonts w:cstheme="minorHAnsi"/>
          <w:sz w:val="18"/>
          <w:szCs w:val="18"/>
        </w:rPr>
        <w:t xml:space="preserve"> </w:t>
      </w:r>
      <w:r w:rsidR="00143E6C">
        <w:rPr>
          <w:rFonts w:cstheme="minorHAnsi"/>
          <w:sz w:val="18"/>
          <w:szCs w:val="18"/>
        </w:rPr>
        <w:t>is contained in the methanol</w:t>
      </w:r>
      <w:r>
        <w:rPr>
          <w:rFonts w:cstheme="minorHAnsi"/>
          <w:sz w:val="18"/>
          <w:szCs w:val="18"/>
        </w:rPr>
        <w:t xml:space="preserve">. </w:t>
      </w:r>
      <w:r w:rsidR="00143E6C">
        <w:rPr>
          <w:rFonts w:cstheme="minorHAnsi"/>
          <w:sz w:val="18"/>
          <w:szCs w:val="18"/>
        </w:rPr>
        <w:t xml:space="preserve">Nonetheless, </w:t>
      </w:r>
      <w:r w:rsidR="00E12176">
        <w:rPr>
          <w:rFonts w:cstheme="minorHAnsi"/>
          <w:sz w:val="18"/>
          <w:szCs w:val="18"/>
        </w:rPr>
        <w:t xml:space="preserve">we acknowledge that </w:t>
      </w:r>
      <w:r w:rsidR="00143E6C">
        <w:rPr>
          <w:rFonts w:cstheme="minorHAnsi"/>
          <w:sz w:val="18"/>
          <w:szCs w:val="18"/>
        </w:rPr>
        <w:t>on a cradle</w:t>
      </w:r>
      <w:r w:rsidR="00143E6C">
        <w:rPr>
          <w:rFonts w:cstheme="minorHAnsi"/>
          <w:sz w:val="18"/>
          <w:szCs w:val="18"/>
        </w:rPr>
        <w:noBreakHyphen/>
        <w:t>to</w:t>
      </w:r>
      <w:r w:rsidR="00143E6C">
        <w:rPr>
          <w:rFonts w:cstheme="minorHAnsi"/>
          <w:sz w:val="18"/>
          <w:szCs w:val="18"/>
        </w:rPr>
        <w:noBreakHyphen/>
        <w:t>grave basis, this CO</w:t>
      </w:r>
      <w:r w:rsidR="00143E6C" w:rsidRPr="001A36D1">
        <w:rPr>
          <w:rFonts w:cstheme="minorHAnsi"/>
          <w:sz w:val="18"/>
          <w:szCs w:val="18"/>
          <w:vertAlign w:val="subscript"/>
        </w:rPr>
        <w:t>2</w:t>
      </w:r>
      <w:r w:rsidR="00143E6C">
        <w:rPr>
          <w:rFonts w:cstheme="minorHAnsi"/>
          <w:sz w:val="18"/>
          <w:szCs w:val="18"/>
        </w:rPr>
        <w:t xml:space="preserve"> might return to the atmosphere.</w:t>
      </w:r>
      <w:r w:rsidR="001A6472">
        <w:rPr>
          <w:rFonts w:cstheme="minorHAnsi"/>
          <w:sz w:val="18"/>
          <w:szCs w:val="18"/>
        </w:rPr>
        <w:t xml:space="preserve"> </w:t>
      </w:r>
      <w:r w:rsidR="00EB19B3" w:rsidRPr="002535E1">
        <w:rPr>
          <w:rFonts w:cstheme="minorHAnsi"/>
          <w:b/>
          <w:sz w:val="18"/>
          <w:szCs w:val="18"/>
        </w:rPr>
        <w:t>The main manuscript has been amended to further clarify this discussion (page </w:t>
      </w:r>
      <w:r w:rsidR="002535E1" w:rsidRPr="002535E1">
        <w:rPr>
          <w:rFonts w:cstheme="minorHAnsi"/>
          <w:b/>
          <w:sz w:val="18"/>
          <w:szCs w:val="18"/>
        </w:rPr>
        <w:t>2</w:t>
      </w:r>
      <w:r w:rsidR="00EB19B3" w:rsidRPr="002535E1">
        <w:rPr>
          <w:rFonts w:cstheme="minorHAnsi"/>
          <w:b/>
          <w:sz w:val="18"/>
          <w:szCs w:val="18"/>
        </w:rPr>
        <w:t>, line </w:t>
      </w:r>
      <w:r w:rsidR="002535E1" w:rsidRPr="002535E1">
        <w:rPr>
          <w:rFonts w:cstheme="minorHAnsi"/>
          <w:b/>
          <w:sz w:val="18"/>
          <w:szCs w:val="18"/>
        </w:rPr>
        <w:t>3</w:t>
      </w:r>
      <w:r w:rsidR="00875319">
        <w:rPr>
          <w:rFonts w:cstheme="minorHAnsi"/>
          <w:b/>
          <w:sz w:val="18"/>
          <w:szCs w:val="18"/>
        </w:rPr>
        <w:t>8</w:t>
      </w:r>
      <w:r w:rsidR="00EB19B3" w:rsidRPr="002535E1">
        <w:rPr>
          <w:rFonts w:cstheme="minorHAnsi"/>
          <w:b/>
          <w:sz w:val="18"/>
          <w:szCs w:val="18"/>
        </w:rPr>
        <w:t xml:space="preserve">, </w:t>
      </w:r>
      <w:r w:rsidR="002535E1" w:rsidRPr="002535E1">
        <w:rPr>
          <w:rFonts w:cstheme="minorHAnsi"/>
          <w:b/>
          <w:sz w:val="18"/>
          <w:szCs w:val="18"/>
        </w:rPr>
        <w:t>right</w:t>
      </w:r>
      <w:r w:rsidR="00EB19B3" w:rsidRPr="002535E1">
        <w:rPr>
          <w:rFonts w:cstheme="minorHAnsi"/>
          <w:b/>
          <w:sz w:val="18"/>
          <w:szCs w:val="18"/>
        </w:rPr>
        <w:t> column)</w:t>
      </w:r>
      <w:r w:rsidR="00F04FD6" w:rsidRPr="002535E1">
        <w:rPr>
          <w:rFonts w:cstheme="minorHAnsi"/>
          <w:b/>
          <w:sz w:val="18"/>
          <w:szCs w:val="18"/>
        </w:rPr>
        <w:t>.</w:t>
      </w:r>
      <w:r w:rsidR="007510E9">
        <w:rPr>
          <w:rFonts w:cstheme="minorHAnsi"/>
          <w:b/>
          <w:sz w:val="18"/>
          <w:szCs w:val="18"/>
        </w:rPr>
        <w:t xml:space="preserve"> </w:t>
      </w:r>
      <w:r w:rsidR="00B34C83">
        <w:rPr>
          <w:rFonts w:cstheme="minorHAnsi"/>
          <w:b/>
          <w:sz w:val="18"/>
          <w:szCs w:val="18"/>
        </w:rPr>
        <w:t>Additionally</w:t>
      </w:r>
      <w:r w:rsidR="00F02D9C">
        <w:rPr>
          <w:rFonts w:cstheme="minorHAnsi"/>
          <w:b/>
          <w:sz w:val="18"/>
          <w:szCs w:val="18"/>
        </w:rPr>
        <w:t>,</w:t>
      </w:r>
      <w:r w:rsidR="003A46F9">
        <w:rPr>
          <w:rFonts w:cstheme="minorHAnsi"/>
          <w:b/>
          <w:sz w:val="18"/>
          <w:szCs w:val="18"/>
        </w:rPr>
        <w:t xml:space="preserve"> the use of </w:t>
      </w:r>
      <w:r w:rsidR="00774CAD">
        <w:rPr>
          <w:rFonts w:cstheme="minorHAnsi"/>
          <w:b/>
          <w:sz w:val="18"/>
          <w:szCs w:val="18"/>
        </w:rPr>
        <w:t>“</w:t>
      </w:r>
      <w:r w:rsidR="003A46F9">
        <w:rPr>
          <w:rFonts w:cstheme="minorHAnsi"/>
          <w:b/>
          <w:sz w:val="18"/>
          <w:szCs w:val="18"/>
        </w:rPr>
        <w:t>net captured CO</w:t>
      </w:r>
      <w:r w:rsidR="003A46F9" w:rsidRPr="00F02D9C">
        <w:rPr>
          <w:rFonts w:cstheme="minorHAnsi"/>
          <w:b/>
          <w:sz w:val="18"/>
          <w:szCs w:val="18"/>
          <w:vertAlign w:val="subscript"/>
        </w:rPr>
        <w:t>2</w:t>
      </w:r>
      <w:r w:rsidR="00774CAD">
        <w:rPr>
          <w:rFonts w:cstheme="minorHAnsi"/>
          <w:b/>
          <w:sz w:val="18"/>
          <w:szCs w:val="18"/>
        </w:rPr>
        <w:t>”</w:t>
      </w:r>
      <w:r w:rsidR="003A46F9">
        <w:rPr>
          <w:rFonts w:cstheme="minorHAnsi"/>
          <w:b/>
          <w:sz w:val="18"/>
          <w:szCs w:val="18"/>
        </w:rPr>
        <w:t xml:space="preserve"> or </w:t>
      </w:r>
      <w:r w:rsidR="00774CAD">
        <w:rPr>
          <w:rFonts w:cstheme="minorHAnsi"/>
          <w:b/>
          <w:sz w:val="18"/>
          <w:szCs w:val="18"/>
        </w:rPr>
        <w:t>“</w:t>
      </w:r>
      <w:r w:rsidR="003A46F9">
        <w:rPr>
          <w:rFonts w:cstheme="minorHAnsi"/>
          <w:b/>
          <w:sz w:val="18"/>
          <w:szCs w:val="18"/>
        </w:rPr>
        <w:t>captured CO</w:t>
      </w:r>
      <w:r w:rsidR="003A46F9" w:rsidRPr="00F02D9C">
        <w:rPr>
          <w:rFonts w:cstheme="minorHAnsi"/>
          <w:b/>
          <w:sz w:val="18"/>
          <w:szCs w:val="18"/>
          <w:vertAlign w:val="subscript"/>
        </w:rPr>
        <w:t>2</w:t>
      </w:r>
      <w:r w:rsidR="00774CAD">
        <w:rPr>
          <w:rFonts w:cstheme="minorHAnsi"/>
          <w:b/>
          <w:sz w:val="18"/>
          <w:szCs w:val="18"/>
        </w:rPr>
        <w:t>”</w:t>
      </w:r>
      <w:r w:rsidR="003A46F9">
        <w:rPr>
          <w:rFonts w:cstheme="minorHAnsi"/>
          <w:b/>
          <w:sz w:val="18"/>
          <w:szCs w:val="18"/>
        </w:rPr>
        <w:t xml:space="preserve"> while describing the negative </w:t>
      </w:r>
      <w:r w:rsidR="001540AD">
        <w:rPr>
          <w:rFonts w:cstheme="minorHAnsi"/>
          <w:b/>
          <w:sz w:val="18"/>
          <w:szCs w:val="18"/>
        </w:rPr>
        <w:t>climate change impacts</w:t>
      </w:r>
      <w:r w:rsidR="003A46F9">
        <w:rPr>
          <w:rFonts w:cstheme="minorHAnsi"/>
          <w:b/>
          <w:sz w:val="18"/>
          <w:szCs w:val="18"/>
        </w:rPr>
        <w:t xml:space="preserve"> for methanol has been modified to </w:t>
      </w:r>
      <w:r w:rsidR="00774CAD">
        <w:rPr>
          <w:rFonts w:cstheme="minorHAnsi"/>
          <w:b/>
          <w:sz w:val="18"/>
          <w:szCs w:val="18"/>
        </w:rPr>
        <w:t>“</w:t>
      </w:r>
      <w:r w:rsidR="003A46F9">
        <w:rPr>
          <w:rFonts w:cstheme="minorHAnsi"/>
          <w:b/>
          <w:sz w:val="18"/>
          <w:szCs w:val="18"/>
        </w:rPr>
        <w:t>net negative emissions</w:t>
      </w:r>
      <w:r w:rsidR="00774CAD">
        <w:rPr>
          <w:rFonts w:cstheme="minorHAnsi"/>
          <w:b/>
          <w:sz w:val="18"/>
          <w:szCs w:val="18"/>
        </w:rPr>
        <w:t>”</w:t>
      </w:r>
      <w:r w:rsidR="003A46F9">
        <w:rPr>
          <w:rFonts w:cstheme="minorHAnsi"/>
          <w:b/>
          <w:sz w:val="18"/>
          <w:szCs w:val="18"/>
        </w:rPr>
        <w:t xml:space="preserve"> or </w:t>
      </w:r>
      <w:r w:rsidR="00774CAD">
        <w:rPr>
          <w:rFonts w:cstheme="minorHAnsi"/>
          <w:b/>
          <w:sz w:val="18"/>
          <w:szCs w:val="18"/>
        </w:rPr>
        <w:t>“</w:t>
      </w:r>
      <w:r w:rsidR="003A46F9">
        <w:rPr>
          <w:rFonts w:cstheme="minorHAnsi"/>
          <w:b/>
          <w:sz w:val="18"/>
          <w:szCs w:val="18"/>
        </w:rPr>
        <w:t>negative emissions</w:t>
      </w:r>
      <w:r w:rsidR="00774CAD">
        <w:rPr>
          <w:rFonts w:cstheme="minorHAnsi"/>
          <w:b/>
          <w:sz w:val="18"/>
          <w:szCs w:val="18"/>
        </w:rPr>
        <w:t>”</w:t>
      </w:r>
      <w:r w:rsidR="003A46F9">
        <w:rPr>
          <w:rFonts w:cstheme="minorHAnsi"/>
          <w:b/>
          <w:sz w:val="18"/>
          <w:szCs w:val="18"/>
        </w:rPr>
        <w:t xml:space="preserve"> on a cradle</w:t>
      </w:r>
      <w:r w:rsidR="003A46F9">
        <w:rPr>
          <w:rFonts w:cstheme="minorHAnsi"/>
          <w:b/>
          <w:sz w:val="18"/>
          <w:szCs w:val="18"/>
        </w:rPr>
        <w:noBreakHyphen/>
        <w:t>to</w:t>
      </w:r>
      <w:r w:rsidR="003A46F9">
        <w:rPr>
          <w:rFonts w:cstheme="minorHAnsi"/>
          <w:b/>
          <w:sz w:val="18"/>
          <w:szCs w:val="18"/>
        </w:rPr>
        <w:noBreakHyphen/>
        <w:t>gate basis throughout the manuscript</w:t>
      </w:r>
      <w:r w:rsidR="00A409CB">
        <w:rPr>
          <w:rFonts w:cstheme="minorHAnsi"/>
          <w:b/>
          <w:sz w:val="18"/>
          <w:szCs w:val="18"/>
        </w:rPr>
        <w:t xml:space="preserve"> to </w:t>
      </w:r>
      <w:r w:rsidR="00B10A4F">
        <w:rPr>
          <w:rFonts w:cstheme="minorHAnsi"/>
          <w:b/>
          <w:sz w:val="18"/>
          <w:szCs w:val="18"/>
        </w:rPr>
        <w:t>enhance clarity</w:t>
      </w:r>
      <w:r w:rsidR="003A46F9">
        <w:rPr>
          <w:rFonts w:cstheme="minorHAnsi"/>
          <w:b/>
          <w:sz w:val="18"/>
          <w:szCs w:val="18"/>
        </w:rPr>
        <w:t>.</w:t>
      </w:r>
    </w:p>
    <w:p w14:paraId="0340BF5B" w14:textId="662D9954" w:rsidR="009B2FA2" w:rsidRPr="00BB5E65" w:rsidRDefault="009B2FA2" w:rsidP="00362878">
      <w:pPr>
        <w:spacing w:after="0" w:line="288" w:lineRule="auto"/>
        <w:jc w:val="both"/>
        <w:rPr>
          <w:rFonts w:cstheme="minorHAnsi"/>
          <w:color w:val="0000FF"/>
          <w:sz w:val="18"/>
          <w:szCs w:val="18"/>
        </w:rPr>
      </w:pPr>
      <w:r w:rsidRPr="008C7128">
        <w:rPr>
          <w:rFonts w:cstheme="minorHAnsi"/>
          <w:color w:val="0000FF"/>
          <w:sz w:val="18"/>
          <w:szCs w:val="18"/>
        </w:rPr>
        <w:t>2.9.</w:t>
      </w:r>
      <w:r w:rsidR="00040861" w:rsidRPr="008C7128">
        <w:rPr>
          <w:rFonts w:cstheme="minorHAnsi"/>
          <w:color w:val="0000FF"/>
          <w:sz w:val="18"/>
          <w:szCs w:val="18"/>
        </w:rPr>
        <w:t> </w:t>
      </w:r>
      <w:r w:rsidR="0046441C" w:rsidRPr="0046441C">
        <w:rPr>
          <w:rFonts w:cstheme="minorHAnsi"/>
          <w:color w:val="0000FF"/>
          <w:sz w:val="18"/>
          <w:szCs w:val="18"/>
        </w:rPr>
        <w:t xml:space="preserve">This paper was recently published: </w:t>
      </w:r>
      <w:hyperlink r:id="rId11" w:history="1">
        <w:r w:rsidR="00C7607B" w:rsidRPr="00C7607B">
          <w:rPr>
            <w:rFonts w:cstheme="minorHAnsi"/>
            <w:color w:val="0000FF"/>
            <w:sz w:val="18"/>
            <w:szCs w:val="18"/>
          </w:rPr>
          <w:t>https://www.sciencedirect.com/science/article/pii/S2405844024035783?via%3Dihub</w:t>
        </w:r>
      </w:hyperlink>
      <w:r w:rsidR="00C7607B">
        <w:rPr>
          <w:rFonts w:cstheme="minorHAnsi"/>
          <w:color w:val="0000FF"/>
          <w:sz w:val="18"/>
          <w:szCs w:val="18"/>
        </w:rPr>
        <w:t xml:space="preserve">. </w:t>
      </w:r>
      <w:r w:rsidR="0046441C" w:rsidRPr="0046441C">
        <w:rPr>
          <w:rFonts w:cstheme="minorHAnsi"/>
          <w:color w:val="0000FF"/>
          <w:sz w:val="18"/>
          <w:szCs w:val="18"/>
        </w:rPr>
        <w:t>It may be useful to compare your results to it.</w:t>
      </w:r>
    </w:p>
    <w:bookmarkEnd w:id="0"/>
    <w:p w14:paraId="0D0C0126" w14:textId="65139BDE" w:rsidR="0009419D" w:rsidRPr="00AF0B75" w:rsidRDefault="00AF0B75" w:rsidP="0009419D">
      <w:pPr>
        <w:spacing w:line="288" w:lineRule="auto"/>
        <w:jc w:val="both"/>
        <w:rPr>
          <w:rFonts w:cstheme="minorHAnsi"/>
          <w:b/>
          <w:sz w:val="18"/>
          <w:szCs w:val="18"/>
        </w:rPr>
      </w:pPr>
      <w:r w:rsidRPr="002535E1">
        <w:rPr>
          <w:rFonts w:cstheme="minorHAnsi"/>
          <w:sz w:val="18"/>
          <w:szCs w:val="18"/>
        </w:rPr>
        <w:t xml:space="preserve">We thank the Reviewer for bringing this research article to our attention. </w:t>
      </w:r>
      <w:commentRangeStart w:id="10"/>
      <w:r w:rsidRPr="002535E1">
        <w:rPr>
          <w:rFonts w:cstheme="minorHAnsi"/>
          <w:sz w:val="18"/>
          <w:szCs w:val="18"/>
        </w:rPr>
        <w:t>Even</w:t>
      </w:r>
      <w:commentRangeEnd w:id="10"/>
      <w:r w:rsidR="003C3148">
        <w:rPr>
          <w:rStyle w:val="CommentReference"/>
          <w:rFonts w:eastAsiaTheme="minorEastAsia"/>
          <w:lang w:val="en-US"/>
        </w:rPr>
        <w:commentReference w:id="10"/>
      </w:r>
      <w:r w:rsidRPr="002535E1">
        <w:rPr>
          <w:rFonts w:cstheme="minorHAnsi"/>
          <w:sz w:val="18"/>
          <w:szCs w:val="18"/>
        </w:rPr>
        <w:t xml:space="preserve"> though the scopes of the two papers are different, the results discussed for the prospective life cycle assessment of ammonia production technologies are quite similar. The mentioned work uses the IEA Ammonia Technology Roadmap (8 technologies) in combination with the future electricity mixes from the IMAGE IAM for 26 regions worldwide. This work finds that the impact of the SMR</w:t>
      </w:r>
      <w:r w:rsidRPr="002535E1">
        <w:rPr>
          <w:rFonts w:cstheme="minorHAnsi"/>
          <w:sz w:val="18"/>
          <w:szCs w:val="18"/>
        </w:rPr>
        <w:noBreakHyphen/>
        <w:t>based fossil ammonia show</w:t>
      </w:r>
      <w:r w:rsidR="00C67ECA" w:rsidRPr="002535E1">
        <w:rPr>
          <w:rFonts w:cstheme="minorHAnsi"/>
          <w:sz w:val="18"/>
          <w:szCs w:val="18"/>
        </w:rPr>
        <w:t>s</w:t>
      </w:r>
      <w:r w:rsidRPr="002535E1">
        <w:rPr>
          <w:rFonts w:cstheme="minorHAnsi"/>
          <w:sz w:val="18"/>
          <w:szCs w:val="18"/>
        </w:rPr>
        <w:t xml:space="preserve"> little to no improvement in climate change impacts </w:t>
      </w:r>
      <w:r w:rsidR="00C354F5" w:rsidRPr="002535E1">
        <w:rPr>
          <w:rFonts w:cstheme="minorHAnsi"/>
          <w:sz w:val="18"/>
          <w:szCs w:val="18"/>
        </w:rPr>
        <w:t>under the 3.5 </w:t>
      </w:r>
      <w:r w:rsidR="003B6E5D" w:rsidRPr="002535E1">
        <w:rPr>
          <w:rFonts w:cstheme="minorHAnsi"/>
          <w:sz w:val="18"/>
          <w:szCs w:val="18"/>
        </w:rPr>
        <w:t>°</w:t>
      </w:r>
      <w:r w:rsidR="00C354F5" w:rsidRPr="002535E1">
        <w:rPr>
          <w:rFonts w:cstheme="minorHAnsi"/>
          <w:sz w:val="18"/>
          <w:szCs w:val="18"/>
        </w:rPr>
        <w:t>C scenario</w:t>
      </w:r>
      <w:r w:rsidRPr="002535E1">
        <w:rPr>
          <w:rFonts w:cstheme="minorHAnsi"/>
          <w:sz w:val="18"/>
          <w:szCs w:val="18"/>
        </w:rPr>
        <w:t xml:space="preserve">. This finding is similar to our results presented in Fig. 1 of the main manuscript. A comparison </w:t>
      </w:r>
      <w:r w:rsidR="00160533">
        <w:rPr>
          <w:rFonts w:cstheme="minorHAnsi"/>
          <w:sz w:val="18"/>
          <w:szCs w:val="18"/>
        </w:rPr>
        <w:t>of</w:t>
      </w:r>
      <w:r w:rsidRPr="002535E1">
        <w:rPr>
          <w:rFonts w:cstheme="minorHAnsi"/>
          <w:sz w:val="18"/>
          <w:szCs w:val="18"/>
        </w:rPr>
        <w:t xml:space="preserve"> the electrolysis</w:t>
      </w:r>
      <w:r w:rsidRPr="002535E1">
        <w:rPr>
          <w:rFonts w:cstheme="minorHAnsi"/>
          <w:sz w:val="18"/>
          <w:szCs w:val="18"/>
        </w:rPr>
        <w:noBreakHyphen/>
        <w:t xml:space="preserve">based ammonia production pathways is not </w:t>
      </w:r>
      <w:r w:rsidR="00464F62">
        <w:rPr>
          <w:rFonts w:cstheme="minorHAnsi"/>
          <w:sz w:val="18"/>
          <w:szCs w:val="18"/>
        </w:rPr>
        <w:t>feasible</w:t>
      </w:r>
      <w:r w:rsidRPr="002535E1">
        <w:rPr>
          <w:rFonts w:cstheme="minorHAnsi"/>
          <w:sz w:val="18"/>
          <w:szCs w:val="18"/>
        </w:rPr>
        <w:t xml:space="preserve"> due to the use of grid electricity (‘yellow hydrogen’) in the mentioned work, whereas </w:t>
      </w:r>
      <w:r w:rsidR="00E6451F">
        <w:rPr>
          <w:rFonts w:cstheme="minorHAnsi"/>
          <w:sz w:val="18"/>
          <w:szCs w:val="18"/>
        </w:rPr>
        <w:t>our study employs</w:t>
      </w:r>
      <w:r w:rsidRPr="002535E1">
        <w:rPr>
          <w:rFonts w:cstheme="minorHAnsi"/>
          <w:sz w:val="18"/>
          <w:szCs w:val="18"/>
        </w:rPr>
        <w:t xml:space="preserve"> green hydrogen</w:t>
      </w:r>
      <w:r w:rsidR="006639D2">
        <w:rPr>
          <w:rFonts w:cstheme="minorHAnsi"/>
          <w:sz w:val="18"/>
          <w:szCs w:val="18"/>
        </w:rPr>
        <w:t xml:space="preserve"> derived from solar or wind sources</w:t>
      </w:r>
      <w:r w:rsidRPr="002535E1">
        <w:rPr>
          <w:rFonts w:cstheme="minorHAnsi"/>
          <w:sz w:val="18"/>
          <w:szCs w:val="18"/>
        </w:rPr>
        <w:t>.</w:t>
      </w:r>
      <w:r w:rsidR="003B73ED">
        <w:rPr>
          <w:rFonts w:cstheme="minorHAnsi"/>
          <w:sz w:val="18"/>
          <w:szCs w:val="18"/>
        </w:rPr>
        <w:t xml:space="preserve"> </w:t>
      </w:r>
      <w:commentRangeStart w:id="11"/>
      <w:r w:rsidR="003B73ED">
        <w:rPr>
          <w:rFonts w:cstheme="minorHAnsi"/>
          <w:sz w:val="18"/>
          <w:szCs w:val="18"/>
        </w:rPr>
        <w:t>This distinction represents an enhancement in our approach, performing a more comprehensive evaluation of green ammonia production pathways</w:t>
      </w:r>
      <w:commentRangeEnd w:id="11"/>
      <w:r w:rsidR="003C3148">
        <w:rPr>
          <w:rStyle w:val="CommentReference"/>
          <w:rFonts w:eastAsiaTheme="minorEastAsia"/>
          <w:lang w:val="en-US"/>
        </w:rPr>
        <w:commentReference w:id="11"/>
      </w:r>
      <w:r w:rsidR="003B73ED">
        <w:rPr>
          <w:rFonts w:cstheme="minorHAnsi"/>
          <w:sz w:val="18"/>
          <w:szCs w:val="18"/>
        </w:rPr>
        <w:t>.</w:t>
      </w:r>
      <w:r w:rsidRPr="002535E1">
        <w:rPr>
          <w:rFonts w:cstheme="minorHAnsi"/>
          <w:sz w:val="18"/>
          <w:szCs w:val="18"/>
        </w:rPr>
        <w:t xml:space="preserve"> </w:t>
      </w:r>
      <w:r w:rsidRPr="002535E1">
        <w:rPr>
          <w:rFonts w:cstheme="minorHAnsi"/>
          <w:b/>
          <w:sz w:val="18"/>
          <w:szCs w:val="18"/>
        </w:rPr>
        <w:t>In response to the Reviewer’s suggestion, we have now included a comparison between the results in the main manuscript (page </w:t>
      </w:r>
      <w:r w:rsidR="002535E1" w:rsidRPr="002535E1">
        <w:rPr>
          <w:rFonts w:cstheme="minorHAnsi"/>
          <w:b/>
          <w:sz w:val="18"/>
          <w:szCs w:val="18"/>
        </w:rPr>
        <w:t>2</w:t>
      </w:r>
      <w:r w:rsidRPr="002535E1">
        <w:rPr>
          <w:rFonts w:cstheme="minorHAnsi"/>
          <w:b/>
          <w:sz w:val="18"/>
          <w:szCs w:val="18"/>
        </w:rPr>
        <w:t>, line </w:t>
      </w:r>
      <w:r w:rsidR="005D3B1E">
        <w:rPr>
          <w:rFonts w:cstheme="minorHAnsi"/>
          <w:b/>
          <w:sz w:val="18"/>
          <w:szCs w:val="18"/>
        </w:rPr>
        <w:t>4</w:t>
      </w:r>
      <w:r w:rsidR="008012F9">
        <w:rPr>
          <w:rFonts w:cstheme="minorHAnsi"/>
          <w:b/>
          <w:sz w:val="18"/>
          <w:szCs w:val="18"/>
        </w:rPr>
        <w:t>2</w:t>
      </w:r>
      <w:r w:rsidRPr="002535E1">
        <w:rPr>
          <w:rFonts w:cstheme="minorHAnsi"/>
          <w:b/>
          <w:sz w:val="18"/>
          <w:szCs w:val="18"/>
        </w:rPr>
        <w:t xml:space="preserve">, </w:t>
      </w:r>
      <w:r w:rsidR="002535E1" w:rsidRPr="002535E1">
        <w:rPr>
          <w:rFonts w:cstheme="minorHAnsi"/>
          <w:b/>
          <w:sz w:val="18"/>
          <w:szCs w:val="18"/>
        </w:rPr>
        <w:t>right</w:t>
      </w:r>
      <w:r w:rsidRPr="002535E1">
        <w:rPr>
          <w:rFonts w:cstheme="minorHAnsi"/>
          <w:b/>
          <w:sz w:val="18"/>
          <w:szCs w:val="18"/>
        </w:rPr>
        <w:t> </w:t>
      </w:r>
      <w:commentRangeStart w:id="12"/>
      <w:r w:rsidRPr="002535E1">
        <w:rPr>
          <w:rFonts w:cstheme="minorHAnsi"/>
          <w:b/>
          <w:sz w:val="18"/>
          <w:szCs w:val="18"/>
        </w:rPr>
        <w:t>column</w:t>
      </w:r>
      <w:commentRangeEnd w:id="12"/>
      <w:r w:rsidR="00E80390">
        <w:rPr>
          <w:rStyle w:val="CommentReference"/>
          <w:rFonts w:eastAsiaTheme="minorEastAsia"/>
          <w:lang w:val="en-US"/>
        </w:rPr>
        <w:commentReference w:id="12"/>
      </w:r>
      <w:r w:rsidRPr="002535E1">
        <w:rPr>
          <w:rFonts w:cstheme="minorHAnsi"/>
          <w:b/>
          <w:sz w:val="18"/>
          <w:szCs w:val="18"/>
        </w:rPr>
        <w:t>)</w:t>
      </w:r>
      <w:r w:rsidR="006B51CA" w:rsidRPr="002535E1">
        <w:rPr>
          <w:rFonts w:cstheme="minorHAnsi"/>
          <w:b/>
          <w:sz w:val="18"/>
          <w:szCs w:val="18"/>
        </w:rPr>
        <w:t>.</w:t>
      </w:r>
    </w:p>
    <w:sectPr w:rsidR="0009419D" w:rsidRPr="00AF0B75" w:rsidSect="003C41F9">
      <w:footerReference w:type="default" r:id="rId12"/>
      <w:pgSz w:w="12240" w:h="15840"/>
      <w:pgMar w:top="1440" w:right="1440" w:bottom="1440" w:left="1440" w:header="0" w:footer="720" w:gutter="0"/>
      <w:pgNumType w:start="1"/>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Martin Fernandez  Antonio José" w:date="2024-04-04T13:45:00Z" w:initials="AM">
    <w:p w14:paraId="05E0E03F" w14:textId="77777777" w:rsidR="000D5BBA" w:rsidRDefault="000D5BBA" w:rsidP="000D5BBA">
      <w:pPr>
        <w:pStyle w:val="CommentText"/>
      </w:pPr>
      <w:r>
        <w:rPr>
          <w:rStyle w:val="CommentReference"/>
        </w:rPr>
        <w:annotationRef/>
      </w:r>
      <w:r>
        <w:rPr>
          <w:lang w:val="es-ES"/>
        </w:rPr>
        <w:t>It would be good to support somehow the representativeness of US prices (if possible) in this response or to highlight that trends observed would remain the same in the case of using regionalized databases. This aspect must seem small if it is so.</w:t>
      </w:r>
    </w:p>
  </w:comment>
  <w:comment w:id="3" w:author="Martin Fernandez  Antonio José" w:date="2024-04-04T14:04:00Z" w:initials="AM">
    <w:p w14:paraId="69E9E846" w14:textId="77777777" w:rsidR="00A67839" w:rsidRDefault="00A67839" w:rsidP="00A67839">
      <w:pPr>
        <w:pStyle w:val="CommentText"/>
      </w:pPr>
      <w:r>
        <w:rPr>
          <w:rStyle w:val="CommentReference"/>
        </w:rPr>
        <w:annotationRef/>
      </w:r>
      <w:r>
        <w:rPr>
          <w:lang w:val="es-ES"/>
        </w:rPr>
        <w:t>Later you use ESI Section X. Please try to uniformize notation. Elegance is very important!</w:t>
      </w:r>
    </w:p>
  </w:comment>
  <w:comment w:id="4" w:author="Martin Fernandez  Antonio José" w:date="2024-04-04T13:56:00Z" w:initials="AM">
    <w:p w14:paraId="5B697203" w14:textId="00ADECD9" w:rsidR="0036671F" w:rsidRDefault="0036671F" w:rsidP="0036671F">
      <w:pPr>
        <w:pStyle w:val="CommentText"/>
      </w:pPr>
      <w:r>
        <w:rPr>
          <w:rStyle w:val="CommentReference"/>
        </w:rPr>
        <w:annotationRef/>
      </w:r>
      <w:r>
        <w:rPr>
          <w:lang w:val="es-ES"/>
        </w:rPr>
        <w:t>If a modification from a reviewer does not change any key conclusion, it is better to emphasize it more clearly</w:t>
      </w:r>
    </w:p>
  </w:comment>
  <w:comment w:id="5" w:author="Martin Fernandez  Antonio José" w:date="2024-04-04T13:58:00Z" w:initials="AM">
    <w:p w14:paraId="374E48ED" w14:textId="77777777" w:rsidR="0036671F" w:rsidRDefault="0036671F" w:rsidP="0036671F">
      <w:pPr>
        <w:pStyle w:val="CommentText"/>
      </w:pPr>
      <w:r>
        <w:rPr>
          <w:rStyle w:val="CommentReference"/>
        </w:rPr>
        <w:annotationRef/>
      </w:r>
      <w:r>
        <w:rPr>
          <w:lang w:val="es-ES"/>
        </w:rPr>
        <w:t>Be very careful when telling a reviewer he did not see anything. Make it very neutral and add the place where it was explained at the end of it.</w:t>
      </w:r>
    </w:p>
  </w:comment>
  <w:comment w:id="6" w:author="Martin Fernandez  Antonio José" w:date="2024-04-04T13:59:00Z" w:initials="AM">
    <w:p w14:paraId="418FA31B" w14:textId="77777777" w:rsidR="0036671F" w:rsidRDefault="0036671F" w:rsidP="0036671F">
      <w:pPr>
        <w:pStyle w:val="CommentText"/>
      </w:pPr>
      <w:r>
        <w:rPr>
          <w:rStyle w:val="CommentReference"/>
        </w:rPr>
        <w:annotationRef/>
      </w:r>
      <w:r>
        <w:rPr>
          <w:lang w:val="es-ES"/>
        </w:rPr>
        <w:t>You have to explain if this is cited in the paper already or you added it now</w:t>
      </w:r>
    </w:p>
  </w:comment>
  <w:comment w:id="7" w:author="Martin Fernandez  Antonio José" w:date="2024-04-04T13:58:00Z" w:initials="AM">
    <w:p w14:paraId="779DC79A" w14:textId="5CBD2D99" w:rsidR="0036671F" w:rsidRDefault="0036671F" w:rsidP="0036671F">
      <w:pPr>
        <w:pStyle w:val="CommentText"/>
      </w:pPr>
      <w:r>
        <w:rPr>
          <w:rStyle w:val="CommentReference"/>
        </w:rPr>
        <w:annotationRef/>
      </w:r>
      <w:r>
        <w:rPr>
          <w:lang w:val="es-ES"/>
        </w:rPr>
        <w:t>Needed?</w:t>
      </w:r>
    </w:p>
  </w:comment>
  <w:comment w:id="8" w:author="Martin Fernandez  Antonio José" w:date="2024-04-04T14:11:00Z" w:initials="AM">
    <w:p w14:paraId="3F8F1463" w14:textId="77777777" w:rsidR="003C3148" w:rsidRDefault="003C3148" w:rsidP="003C3148">
      <w:pPr>
        <w:pStyle w:val="CommentText"/>
      </w:pPr>
      <w:r>
        <w:rPr>
          <w:rStyle w:val="CommentReference"/>
        </w:rPr>
        <w:annotationRef/>
      </w:r>
      <w:r>
        <w:rPr>
          <w:lang w:val="es-ES"/>
        </w:rPr>
        <w:t>It would be good to cite this work somehow (you never know) and explicitly state it here in the replies</w:t>
      </w:r>
    </w:p>
  </w:comment>
  <w:comment w:id="9" w:author="Martin Fernandez  Antonio José" w:date="2024-04-04T14:08:00Z" w:initials="AM">
    <w:p w14:paraId="0E9C4818" w14:textId="2DD9F024" w:rsidR="003C3148" w:rsidRDefault="00DE2DB1" w:rsidP="003C3148">
      <w:pPr>
        <w:pStyle w:val="CommentText"/>
      </w:pPr>
      <w:r>
        <w:rPr>
          <w:rStyle w:val="CommentReference"/>
        </w:rPr>
        <w:annotationRef/>
      </w:r>
      <w:r w:rsidR="003C3148">
        <w:rPr>
          <w:lang w:val="es-ES"/>
        </w:rPr>
        <w:t>I don’t think he is arguing against this</w:t>
      </w:r>
    </w:p>
  </w:comment>
  <w:comment w:id="10" w:author="Martin Fernandez  Antonio José" w:date="2024-04-04T14:12:00Z" w:initials="AM">
    <w:p w14:paraId="7D4C4E93" w14:textId="77777777" w:rsidR="003C3148" w:rsidRDefault="003C3148" w:rsidP="003C3148">
      <w:pPr>
        <w:pStyle w:val="CommentText"/>
      </w:pPr>
      <w:r>
        <w:rPr>
          <w:rStyle w:val="CommentReference"/>
        </w:rPr>
        <w:annotationRef/>
      </w:r>
      <w:r>
        <w:rPr>
          <w:lang w:val="es-ES"/>
        </w:rPr>
        <w:t>Please add 1-2 sentences explaining the scope of the other paper so that the editor sees it immediately.</w:t>
      </w:r>
    </w:p>
  </w:comment>
  <w:comment w:id="11" w:author="Martin Fernandez  Antonio José" w:date="2024-04-04T14:14:00Z" w:initials="AM">
    <w:p w14:paraId="21C4F612" w14:textId="77777777" w:rsidR="003C3148" w:rsidRDefault="003C3148" w:rsidP="003C3148">
      <w:pPr>
        <w:pStyle w:val="CommentText"/>
      </w:pPr>
      <w:r>
        <w:rPr>
          <w:rStyle w:val="CommentReference"/>
        </w:rPr>
        <w:annotationRef/>
      </w:r>
      <w:r>
        <w:rPr>
          <w:lang w:val="es-ES"/>
        </w:rPr>
        <w:t>Do not forget to mention we analyze three chemicals instead of just one. And notice if they are complementary in any aspect. That pleases everyone.</w:t>
      </w:r>
    </w:p>
  </w:comment>
  <w:comment w:id="12" w:author="Martin Fernandez  Antonio José" w:date="2024-04-04T14:17:00Z" w:initials="AM">
    <w:p w14:paraId="24AE7066" w14:textId="77777777" w:rsidR="00E80390" w:rsidRDefault="00E80390" w:rsidP="00E80390">
      <w:pPr>
        <w:pStyle w:val="CommentText"/>
      </w:pPr>
      <w:r>
        <w:rPr>
          <w:rStyle w:val="CommentReference"/>
        </w:rPr>
        <w:annotationRef/>
      </w:r>
      <w:r>
        <w:rPr>
          <w:lang w:val="es-ES"/>
        </w:rPr>
        <w:t>I think you should mention this article in the intro rather than in the methods, since you are comparing results, not methodologies</w:t>
      </w:r>
    </w:p>
    <w:p w14:paraId="531ABAFE" w14:textId="77777777" w:rsidR="00E80390" w:rsidRDefault="00E80390" w:rsidP="00E80390">
      <w:pPr>
        <w:pStyle w:val="CommentText"/>
      </w:pPr>
    </w:p>
    <w:p w14:paraId="48396D1A" w14:textId="77777777" w:rsidR="00E80390" w:rsidRDefault="00E80390" w:rsidP="00E80390">
      <w:pPr>
        <w:pStyle w:val="CommentText"/>
      </w:pPr>
      <w:r>
        <w:rPr>
          <w:lang w:val="es-ES"/>
        </w:rPr>
        <w:t>Btw, there is a typo in this sentence of the manuscript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5E0E03F" w15:done="1"/>
  <w15:commentEx w15:paraId="69E9E846" w15:done="1"/>
  <w15:commentEx w15:paraId="5B697203" w15:done="1"/>
  <w15:commentEx w15:paraId="374E48ED" w15:done="1"/>
  <w15:commentEx w15:paraId="418FA31B" w15:done="1"/>
  <w15:commentEx w15:paraId="779DC79A" w15:done="1"/>
  <w15:commentEx w15:paraId="3F8F1463" w15:done="1"/>
  <w15:commentEx w15:paraId="0E9C4818" w15:done="1"/>
  <w15:commentEx w15:paraId="7D4C4E93" w15:done="1"/>
  <w15:commentEx w15:paraId="21C4F612" w15:done="1"/>
  <w15:commentEx w15:paraId="48396D1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CA68077" w16cex:dateUtc="2024-04-04T11:45:00Z"/>
  <w16cex:commentExtensible w16cex:durableId="1962E2EE" w16cex:dateUtc="2024-04-04T12:04:00Z"/>
  <w16cex:commentExtensible w16cex:durableId="6CB644CE" w16cex:dateUtc="2024-04-04T11:56:00Z"/>
  <w16cex:commentExtensible w16cex:durableId="7B3B6F96" w16cex:dateUtc="2024-04-04T11:58:00Z"/>
  <w16cex:commentExtensible w16cex:durableId="37817BFB" w16cex:dateUtc="2024-04-04T11:59:00Z"/>
  <w16cex:commentExtensible w16cex:durableId="15F423D1" w16cex:dateUtc="2024-04-04T11:58:00Z"/>
  <w16cex:commentExtensible w16cex:durableId="67BC5AF6" w16cex:dateUtc="2024-04-04T12:11:00Z"/>
  <w16cex:commentExtensible w16cex:durableId="22EA7AB3" w16cex:dateUtc="2024-04-04T12:08:00Z"/>
  <w16cex:commentExtensible w16cex:durableId="5EEE873B" w16cex:dateUtc="2024-04-04T12:12:00Z"/>
  <w16cex:commentExtensible w16cex:durableId="0E540428" w16cex:dateUtc="2024-04-04T12:14:00Z"/>
  <w16cex:commentExtensible w16cex:durableId="3751A9C4" w16cex:dateUtc="2024-04-04T12: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5E0E03F" w16cid:durableId="7CA68077"/>
  <w16cid:commentId w16cid:paraId="69E9E846" w16cid:durableId="1962E2EE"/>
  <w16cid:commentId w16cid:paraId="5B697203" w16cid:durableId="6CB644CE"/>
  <w16cid:commentId w16cid:paraId="374E48ED" w16cid:durableId="7B3B6F96"/>
  <w16cid:commentId w16cid:paraId="418FA31B" w16cid:durableId="37817BFB"/>
  <w16cid:commentId w16cid:paraId="779DC79A" w16cid:durableId="15F423D1"/>
  <w16cid:commentId w16cid:paraId="3F8F1463" w16cid:durableId="67BC5AF6"/>
  <w16cid:commentId w16cid:paraId="0E9C4818" w16cid:durableId="22EA7AB3"/>
  <w16cid:commentId w16cid:paraId="7D4C4E93" w16cid:durableId="5EEE873B"/>
  <w16cid:commentId w16cid:paraId="21C4F612" w16cid:durableId="0E540428"/>
  <w16cid:commentId w16cid:paraId="48396D1A" w16cid:durableId="3751A9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EF5607" w14:textId="77777777" w:rsidR="00677637" w:rsidRDefault="00677637">
      <w:pPr>
        <w:spacing w:after="0" w:line="240" w:lineRule="auto"/>
      </w:pPr>
      <w:r>
        <w:separator/>
      </w:r>
    </w:p>
  </w:endnote>
  <w:endnote w:type="continuationSeparator" w:id="0">
    <w:p w14:paraId="58EB074E" w14:textId="77777777" w:rsidR="00677637" w:rsidRDefault="00677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 w:val="20"/>
        <w:szCs w:val="20"/>
      </w:rPr>
      <w:id w:val="651790880"/>
      <w:docPartObj>
        <w:docPartGallery w:val="Page Numbers (Bottom of Page)"/>
        <w:docPartUnique/>
      </w:docPartObj>
    </w:sdtPr>
    <w:sdtEndPr/>
    <w:sdtContent>
      <w:p w14:paraId="4583CF82" w14:textId="77777777" w:rsidR="00E80390" w:rsidRPr="00C90A7B" w:rsidRDefault="00047FE2">
        <w:pPr>
          <w:pStyle w:val="Footer"/>
          <w:jc w:val="center"/>
          <w:rPr>
            <w:rFonts w:ascii="Arial" w:hAnsi="Arial" w:cs="Arial"/>
            <w:sz w:val="20"/>
            <w:szCs w:val="20"/>
          </w:rPr>
        </w:pPr>
        <w:r w:rsidRPr="00552979">
          <w:rPr>
            <w:rFonts w:cs="Arial"/>
            <w:sz w:val="18"/>
            <w:szCs w:val="18"/>
          </w:rPr>
          <w:fldChar w:fldCharType="begin"/>
        </w:r>
        <w:r w:rsidRPr="00552979">
          <w:rPr>
            <w:rFonts w:cs="Arial"/>
            <w:sz w:val="18"/>
            <w:szCs w:val="18"/>
          </w:rPr>
          <w:instrText>PAGE</w:instrText>
        </w:r>
        <w:r w:rsidRPr="00552979">
          <w:rPr>
            <w:rFonts w:cs="Arial"/>
            <w:sz w:val="18"/>
            <w:szCs w:val="18"/>
          </w:rPr>
          <w:fldChar w:fldCharType="separate"/>
        </w:r>
        <w:r>
          <w:rPr>
            <w:rFonts w:cs="Arial"/>
            <w:noProof/>
            <w:sz w:val="18"/>
            <w:szCs w:val="18"/>
          </w:rPr>
          <w:t>8</w:t>
        </w:r>
        <w:r w:rsidRPr="00552979">
          <w:rPr>
            <w:rFonts w:cs="Arial"/>
            <w:sz w:val="18"/>
            <w:szCs w:val="18"/>
          </w:rPr>
          <w:fldChar w:fldCharType="end"/>
        </w:r>
      </w:p>
    </w:sdtContent>
  </w:sdt>
  <w:p w14:paraId="6CBC91A7" w14:textId="77777777" w:rsidR="00E80390" w:rsidRDefault="00E803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0E610A" w14:textId="77777777" w:rsidR="00677637" w:rsidRDefault="00677637">
      <w:pPr>
        <w:spacing w:after="0" w:line="240" w:lineRule="auto"/>
      </w:pPr>
      <w:r>
        <w:separator/>
      </w:r>
    </w:p>
  </w:footnote>
  <w:footnote w:type="continuationSeparator" w:id="0">
    <w:p w14:paraId="1E555BE8" w14:textId="77777777" w:rsidR="00677637" w:rsidRDefault="006776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E70E26"/>
    <w:multiLevelType w:val="hybridMultilevel"/>
    <w:tmpl w:val="84203BFE"/>
    <w:lvl w:ilvl="0" w:tplc="06786E04">
      <w:start w:val="1"/>
      <w:numFmt w:val="lowerRoman"/>
      <w:lvlText w:val="(%1)"/>
      <w:lvlJc w:val="left"/>
      <w:pPr>
        <w:ind w:left="1440" w:hanging="720"/>
      </w:pPr>
      <w:rPr>
        <w:rFonts w:asciiTheme="minorHAnsi" w:eastAsiaTheme="minorHAnsi" w:hAnsiTheme="minorHAnsi" w:cstheme="minorHAnsi"/>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300A20AD"/>
    <w:multiLevelType w:val="multilevel"/>
    <w:tmpl w:val="AC1415B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rtin Fernandez  Antonio José">
    <w15:presenceInfo w15:providerId="AD" w15:userId="S::maantoni@ethz.ch::e34b8c64-7386-4c87-9b46-9a39c3cfb5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zNLIwMTMwNzM1NjVW0lEKTi0uzszPAykwMq4FAFWkvEAtAAAA"/>
  </w:docVars>
  <w:rsids>
    <w:rsidRoot w:val="009B2FA2"/>
    <w:rsid w:val="000130A3"/>
    <w:rsid w:val="0003501A"/>
    <w:rsid w:val="00037EA8"/>
    <w:rsid w:val="00040861"/>
    <w:rsid w:val="00043C77"/>
    <w:rsid w:val="00047B93"/>
    <w:rsid w:val="00047FE2"/>
    <w:rsid w:val="00055B74"/>
    <w:rsid w:val="000617C7"/>
    <w:rsid w:val="00066DB1"/>
    <w:rsid w:val="00075BA6"/>
    <w:rsid w:val="0008052A"/>
    <w:rsid w:val="00081CDF"/>
    <w:rsid w:val="00087C6E"/>
    <w:rsid w:val="0009419D"/>
    <w:rsid w:val="000A3AE2"/>
    <w:rsid w:val="000A5ECA"/>
    <w:rsid w:val="000B32C6"/>
    <w:rsid w:val="000B666B"/>
    <w:rsid w:val="000C01B8"/>
    <w:rsid w:val="000C0526"/>
    <w:rsid w:val="000C6E44"/>
    <w:rsid w:val="000D04E7"/>
    <w:rsid w:val="000D5BBA"/>
    <w:rsid w:val="000F5FA5"/>
    <w:rsid w:val="00102A51"/>
    <w:rsid w:val="001077D7"/>
    <w:rsid w:val="00114D87"/>
    <w:rsid w:val="00115901"/>
    <w:rsid w:val="0012250E"/>
    <w:rsid w:val="00123618"/>
    <w:rsid w:val="00131FFA"/>
    <w:rsid w:val="00135219"/>
    <w:rsid w:val="00143E6C"/>
    <w:rsid w:val="001540AD"/>
    <w:rsid w:val="00160533"/>
    <w:rsid w:val="00163E74"/>
    <w:rsid w:val="00172A52"/>
    <w:rsid w:val="0018008D"/>
    <w:rsid w:val="001854F7"/>
    <w:rsid w:val="001A0952"/>
    <w:rsid w:val="001A2C5D"/>
    <w:rsid w:val="001A36D1"/>
    <w:rsid w:val="001A6472"/>
    <w:rsid w:val="001A70F9"/>
    <w:rsid w:val="001B15F3"/>
    <w:rsid w:val="001B2BD5"/>
    <w:rsid w:val="001B4215"/>
    <w:rsid w:val="001D54ED"/>
    <w:rsid w:val="001D7C00"/>
    <w:rsid w:val="001E27CF"/>
    <w:rsid w:val="001E40E2"/>
    <w:rsid w:val="001F1841"/>
    <w:rsid w:val="00201942"/>
    <w:rsid w:val="00210124"/>
    <w:rsid w:val="00230DCC"/>
    <w:rsid w:val="00232DE4"/>
    <w:rsid w:val="00234435"/>
    <w:rsid w:val="002367C3"/>
    <w:rsid w:val="00247C16"/>
    <w:rsid w:val="00252846"/>
    <w:rsid w:val="002535E1"/>
    <w:rsid w:val="002537F4"/>
    <w:rsid w:val="00263E44"/>
    <w:rsid w:val="00274135"/>
    <w:rsid w:val="002805DC"/>
    <w:rsid w:val="00290F4D"/>
    <w:rsid w:val="00297344"/>
    <w:rsid w:val="002A0C16"/>
    <w:rsid w:val="002A0F58"/>
    <w:rsid w:val="002A1348"/>
    <w:rsid w:val="002A2F19"/>
    <w:rsid w:val="002D125E"/>
    <w:rsid w:val="002F31FD"/>
    <w:rsid w:val="002F4016"/>
    <w:rsid w:val="00310F51"/>
    <w:rsid w:val="003111BD"/>
    <w:rsid w:val="00315A21"/>
    <w:rsid w:val="0033456F"/>
    <w:rsid w:val="003345A3"/>
    <w:rsid w:val="0036133F"/>
    <w:rsid w:val="00362878"/>
    <w:rsid w:val="0036671F"/>
    <w:rsid w:val="00372755"/>
    <w:rsid w:val="0038557B"/>
    <w:rsid w:val="003A16CE"/>
    <w:rsid w:val="003A46F9"/>
    <w:rsid w:val="003A5285"/>
    <w:rsid w:val="003B0919"/>
    <w:rsid w:val="003B13C6"/>
    <w:rsid w:val="003B56CD"/>
    <w:rsid w:val="003B6E5D"/>
    <w:rsid w:val="003B73ED"/>
    <w:rsid w:val="003C0CC0"/>
    <w:rsid w:val="003C3148"/>
    <w:rsid w:val="003C648F"/>
    <w:rsid w:val="003D0244"/>
    <w:rsid w:val="003D380E"/>
    <w:rsid w:val="0040722F"/>
    <w:rsid w:val="004168B2"/>
    <w:rsid w:val="00416C57"/>
    <w:rsid w:val="00426AAA"/>
    <w:rsid w:val="00432926"/>
    <w:rsid w:val="0044562C"/>
    <w:rsid w:val="00447D25"/>
    <w:rsid w:val="00452630"/>
    <w:rsid w:val="00455C3C"/>
    <w:rsid w:val="00460424"/>
    <w:rsid w:val="0046441C"/>
    <w:rsid w:val="00464F62"/>
    <w:rsid w:val="00466520"/>
    <w:rsid w:val="004713F2"/>
    <w:rsid w:val="00495226"/>
    <w:rsid w:val="004A27AB"/>
    <w:rsid w:val="004A5AD2"/>
    <w:rsid w:val="004B5556"/>
    <w:rsid w:val="004C221D"/>
    <w:rsid w:val="004C41F0"/>
    <w:rsid w:val="004C54F4"/>
    <w:rsid w:val="004D3D1F"/>
    <w:rsid w:val="004E20F5"/>
    <w:rsid w:val="004E6DF9"/>
    <w:rsid w:val="004F6BE7"/>
    <w:rsid w:val="004F7964"/>
    <w:rsid w:val="005024A3"/>
    <w:rsid w:val="0051149C"/>
    <w:rsid w:val="00514907"/>
    <w:rsid w:val="00515EA4"/>
    <w:rsid w:val="005243D9"/>
    <w:rsid w:val="005312A7"/>
    <w:rsid w:val="005366F1"/>
    <w:rsid w:val="005437BA"/>
    <w:rsid w:val="00554CCA"/>
    <w:rsid w:val="00556D97"/>
    <w:rsid w:val="00564E4E"/>
    <w:rsid w:val="00567929"/>
    <w:rsid w:val="00567DEF"/>
    <w:rsid w:val="00574DD1"/>
    <w:rsid w:val="00575487"/>
    <w:rsid w:val="00577B60"/>
    <w:rsid w:val="00586D36"/>
    <w:rsid w:val="00591C93"/>
    <w:rsid w:val="005A4844"/>
    <w:rsid w:val="005A5D76"/>
    <w:rsid w:val="005B1D17"/>
    <w:rsid w:val="005B570C"/>
    <w:rsid w:val="005C3624"/>
    <w:rsid w:val="005C413E"/>
    <w:rsid w:val="005C6839"/>
    <w:rsid w:val="005D0A89"/>
    <w:rsid w:val="005D2A78"/>
    <w:rsid w:val="005D2D7B"/>
    <w:rsid w:val="005D3B1E"/>
    <w:rsid w:val="005E1A88"/>
    <w:rsid w:val="005E492E"/>
    <w:rsid w:val="005F2FDA"/>
    <w:rsid w:val="00613FAD"/>
    <w:rsid w:val="006145EC"/>
    <w:rsid w:val="00616FEB"/>
    <w:rsid w:val="00627CC0"/>
    <w:rsid w:val="00634D4E"/>
    <w:rsid w:val="00641297"/>
    <w:rsid w:val="00641D9F"/>
    <w:rsid w:val="00642888"/>
    <w:rsid w:val="00651788"/>
    <w:rsid w:val="00653B06"/>
    <w:rsid w:val="00653B99"/>
    <w:rsid w:val="00656C7B"/>
    <w:rsid w:val="006639D2"/>
    <w:rsid w:val="00677637"/>
    <w:rsid w:val="00680FFB"/>
    <w:rsid w:val="00684238"/>
    <w:rsid w:val="006901CC"/>
    <w:rsid w:val="00691659"/>
    <w:rsid w:val="006A4993"/>
    <w:rsid w:val="006B03DB"/>
    <w:rsid w:val="006B51CA"/>
    <w:rsid w:val="006B5E22"/>
    <w:rsid w:val="006C18AF"/>
    <w:rsid w:val="006D51CF"/>
    <w:rsid w:val="006D5998"/>
    <w:rsid w:val="006F13D2"/>
    <w:rsid w:val="006F3B79"/>
    <w:rsid w:val="006F51CC"/>
    <w:rsid w:val="006F7261"/>
    <w:rsid w:val="006F7514"/>
    <w:rsid w:val="00700A2D"/>
    <w:rsid w:val="00712290"/>
    <w:rsid w:val="00713F88"/>
    <w:rsid w:val="00714BB8"/>
    <w:rsid w:val="007237BE"/>
    <w:rsid w:val="007238AA"/>
    <w:rsid w:val="007341A5"/>
    <w:rsid w:val="007351AB"/>
    <w:rsid w:val="007404E3"/>
    <w:rsid w:val="00743A99"/>
    <w:rsid w:val="007454F0"/>
    <w:rsid w:val="0074598A"/>
    <w:rsid w:val="00746A7B"/>
    <w:rsid w:val="007510E9"/>
    <w:rsid w:val="00764BD8"/>
    <w:rsid w:val="00766847"/>
    <w:rsid w:val="00772E08"/>
    <w:rsid w:val="00774CAD"/>
    <w:rsid w:val="0077570F"/>
    <w:rsid w:val="007819E7"/>
    <w:rsid w:val="00787A83"/>
    <w:rsid w:val="00795BAD"/>
    <w:rsid w:val="007B3972"/>
    <w:rsid w:val="007B43BF"/>
    <w:rsid w:val="007B5D33"/>
    <w:rsid w:val="007C39BB"/>
    <w:rsid w:val="007C40C8"/>
    <w:rsid w:val="007E5D4D"/>
    <w:rsid w:val="007F409C"/>
    <w:rsid w:val="008012F9"/>
    <w:rsid w:val="00811BF7"/>
    <w:rsid w:val="0082495A"/>
    <w:rsid w:val="00826A4E"/>
    <w:rsid w:val="008303F9"/>
    <w:rsid w:val="0083349B"/>
    <w:rsid w:val="00875319"/>
    <w:rsid w:val="00881660"/>
    <w:rsid w:val="00887BBD"/>
    <w:rsid w:val="008934E2"/>
    <w:rsid w:val="00893E84"/>
    <w:rsid w:val="0089487B"/>
    <w:rsid w:val="008B4E45"/>
    <w:rsid w:val="008C4D05"/>
    <w:rsid w:val="008C625B"/>
    <w:rsid w:val="008C7128"/>
    <w:rsid w:val="008D0F3A"/>
    <w:rsid w:val="00901324"/>
    <w:rsid w:val="0091689A"/>
    <w:rsid w:val="0092121B"/>
    <w:rsid w:val="009348A9"/>
    <w:rsid w:val="009348D2"/>
    <w:rsid w:val="009379BC"/>
    <w:rsid w:val="009427A0"/>
    <w:rsid w:val="00942F46"/>
    <w:rsid w:val="00946A35"/>
    <w:rsid w:val="00951DF1"/>
    <w:rsid w:val="00953838"/>
    <w:rsid w:val="00957A5F"/>
    <w:rsid w:val="00966427"/>
    <w:rsid w:val="00980414"/>
    <w:rsid w:val="00984BEA"/>
    <w:rsid w:val="00987213"/>
    <w:rsid w:val="00997CA5"/>
    <w:rsid w:val="009A2EBA"/>
    <w:rsid w:val="009A3558"/>
    <w:rsid w:val="009A4375"/>
    <w:rsid w:val="009B2FA2"/>
    <w:rsid w:val="009B352A"/>
    <w:rsid w:val="009C05E7"/>
    <w:rsid w:val="009F1A93"/>
    <w:rsid w:val="009F673B"/>
    <w:rsid w:val="00A01EFD"/>
    <w:rsid w:val="00A138F4"/>
    <w:rsid w:val="00A15C83"/>
    <w:rsid w:val="00A16B66"/>
    <w:rsid w:val="00A17DCF"/>
    <w:rsid w:val="00A22C35"/>
    <w:rsid w:val="00A2580E"/>
    <w:rsid w:val="00A31B0D"/>
    <w:rsid w:val="00A35395"/>
    <w:rsid w:val="00A409CB"/>
    <w:rsid w:val="00A41E49"/>
    <w:rsid w:val="00A6248E"/>
    <w:rsid w:val="00A66437"/>
    <w:rsid w:val="00A67839"/>
    <w:rsid w:val="00A7035C"/>
    <w:rsid w:val="00A80191"/>
    <w:rsid w:val="00A85391"/>
    <w:rsid w:val="00A87BDF"/>
    <w:rsid w:val="00A91077"/>
    <w:rsid w:val="00AA782C"/>
    <w:rsid w:val="00AB3714"/>
    <w:rsid w:val="00AB3CF5"/>
    <w:rsid w:val="00AB740D"/>
    <w:rsid w:val="00AC57DA"/>
    <w:rsid w:val="00AE37D8"/>
    <w:rsid w:val="00AE5B90"/>
    <w:rsid w:val="00AF0B75"/>
    <w:rsid w:val="00AF4112"/>
    <w:rsid w:val="00B04E42"/>
    <w:rsid w:val="00B10A4F"/>
    <w:rsid w:val="00B15259"/>
    <w:rsid w:val="00B32373"/>
    <w:rsid w:val="00B34C83"/>
    <w:rsid w:val="00B37083"/>
    <w:rsid w:val="00B4084B"/>
    <w:rsid w:val="00B51033"/>
    <w:rsid w:val="00B53E5D"/>
    <w:rsid w:val="00B548D1"/>
    <w:rsid w:val="00B61A96"/>
    <w:rsid w:val="00B71B07"/>
    <w:rsid w:val="00B73D7C"/>
    <w:rsid w:val="00B906B9"/>
    <w:rsid w:val="00B93D34"/>
    <w:rsid w:val="00B964DF"/>
    <w:rsid w:val="00BA110F"/>
    <w:rsid w:val="00BA1A64"/>
    <w:rsid w:val="00BA41BE"/>
    <w:rsid w:val="00BB46CC"/>
    <w:rsid w:val="00BB4E51"/>
    <w:rsid w:val="00BB5E65"/>
    <w:rsid w:val="00BC7ABF"/>
    <w:rsid w:val="00BD1FF0"/>
    <w:rsid w:val="00BD3365"/>
    <w:rsid w:val="00BE2A0A"/>
    <w:rsid w:val="00BF10C3"/>
    <w:rsid w:val="00BF773C"/>
    <w:rsid w:val="00C009BB"/>
    <w:rsid w:val="00C050BD"/>
    <w:rsid w:val="00C177D7"/>
    <w:rsid w:val="00C354F5"/>
    <w:rsid w:val="00C43C79"/>
    <w:rsid w:val="00C452D4"/>
    <w:rsid w:val="00C67ECA"/>
    <w:rsid w:val="00C67F71"/>
    <w:rsid w:val="00C705B9"/>
    <w:rsid w:val="00C7218A"/>
    <w:rsid w:val="00C7345A"/>
    <w:rsid w:val="00C73966"/>
    <w:rsid w:val="00C7607B"/>
    <w:rsid w:val="00C91BC0"/>
    <w:rsid w:val="00C97937"/>
    <w:rsid w:val="00CA4399"/>
    <w:rsid w:val="00CB3547"/>
    <w:rsid w:val="00CB4ED2"/>
    <w:rsid w:val="00CC3F32"/>
    <w:rsid w:val="00CC5E45"/>
    <w:rsid w:val="00CD2798"/>
    <w:rsid w:val="00CD4117"/>
    <w:rsid w:val="00CE4224"/>
    <w:rsid w:val="00CE6973"/>
    <w:rsid w:val="00D02032"/>
    <w:rsid w:val="00D05EF1"/>
    <w:rsid w:val="00D13D6F"/>
    <w:rsid w:val="00D150B4"/>
    <w:rsid w:val="00D213F9"/>
    <w:rsid w:val="00D24F1B"/>
    <w:rsid w:val="00D27131"/>
    <w:rsid w:val="00D31C97"/>
    <w:rsid w:val="00D37431"/>
    <w:rsid w:val="00D42C31"/>
    <w:rsid w:val="00D43342"/>
    <w:rsid w:val="00D4355E"/>
    <w:rsid w:val="00D4617A"/>
    <w:rsid w:val="00D474C3"/>
    <w:rsid w:val="00D53125"/>
    <w:rsid w:val="00D54E3A"/>
    <w:rsid w:val="00D57A46"/>
    <w:rsid w:val="00D64589"/>
    <w:rsid w:val="00D66359"/>
    <w:rsid w:val="00D94B55"/>
    <w:rsid w:val="00DC0FF6"/>
    <w:rsid w:val="00DD5DD7"/>
    <w:rsid w:val="00DE2DB1"/>
    <w:rsid w:val="00DE597B"/>
    <w:rsid w:val="00DF2E35"/>
    <w:rsid w:val="00E007E2"/>
    <w:rsid w:val="00E047F5"/>
    <w:rsid w:val="00E07F6E"/>
    <w:rsid w:val="00E11972"/>
    <w:rsid w:val="00E12176"/>
    <w:rsid w:val="00E12F6F"/>
    <w:rsid w:val="00E21725"/>
    <w:rsid w:val="00E2467B"/>
    <w:rsid w:val="00E27643"/>
    <w:rsid w:val="00E32331"/>
    <w:rsid w:val="00E6451F"/>
    <w:rsid w:val="00E661D8"/>
    <w:rsid w:val="00E71882"/>
    <w:rsid w:val="00E80390"/>
    <w:rsid w:val="00E960D5"/>
    <w:rsid w:val="00EA0F07"/>
    <w:rsid w:val="00EA2679"/>
    <w:rsid w:val="00EA7F7B"/>
    <w:rsid w:val="00EB1957"/>
    <w:rsid w:val="00EB19B3"/>
    <w:rsid w:val="00EB2490"/>
    <w:rsid w:val="00EB55A6"/>
    <w:rsid w:val="00ED4931"/>
    <w:rsid w:val="00EE6E50"/>
    <w:rsid w:val="00EF66F0"/>
    <w:rsid w:val="00EF7900"/>
    <w:rsid w:val="00F02D9C"/>
    <w:rsid w:val="00F04FD6"/>
    <w:rsid w:val="00F176EF"/>
    <w:rsid w:val="00F22435"/>
    <w:rsid w:val="00F2275B"/>
    <w:rsid w:val="00F46DBF"/>
    <w:rsid w:val="00F50938"/>
    <w:rsid w:val="00F65816"/>
    <w:rsid w:val="00FA5733"/>
    <w:rsid w:val="00FA5BDC"/>
    <w:rsid w:val="00FA6597"/>
    <w:rsid w:val="00FB1D45"/>
    <w:rsid w:val="00FB23D8"/>
    <w:rsid w:val="00FC33D5"/>
    <w:rsid w:val="00FE2C1E"/>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791C6"/>
  <w15:chartTrackingRefBased/>
  <w15:docId w15:val="{0D3792FA-7162-4FA8-8A1D-F0F7EB2FA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B2FA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unhideWhenUsed/>
    <w:qFormat/>
    <w:rsid w:val="009B2FA2"/>
    <w:rPr>
      <w:sz w:val="16"/>
      <w:szCs w:val="16"/>
    </w:rPr>
  </w:style>
  <w:style w:type="paragraph" w:styleId="ListParagraph">
    <w:name w:val="List Paragraph"/>
    <w:basedOn w:val="Normal"/>
    <w:uiPriority w:val="34"/>
    <w:qFormat/>
    <w:rsid w:val="009B2FA2"/>
    <w:pPr>
      <w:suppressAutoHyphens/>
      <w:ind w:left="720"/>
      <w:contextualSpacing/>
    </w:pPr>
    <w:rPr>
      <w:rFonts w:eastAsiaTheme="minorEastAsia"/>
      <w:lang w:val="en-US"/>
    </w:rPr>
  </w:style>
  <w:style w:type="paragraph" w:styleId="Footer">
    <w:name w:val="footer"/>
    <w:basedOn w:val="Normal"/>
    <w:link w:val="FooterChar"/>
    <w:uiPriority w:val="99"/>
    <w:unhideWhenUsed/>
    <w:rsid w:val="009B2FA2"/>
    <w:pPr>
      <w:tabs>
        <w:tab w:val="center" w:pos="4680"/>
        <w:tab w:val="right" w:pos="9360"/>
      </w:tabs>
      <w:suppressAutoHyphens/>
      <w:spacing w:after="0" w:line="240" w:lineRule="auto"/>
    </w:pPr>
    <w:rPr>
      <w:rFonts w:eastAsiaTheme="minorEastAsia"/>
      <w:lang w:val="en-US"/>
    </w:rPr>
  </w:style>
  <w:style w:type="character" w:customStyle="1" w:styleId="FooterChar">
    <w:name w:val="Footer Char"/>
    <w:basedOn w:val="DefaultParagraphFont"/>
    <w:link w:val="Footer"/>
    <w:uiPriority w:val="99"/>
    <w:rsid w:val="009B2FA2"/>
    <w:rPr>
      <w:rFonts w:eastAsiaTheme="minorEastAsia"/>
      <w:lang w:val="en-US"/>
    </w:rPr>
  </w:style>
  <w:style w:type="paragraph" w:styleId="CommentText">
    <w:name w:val="annotation text"/>
    <w:basedOn w:val="Normal"/>
    <w:link w:val="CommentTextChar"/>
    <w:uiPriority w:val="99"/>
    <w:unhideWhenUsed/>
    <w:qFormat/>
    <w:rsid w:val="009B2FA2"/>
    <w:pPr>
      <w:suppressAutoHyphens/>
      <w:spacing w:line="240" w:lineRule="auto"/>
    </w:pPr>
    <w:rPr>
      <w:rFonts w:eastAsiaTheme="minorEastAsia"/>
      <w:sz w:val="20"/>
      <w:szCs w:val="20"/>
      <w:lang w:val="en-US"/>
    </w:rPr>
  </w:style>
  <w:style w:type="character" w:customStyle="1" w:styleId="CommentTextChar">
    <w:name w:val="Comment Text Char"/>
    <w:basedOn w:val="DefaultParagraphFont"/>
    <w:link w:val="CommentText"/>
    <w:uiPriority w:val="99"/>
    <w:rsid w:val="009B2FA2"/>
    <w:rPr>
      <w:rFonts w:eastAsiaTheme="minorEastAsia"/>
      <w:sz w:val="20"/>
      <w:szCs w:val="20"/>
      <w:lang w:val="en-US"/>
    </w:rPr>
  </w:style>
  <w:style w:type="paragraph" w:styleId="BalloonText">
    <w:name w:val="Balloon Text"/>
    <w:basedOn w:val="Normal"/>
    <w:link w:val="BalloonTextChar"/>
    <w:uiPriority w:val="99"/>
    <w:semiHidden/>
    <w:unhideWhenUsed/>
    <w:rsid w:val="009B2F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2FA2"/>
    <w:rPr>
      <w:rFonts w:ascii="Segoe UI" w:hAnsi="Segoe UI" w:cs="Segoe UI"/>
      <w:sz w:val="18"/>
      <w:szCs w:val="18"/>
      <w:lang w:val="de-CH"/>
    </w:rPr>
  </w:style>
  <w:style w:type="paragraph" w:styleId="Header">
    <w:name w:val="header"/>
    <w:basedOn w:val="Normal"/>
    <w:link w:val="HeaderChar"/>
    <w:uiPriority w:val="99"/>
    <w:unhideWhenUsed/>
    <w:rsid w:val="000B32C6"/>
    <w:pPr>
      <w:tabs>
        <w:tab w:val="center" w:pos="4536"/>
        <w:tab w:val="right" w:pos="9072"/>
      </w:tabs>
      <w:spacing w:after="0" w:line="240" w:lineRule="auto"/>
    </w:pPr>
  </w:style>
  <w:style w:type="character" w:customStyle="1" w:styleId="HeaderChar">
    <w:name w:val="Header Char"/>
    <w:basedOn w:val="DefaultParagraphFont"/>
    <w:link w:val="Header"/>
    <w:uiPriority w:val="99"/>
    <w:rsid w:val="000B32C6"/>
  </w:style>
  <w:style w:type="character" w:styleId="Hyperlink">
    <w:name w:val="Hyperlink"/>
    <w:basedOn w:val="DefaultParagraphFont"/>
    <w:uiPriority w:val="99"/>
    <w:unhideWhenUsed/>
    <w:rsid w:val="00C7607B"/>
    <w:rPr>
      <w:color w:val="0563C1" w:themeColor="hyperlink"/>
      <w:u w:val="single"/>
    </w:rPr>
  </w:style>
  <w:style w:type="character" w:styleId="UnresolvedMention">
    <w:name w:val="Unresolved Mention"/>
    <w:basedOn w:val="DefaultParagraphFont"/>
    <w:uiPriority w:val="99"/>
    <w:semiHidden/>
    <w:unhideWhenUsed/>
    <w:rsid w:val="00C7607B"/>
    <w:rPr>
      <w:color w:val="605E5C"/>
      <w:shd w:val="clear" w:color="auto" w:fill="E1DFDD"/>
    </w:rPr>
  </w:style>
  <w:style w:type="paragraph" w:styleId="Revision">
    <w:name w:val="Revision"/>
    <w:hidden/>
    <w:uiPriority w:val="99"/>
    <w:semiHidden/>
    <w:rsid w:val="000D5BBA"/>
    <w:pPr>
      <w:spacing w:after="0" w:line="240" w:lineRule="auto"/>
    </w:pPr>
  </w:style>
  <w:style w:type="paragraph" w:styleId="CommentSubject">
    <w:name w:val="annotation subject"/>
    <w:basedOn w:val="CommentText"/>
    <w:next w:val="CommentText"/>
    <w:link w:val="CommentSubjectChar"/>
    <w:uiPriority w:val="99"/>
    <w:semiHidden/>
    <w:unhideWhenUsed/>
    <w:rsid w:val="000D5BBA"/>
    <w:pPr>
      <w:suppressAutoHyphens w:val="0"/>
    </w:pPr>
    <w:rPr>
      <w:rFonts w:eastAsiaTheme="minorHAnsi"/>
      <w:b/>
      <w:bCs/>
      <w:lang w:val="en-GB"/>
    </w:rPr>
  </w:style>
  <w:style w:type="character" w:customStyle="1" w:styleId="CommentSubjectChar">
    <w:name w:val="Comment Subject Char"/>
    <w:basedOn w:val="CommentTextChar"/>
    <w:link w:val="CommentSubject"/>
    <w:uiPriority w:val="99"/>
    <w:semiHidden/>
    <w:rsid w:val="000D5BBA"/>
    <w:rPr>
      <w:rFonts w:eastAsiaTheme="minorEastAsia"/>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8099809">
      <w:bodyDiv w:val="1"/>
      <w:marLeft w:val="0"/>
      <w:marRight w:val="0"/>
      <w:marTop w:val="0"/>
      <w:marBottom w:val="0"/>
      <w:divBdr>
        <w:top w:val="none" w:sz="0" w:space="0" w:color="auto"/>
        <w:left w:val="none" w:sz="0" w:space="0" w:color="auto"/>
        <w:bottom w:val="none" w:sz="0" w:space="0" w:color="auto"/>
        <w:right w:val="none" w:sz="0" w:space="0" w:color="auto"/>
      </w:divBdr>
      <w:divsChild>
        <w:div w:id="1488788668">
          <w:marLeft w:val="0"/>
          <w:marRight w:val="0"/>
          <w:marTop w:val="0"/>
          <w:marBottom w:val="0"/>
          <w:divBdr>
            <w:top w:val="single" w:sz="2" w:space="0" w:color="E3E3E3"/>
            <w:left w:val="single" w:sz="2" w:space="0" w:color="E3E3E3"/>
            <w:bottom w:val="single" w:sz="2" w:space="0" w:color="E3E3E3"/>
            <w:right w:val="single" w:sz="2" w:space="0" w:color="E3E3E3"/>
          </w:divBdr>
          <w:divsChild>
            <w:div w:id="1752923297">
              <w:marLeft w:val="0"/>
              <w:marRight w:val="0"/>
              <w:marTop w:val="0"/>
              <w:marBottom w:val="0"/>
              <w:divBdr>
                <w:top w:val="single" w:sz="2" w:space="0" w:color="E3E3E3"/>
                <w:left w:val="single" w:sz="2" w:space="0" w:color="E3E3E3"/>
                <w:bottom w:val="single" w:sz="2" w:space="0" w:color="E3E3E3"/>
                <w:right w:val="single" w:sz="2" w:space="0" w:color="E3E3E3"/>
              </w:divBdr>
              <w:divsChild>
                <w:div w:id="857743438">
                  <w:marLeft w:val="0"/>
                  <w:marRight w:val="0"/>
                  <w:marTop w:val="0"/>
                  <w:marBottom w:val="0"/>
                  <w:divBdr>
                    <w:top w:val="single" w:sz="2" w:space="0" w:color="E3E3E3"/>
                    <w:left w:val="single" w:sz="2" w:space="0" w:color="E3E3E3"/>
                    <w:bottom w:val="single" w:sz="2" w:space="0" w:color="E3E3E3"/>
                    <w:right w:val="single" w:sz="2" w:space="0" w:color="E3E3E3"/>
                  </w:divBdr>
                  <w:divsChild>
                    <w:div w:id="512376804">
                      <w:marLeft w:val="0"/>
                      <w:marRight w:val="0"/>
                      <w:marTop w:val="0"/>
                      <w:marBottom w:val="0"/>
                      <w:divBdr>
                        <w:top w:val="single" w:sz="2" w:space="0" w:color="E3E3E3"/>
                        <w:left w:val="single" w:sz="2" w:space="0" w:color="E3E3E3"/>
                        <w:bottom w:val="single" w:sz="2" w:space="0" w:color="E3E3E3"/>
                        <w:right w:val="single" w:sz="2" w:space="0" w:color="E3E3E3"/>
                      </w:divBdr>
                      <w:divsChild>
                        <w:div w:id="208340646">
                          <w:marLeft w:val="0"/>
                          <w:marRight w:val="0"/>
                          <w:marTop w:val="0"/>
                          <w:marBottom w:val="0"/>
                          <w:divBdr>
                            <w:top w:val="single" w:sz="2" w:space="0" w:color="E3E3E3"/>
                            <w:left w:val="single" w:sz="2" w:space="0" w:color="E3E3E3"/>
                            <w:bottom w:val="single" w:sz="2" w:space="0" w:color="E3E3E3"/>
                            <w:right w:val="single" w:sz="2" w:space="0" w:color="E3E3E3"/>
                          </w:divBdr>
                          <w:divsChild>
                            <w:div w:id="795219970">
                              <w:marLeft w:val="0"/>
                              <w:marRight w:val="0"/>
                              <w:marTop w:val="100"/>
                              <w:marBottom w:val="100"/>
                              <w:divBdr>
                                <w:top w:val="single" w:sz="2" w:space="0" w:color="E3E3E3"/>
                                <w:left w:val="single" w:sz="2" w:space="0" w:color="E3E3E3"/>
                                <w:bottom w:val="single" w:sz="2" w:space="0" w:color="E3E3E3"/>
                                <w:right w:val="single" w:sz="2" w:space="0" w:color="E3E3E3"/>
                              </w:divBdr>
                              <w:divsChild>
                                <w:div w:id="1839492018">
                                  <w:marLeft w:val="0"/>
                                  <w:marRight w:val="0"/>
                                  <w:marTop w:val="0"/>
                                  <w:marBottom w:val="0"/>
                                  <w:divBdr>
                                    <w:top w:val="single" w:sz="2" w:space="0" w:color="E3E3E3"/>
                                    <w:left w:val="single" w:sz="2" w:space="0" w:color="E3E3E3"/>
                                    <w:bottom w:val="single" w:sz="2" w:space="0" w:color="E3E3E3"/>
                                    <w:right w:val="single" w:sz="2" w:space="0" w:color="E3E3E3"/>
                                  </w:divBdr>
                                  <w:divsChild>
                                    <w:div w:id="751705430">
                                      <w:marLeft w:val="0"/>
                                      <w:marRight w:val="0"/>
                                      <w:marTop w:val="0"/>
                                      <w:marBottom w:val="0"/>
                                      <w:divBdr>
                                        <w:top w:val="single" w:sz="2" w:space="0" w:color="E3E3E3"/>
                                        <w:left w:val="single" w:sz="2" w:space="0" w:color="E3E3E3"/>
                                        <w:bottom w:val="single" w:sz="2" w:space="0" w:color="E3E3E3"/>
                                        <w:right w:val="single" w:sz="2" w:space="0" w:color="E3E3E3"/>
                                      </w:divBdr>
                                      <w:divsChild>
                                        <w:div w:id="859928449">
                                          <w:marLeft w:val="0"/>
                                          <w:marRight w:val="0"/>
                                          <w:marTop w:val="0"/>
                                          <w:marBottom w:val="0"/>
                                          <w:divBdr>
                                            <w:top w:val="single" w:sz="2" w:space="0" w:color="E3E3E3"/>
                                            <w:left w:val="single" w:sz="2" w:space="0" w:color="E3E3E3"/>
                                            <w:bottom w:val="single" w:sz="2" w:space="0" w:color="E3E3E3"/>
                                            <w:right w:val="single" w:sz="2" w:space="0" w:color="E3E3E3"/>
                                          </w:divBdr>
                                          <w:divsChild>
                                            <w:div w:id="1459299155">
                                              <w:marLeft w:val="0"/>
                                              <w:marRight w:val="0"/>
                                              <w:marTop w:val="0"/>
                                              <w:marBottom w:val="0"/>
                                              <w:divBdr>
                                                <w:top w:val="single" w:sz="2" w:space="0" w:color="E3E3E3"/>
                                                <w:left w:val="single" w:sz="2" w:space="0" w:color="E3E3E3"/>
                                                <w:bottom w:val="single" w:sz="2" w:space="0" w:color="E3E3E3"/>
                                                <w:right w:val="single" w:sz="2" w:space="0" w:color="E3E3E3"/>
                                              </w:divBdr>
                                              <w:divsChild>
                                                <w:div w:id="181671292">
                                                  <w:marLeft w:val="0"/>
                                                  <w:marRight w:val="0"/>
                                                  <w:marTop w:val="0"/>
                                                  <w:marBottom w:val="0"/>
                                                  <w:divBdr>
                                                    <w:top w:val="single" w:sz="2" w:space="0" w:color="E3E3E3"/>
                                                    <w:left w:val="single" w:sz="2" w:space="0" w:color="E3E3E3"/>
                                                    <w:bottom w:val="single" w:sz="2" w:space="0" w:color="E3E3E3"/>
                                                    <w:right w:val="single" w:sz="2" w:space="0" w:color="E3E3E3"/>
                                                  </w:divBdr>
                                                  <w:divsChild>
                                                    <w:div w:id="14633048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17568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2405844024035783?via%3Dihub"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25B7B-4225-41D1-BA7B-1CC60534B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1363</Words>
  <Characters>7774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11</cp:revision>
  <cp:lastPrinted>2024-04-04T10:31:00Z</cp:lastPrinted>
  <dcterms:created xsi:type="dcterms:W3CDTF">2024-04-04T11:39:00Z</dcterms:created>
  <dcterms:modified xsi:type="dcterms:W3CDTF">2024-04-04T13:56:00Z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http://www.zotero.org/styles/angewandte-chemie</vt:lpwstr>
  </property>
  <property fmtid="{D5CDD505-2E9C-101B-9397-08002B2CF9AE}" pid="9" name="Mendeley Recent Style Name 3_1">
    <vt:lpwstr>Angewandte Chemie International Edition</vt:lpwstr>
  </property>
  <property fmtid="{D5CDD505-2E9C-101B-9397-08002B2CF9AE}" pid="10" name="Mendeley Recent Style Id 4_1">
    <vt:lpwstr>http://www.zotero.org/styles/chem-catalysis</vt:lpwstr>
  </property>
  <property fmtid="{D5CDD505-2E9C-101B-9397-08002B2CF9AE}" pid="11" name="Mendeley Recent Style Name 4_1">
    <vt:lpwstr>Chem Catalysis</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http://csl.mendeley.com/styles/402087091/nature-2</vt:lpwstr>
  </property>
  <property fmtid="{D5CDD505-2E9C-101B-9397-08002B2CF9AE}" pid="19" name="Mendeley Recent Style Name 8_1">
    <vt:lpwstr>Nature - Antonio Martín</vt:lpwstr>
  </property>
  <property fmtid="{D5CDD505-2E9C-101B-9397-08002B2CF9AE}" pid="20" name="Mendeley Recent Style Id 9_1">
    <vt:lpwstr>http://www.zotero.org/styles/royal-society-of-chemistry</vt:lpwstr>
  </property>
  <property fmtid="{D5CDD505-2E9C-101B-9397-08002B2CF9AE}" pid="21" name="Mendeley Recent Style Name 9_1">
    <vt:lpwstr>Royal Society of Chemistry</vt:lpwstr>
  </property>
</Properties>
</file>