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4DE67F" w14:textId="7411D85C" w:rsidR="00DD3D9E" w:rsidRPr="00B4388F" w:rsidRDefault="00091837">
      <w:pPr>
        <w:pStyle w:val="Els-Title"/>
        <w:rPr>
          <w:color w:val="000000" w:themeColor="text1"/>
        </w:rPr>
      </w:pPr>
      <w:r>
        <w:rPr>
          <w:color w:val="000000" w:themeColor="text1"/>
        </w:rPr>
        <w:t>Prospective life cycle analysis of green platform chemicals uncovers their full environmental potential</w:t>
      </w:r>
    </w:p>
    <w:p w14:paraId="144DE680" w14:textId="22EDCA26" w:rsidR="00DD3D9E" w:rsidRDefault="00BD2651">
      <w:pPr>
        <w:pStyle w:val="Els-Author"/>
      </w:pPr>
      <w:r>
        <w:t>Abhinandan Nabera,</w:t>
      </w:r>
      <w:r w:rsidRPr="00BD2651">
        <w:rPr>
          <w:vertAlign w:val="superscript"/>
        </w:rPr>
        <w:t>a</w:t>
      </w:r>
      <w:r>
        <w:t xml:space="preserve"> Ioan</w:t>
      </w:r>
      <w:r>
        <w:noBreakHyphen/>
        <w:t>Robert Istrate,</w:t>
      </w:r>
      <w:r w:rsidRPr="00BD2651">
        <w:rPr>
          <w:vertAlign w:val="superscript"/>
        </w:rPr>
        <w:t>b</w:t>
      </w:r>
      <w:r>
        <w:t xml:space="preserve"> </w:t>
      </w:r>
      <w:r w:rsidRPr="00BD2651">
        <w:t>Antonio</w:t>
      </w:r>
      <w:r>
        <w:t> </w:t>
      </w:r>
      <w:r w:rsidRPr="00BD2651">
        <w:t>José</w:t>
      </w:r>
      <w:r>
        <w:t> </w:t>
      </w:r>
      <w:r w:rsidRPr="00BD2651">
        <w:t>Martín,</w:t>
      </w:r>
      <w:r w:rsidRPr="00BD2651">
        <w:rPr>
          <w:vertAlign w:val="superscript"/>
        </w:rPr>
        <w:t>a</w:t>
      </w:r>
      <w:r>
        <w:t xml:space="preserve"> </w:t>
      </w:r>
      <w:r w:rsidRPr="00BD2651">
        <w:t>Javier</w:t>
      </w:r>
      <w:r>
        <w:t> </w:t>
      </w:r>
      <w:r w:rsidRPr="00BD2651">
        <w:t>Pérez</w:t>
      </w:r>
      <w:r>
        <w:noBreakHyphen/>
      </w:r>
      <w:r w:rsidRPr="00BD2651">
        <w:t>Ramírez,</w:t>
      </w:r>
      <w:r w:rsidRPr="00BD2651">
        <w:rPr>
          <w:vertAlign w:val="superscript"/>
        </w:rPr>
        <w:t>a,</w:t>
      </w:r>
      <w:r w:rsidRPr="00CF078F">
        <w:t>*</w:t>
      </w:r>
      <w:r w:rsidRPr="00BD2651">
        <w:t xml:space="preserve"> Gonzalo Guillén-Gosálbez</w:t>
      </w:r>
      <w:r w:rsidRPr="00BD2651">
        <w:rPr>
          <w:vertAlign w:val="superscript"/>
        </w:rPr>
        <w:t>a,</w:t>
      </w:r>
      <w:r w:rsidRPr="00CF078F">
        <w:t>*</w:t>
      </w:r>
    </w:p>
    <w:p w14:paraId="7B27AF16" w14:textId="693083AB" w:rsidR="002F053D" w:rsidRPr="002F053D" w:rsidRDefault="002F053D" w:rsidP="002F053D">
      <w:pPr>
        <w:pStyle w:val="Els-Affiliation"/>
        <w:rPr>
          <w:lang w:val="en-US"/>
        </w:rPr>
      </w:pPr>
      <w:r w:rsidRPr="002F053D">
        <w:rPr>
          <w:vertAlign w:val="superscript"/>
          <w:lang w:val="en-US"/>
        </w:rPr>
        <w:t>a</w:t>
      </w:r>
      <w:r w:rsidRPr="002F053D">
        <w:rPr>
          <w:lang w:val="en-US"/>
        </w:rPr>
        <w:t>Department of Chemistry and Applied Biosciences, ETH Zurich, 8093 Zurich, Switzerland</w:t>
      </w:r>
    </w:p>
    <w:p w14:paraId="237B0D16" w14:textId="42C386A0" w:rsidR="007C4353" w:rsidRPr="007C4353" w:rsidRDefault="007C4353" w:rsidP="007C4353">
      <w:pPr>
        <w:pStyle w:val="Els-Affiliation"/>
        <w:rPr>
          <w:lang w:val="en-US"/>
        </w:rPr>
      </w:pPr>
      <w:r w:rsidRPr="007C4353">
        <w:rPr>
          <w:vertAlign w:val="superscript"/>
          <w:lang w:val="en-US"/>
        </w:rPr>
        <w:t>b</w:t>
      </w:r>
      <w:r w:rsidRPr="007C4353">
        <w:rPr>
          <w:lang w:val="en-US"/>
        </w:rPr>
        <w:t>Institute of Environmental Sciences (CML), Leiden University, 2333 CC Leiden, The Netherlands</w:t>
      </w:r>
    </w:p>
    <w:p w14:paraId="144DE683" w14:textId="44388B5F" w:rsidR="008D2649" w:rsidRPr="00A94774" w:rsidRDefault="00702780" w:rsidP="008D2649">
      <w:pPr>
        <w:pStyle w:val="Els-Affiliation"/>
        <w:spacing w:after="120"/>
      </w:pPr>
      <w:r w:rsidRPr="00CF078F">
        <w:t>*</w:t>
      </w:r>
      <w:r w:rsidRPr="00702780">
        <w:t>jpr@chem.ethz.ch</w:t>
      </w:r>
      <w:r>
        <w:t>, gonzalo.guillen.gosalbez@chem.ethz.ch</w:t>
      </w:r>
    </w:p>
    <w:p w14:paraId="144DE684" w14:textId="77777777" w:rsidR="008D2649" w:rsidRDefault="008D2649" w:rsidP="008D2649">
      <w:pPr>
        <w:pStyle w:val="Els-Abstract"/>
      </w:pPr>
      <w:r>
        <w:t>Abstract</w:t>
      </w:r>
    </w:p>
    <w:p w14:paraId="144DE686" w14:textId="0B1C195C" w:rsidR="008D2649" w:rsidRPr="002B1333" w:rsidRDefault="001A7816" w:rsidP="008D2649">
      <w:pPr>
        <w:pStyle w:val="Els-body-text"/>
        <w:spacing w:after="120"/>
        <w:rPr>
          <w:lang w:val="de-CH"/>
        </w:rPr>
      </w:pPr>
      <w:r w:rsidRPr="002B1333">
        <w:rPr>
          <w:lang w:val="en-GB"/>
        </w:rPr>
        <w:t>Conventional routes for producing chemicals</w:t>
      </w:r>
      <w:r w:rsidR="00BD3A16" w:rsidRPr="002B1333">
        <w:rPr>
          <w:lang w:val="en-GB"/>
        </w:rPr>
        <w:t>,</w:t>
      </w:r>
      <w:r w:rsidRPr="002B1333">
        <w:rPr>
          <w:lang w:val="en-GB"/>
        </w:rPr>
        <w:t xml:space="preserve"> such as ammonia and methanol</w:t>
      </w:r>
      <w:r w:rsidR="00BD3A16" w:rsidRPr="002B1333">
        <w:rPr>
          <w:lang w:val="en-GB"/>
        </w:rPr>
        <w:t>,</w:t>
      </w:r>
      <w:r w:rsidRPr="002B1333">
        <w:rPr>
          <w:lang w:val="en-GB"/>
        </w:rPr>
        <w:t xml:space="preserve"> </w:t>
      </w:r>
      <w:r w:rsidR="00B96FD8" w:rsidRPr="002B1333">
        <w:rPr>
          <w:lang w:val="en-GB"/>
        </w:rPr>
        <w:t xml:space="preserve">heavily </w:t>
      </w:r>
      <w:r w:rsidR="000E0BA4" w:rsidRPr="002B1333">
        <w:rPr>
          <w:lang w:val="en-GB"/>
        </w:rPr>
        <w:t>rely</w:t>
      </w:r>
      <w:r w:rsidRPr="002B1333">
        <w:rPr>
          <w:lang w:val="en-GB"/>
        </w:rPr>
        <w:t xml:space="preserve"> on </w:t>
      </w:r>
      <w:r w:rsidR="00B96FD8" w:rsidRPr="002B1333">
        <w:rPr>
          <w:lang w:val="en-GB"/>
        </w:rPr>
        <w:t>fossil</w:t>
      </w:r>
      <w:r w:rsidR="00B96FD8" w:rsidRPr="002B1333">
        <w:rPr>
          <w:lang w:val="en-GB"/>
        </w:rPr>
        <w:noBreakHyphen/>
        <w:t>based catalytic processes</w:t>
      </w:r>
      <w:r w:rsidRPr="002B1333">
        <w:rPr>
          <w:lang w:val="en-GB"/>
        </w:rPr>
        <w:t>.</w:t>
      </w:r>
      <w:r w:rsidR="006D52ED" w:rsidRPr="002B1333">
        <w:rPr>
          <w:lang w:val="en-GB"/>
        </w:rPr>
        <w:t xml:space="preserve"> Recently, emerging technologies have </w:t>
      </w:r>
      <w:r w:rsidR="000E0BA4" w:rsidRPr="002B1333">
        <w:rPr>
          <w:lang w:val="en-GB"/>
        </w:rPr>
        <w:t>played</w:t>
      </w:r>
      <w:r w:rsidR="006D52ED" w:rsidRPr="002B1333">
        <w:rPr>
          <w:lang w:val="en-GB"/>
        </w:rPr>
        <w:t xml:space="preserve"> a pivotal role in </w:t>
      </w:r>
      <w:r w:rsidR="000415B9" w:rsidRPr="002B1333">
        <w:rPr>
          <w:lang w:val="en-GB"/>
        </w:rPr>
        <w:t>advancing</w:t>
      </w:r>
      <w:r w:rsidR="006D52ED" w:rsidRPr="002B1333">
        <w:rPr>
          <w:lang w:val="en-GB"/>
        </w:rPr>
        <w:t xml:space="preserve"> low</w:t>
      </w:r>
      <w:r w:rsidR="006D52ED" w:rsidRPr="002B1333">
        <w:rPr>
          <w:lang w:val="en-GB"/>
        </w:rPr>
        <w:noBreakHyphen/>
        <w:t>carbon production pathways for these chemicals</w:t>
      </w:r>
      <w:r w:rsidR="00B96FD8" w:rsidRPr="002B1333">
        <w:rPr>
          <w:lang w:val="en-GB"/>
        </w:rPr>
        <w:t xml:space="preserve">. </w:t>
      </w:r>
      <w:r w:rsidR="00916831" w:rsidRPr="002B1333">
        <w:rPr>
          <w:lang w:val="en-GB"/>
        </w:rPr>
        <w:t xml:space="preserve">However, </w:t>
      </w:r>
      <w:r w:rsidR="00DA4641" w:rsidRPr="002B1333">
        <w:rPr>
          <w:lang w:val="en-GB"/>
        </w:rPr>
        <w:t>proposed</w:t>
      </w:r>
      <w:r w:rsidR="009876AE" w:rsidRPr="002B1333">
        <w:rPr>
          <w:lang w:val="en-GB"/>
        </w:rPr>
        <w:t xml:space="preserve"> climate policies have set ambitious targets that entail transformations in the economic landscape, including transportation systems and </w:t>
      </w:r>
      <w:r w:rsidR="00064E67" w:rsidRPr="002B1333">
        <w:rPr>
          <w:lang w:val="en-GB"/>
        </w:rPr>
        <w:t xml:space="preserve">the </w:t>
      </w:r>
      <w:r w:rsidR="009876AE" w:rsidRPr="002B1333">
        <w:rPr>
          <w:lang w:val="en-GB"/>
        </w:rPr>
        <w:t xml:space="preserve">decarbonization of energy. Disregarding these shifts when assessing the environmental performance of chemical production could lead to spurious conclusions. Hence, in this study, </w:t>
      </w:r>
      <w:r w:rsidR="00D33EC8" w:rsidRPr="002B1333">
        <w:rPr>
          <w:lang w:val="en-GB"/>
        </w:rPr>
        <w:t xml:space="preserve">we conduct a prospective </w:t>
      </w:r>
      <w:r w:rsidR="00BB2CE2">
        <w:rPr>
          <w:lang w:val="en-GB"/>
        </w:rPr>
        <w:t>life cycle assessment (LCA)</w:t>
      </w:r>
      <w:r w:rsidR="00D33EC8" w:rsidRPr="002B1333">
        <w:rPr>
          <w:lang w:val="en-GB"/>
        </w:rPr>
        <w:t xml:space="preserve"> </w:t>
      </w:r>
      <w:r w:rsidR="00B7695B" w:rsidRPr="002B1333">
        <w:rPr>
          <w:lang w:val="en-GB"/>
        </w:rPr>
        <w:t xml:space="preserve">until 2050 </w:t>
      </w:r>
      <w:r w:rsidR="00D33EC8" w:rsidRPr="002B1333">
        <w:rPr>
          <w:lang w:val="en-GB"/>
        </w:rPr>
        <w:t>within the framework of climate policies aiming to limit global temperature rise to 1.5 </w:t>
      </w:r>
      <w:r w:rsidR="00D33EC8" w:rsidRPr="002B1333">
        <w:t>°</w:t>
      </w:r>
      <w:r w:rsidR="00D33EC8" w:rsidRPr="002B1333">
        <w:rPr>
          <w:lang w:val="en-GB"/>
        </w:rPr>
        <w:t>C</w:t>
      </w:r>
      <w:r w:rsidR="00DA4641" w:rsidRPr="002B1333">
        <w:rPr>
          <w:lang w:val="en-GB"/>
        </w:rPr>
        <w:t xml:space="preserve"> or</w:t>
      </w:r>
      <w:r w:rsidR="00D33EC8" w:rsidRPr="002B1333">
        <w:rPr>
          <w:lang w:val="en-GB"/>
        </w:rPr>
        <w:t xml:space="preserve"> 2 </w:t>
      </w:r>
      <w:r w:rsidR="00D33EC8" w:rsidRPr="002B1333">
        <w:t>°</w:t>
      </w:r>
      <w:r w:rsidR="00D33EC8" w:rsidRPr="002B1333">
        <w:rPr>
          <w:lang w:val="en-GB"/>
        </w:rPr>
        <w:t xml:space="preserve">C across 26 regions worldwide. </w:t>
      </w:r>
      <w:r w:rsidR="00B7695B" w:rsidRPr="002B1333">
        <w:rPr>
          <w:lang w:val="en-GB"/>
        </w:rPr>
        <w:t xml:space="preserve">Our findings reveal that green pathways for ammonia and methanol production exhibit a significant reduction in environmental impacts </w:t>
      </w:r>
      <w:r w:rsidR="00874E79">
        <w:rPr>
          <w:lang w:val="en-GB"/>
        </w:rPr>
        <w:t>by 2050</w:t>
      </w:r>
      <w:r w:rsidR="00B7695B" w:rsidRPr="002B1333">
        <w:rPr>
          <w:lang w:val="en-GB"/>
        </w:rPr>
        <w:t xml:space="preserve"> </w:t>
      </w:r>
      <w:r w:rsidR="00BD3A16" w:rsidRPr="002B1333">
        <w:rPr>
          <w:lang w:val="en-GB"/>
        </w:rPr>
        <w:t>compared</w:t>
      </w:r>
      <w:r w:rsidR="00A055D0" w:rsidRPr="002B1333">
        <w:rPr>
          <w:lang w:val="en-GB"/>
        </w:rPr>
        <w:t xml:space="preserve"> to their</w:t>
      </w:r>
      <w:r w:rsidR="00B7695B" w:rsidRPr="002B1333">
        <w:rPr>
          <w:lang w:val="en-GB"/>
        </w:rPr>
        <w:t xml:space="preserve"> fossil</w:t>
      </w:r>
      <w:r w:rsidR="00B7695B" w:rsidRPr="002B1333">
        <w:rPr>
          <w:lang w:val="en-GB"/>
        </w:rPr>
        <w:noBreakHyphen/>
        <w:t>based counterparts</w:t>
      </w:r>
      <w:r w:rsidR="00876942" w:rsidRPr="002B1333">
        <w:rPr>
          <w:lang w:val="en-GB"/>
        </w:rPr>
        <w:t>, with solar</w:t>
      </w:r>
      <w:r w:rsidR="00876942" w:rsidRPr="002B1333">
        <w:rPr>
          <w:lang w:val="en-GB"/>
        </w:rPr>
        <w:noBreakHyphen/>
        <w:t xml:space="preserve">based routes being </w:t>
      </w:r>
      <w:r w:rsidR="00213844" w:rsidRPr="002B1333">
        <w:rPr>
          <w:lang w:val="en-GB"/>
        </w:rPr>
        <w:t xml:space="preserve">the </w:t>
      </w:r>
      <w:r w:rsidR="00876942" w:rsidRPr="002B1333">
        <w:rPr>
          <w:lang w:val="en-GB"/>
        </w:rPr>
        <w:t>most beneficial</w:t>
      </w:r>
      <w:r w:rsidR="00B7695B" w:rsidRPr="002B1333">
        <w:rPr>
          <w:lang w:val="en-GB"/>
        </w:rPr>
        <w:t xml:space="preserve">. </w:t>
      </w:r>
      <w:r w:rsidR="00CC2DEF" w:rsidRPr="002B1333">
        <w:rPr>
          <w:lang w:val="en-GB"/>
        </w:rPr>
        <w:t xml:space="preserve">Overall, this study will guide stakeholders </w:t>
      </w:r>
      <w:r w:rsidR="00225A5B" w:rsidRPr="002B1333">
        <w:rPr>
          <w:lang w:val="en-GB"/>
        </w:rPr>
        <w:t>in making</w:t>
      </w:r>
      <w:r w:rsidR="00CC2DEF" w:rsidRPr="002B1333">
        <w:rPr>
          <w:lang w:val="en-GB"/>
        </w:rPr>
        <w:t xml:space="preserve"> optimal decisions, accelerating the shift towards a sustainable chemical industry.</w:t>
      </w:r>
    </w:p>
    <w:p w14:paraId="144DE687" w14:textId="49ACF2E5" w:rsidR="008D2649" w:rsidRDefault="008D2649" w:rsidP="008D2649">
      <w:pPr>
        <w:pStyle w:val="Els-body-text"/>
        <w:spacing w:after="120"/>
        <w:rPr>
          <w:lang w:val="en-GB"/>
        </w:rPr>
      </w:pPr>
      <w:r>
        <w:rPr>
          <w:b/>
          <w:bCs/>
          <w:lang w:val="en-GB"/>
        </w:rPr>
        <w:t>Keywords</w:t>
      </w:r>
      <w:r>
        <w:rPr>
          <w:lang w:val="en-GB"/>
        </w:rPr>
        <w:t xml:space="preserve">: </w:t>
      </w:r>
      <w:r w:rsidR="001D1524">
        <w:rPr>
          <w:lang w:val="en-GB"/>
        </w:rPr>
        <w:t>climate policies, platform chemicals, prospective life cycle assessment</w:t>
      </w:r>
      <w:r>
        <w:rPr>
          <w:lang w:val="en-GB"/>
        </w:rPr>
        <w:t>.</w:t>
      </w:r>
    </w:p>
    <w:p w14:paraId="144DE689" w14:textId="08D0F4C9" w:rsidR="008D2649" w:rsidRDefault="00B96FD8" w:rsidP="008D2649">
      <w:pPr>
        <w:pStyle w:val="Els-1storder-head"/>
      </w:pPr>
      <w:r>
        <w:t>Introduction</w:t>
      </w:r>
    </w:p>
    <w:p w14:paraId="534B68DC" w14:textId="18BB8117" w:rsidR="00E422A2" w:rsidRPr="00E422A2" w:rsidRDefault="00E422A2" w:rsidP="00E422A2">
      <w:pPr>
        <w:pStyle w:val="Els-body-text"/>
      </w:pPr>
      <w:r>
        <w:t xml:space="preserve">The chemical industry </w:t>
      </w:r>
      <w:r w:rsidR="00CA72D0">
        <w:t>poses a formidable challenge towards decarbonization, primarily due to its heavy reliance on fossil fuels, leading to 5.6 Gt CO2</w:t>
      </w:r>
      <w:r w:rsidR="00CA72D0">
        <w:noBreakHyphen/>
        <w:t>eq</w:t>
      </w:r>
      <w:r w:rsidR="00053775">
        <w:t xml:space="preserve">, accounting for </w:t>
      </w:r>
      <w:r w:rsidR="00CA72D0">
        <w:t>10% of global GHG emissions</w:t>
      </w:r>
      <w:r w:rsidR="00053775">
        <w:t xml:space="preserve"> </w:t>
      </w:r>
      <w:r w:rsidR="00053775">
        <w:fldChar w:fldCharType="begin"/>
      </w:r>
      <w:r w:rsidR="00053775">
        <w:instrText xml:space="preserve"> ADDIN ZOTERO_ITEM CSL_CITATION {"citationID":"tImdQC0f","properties":{"formattedCitation":"(Bauer et al., 2023)","plainCitation":"(Bauer et al., 2023)","noteIndex":0},"citationItems":[{"id":189,"uris":["http://zotero.org/users/local/gMmtBwrT/items/DGN7SFQM"],"itemData":{"id":189,"type":"article-journal","abstract":"Chemicals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Engineering","DOI":"https://doi.org/10.1016/j.coche.2022.100881","ISSN":"2211-3398","page":"100881","title":"Mapping GHG emissions and prospects for renewable energy in the chemical industry","volume":"39","author":[{"family":"Bauer","given":"Fredric"},{"family":"Tilsted","given":"Joachim P."},{"family":"Pfister","given":"Stephan"},{"family":"Oberschelp","given":"Christopher"},{"family":"Kulionis","given":"Viktoras"}],"issued":{"date-parts":[["2023"]]}}}],"schema":"https://github.com/citation-style-language/schema/raw/master/csl-citation.json"} </w:instrText>
      </w:r>
      <w:r w:rsidR="00053775">
        <w:fldChar w:fldCharType="separate"/>
      </w:r>
      <w:r w:rsidR="002E1665" w:rsidRPr="002E1665">
        <w:t>(Bauer et al., 2023)</w:t>
      </w:r>
      <w:r w:rsidR="00053775">
        <w:fldChar w:fldCharType="end"/>
      </w:r>
      <w:r w:rsidR="00CA72D0">
        <w:t>. Moreover, only one</w:t>
      </w:r>
      <w:r w:rsidR="00CA72D0">
        <w:noBreakHyphen/>
        <w:t xml:space="preserve">third of these emissions are direct, with the remaining attributed to energy acquisition and the upstream value chain, highlight the industry’s dependence on global energy systems and supply chains. However, this challenge also presents an opportunity to reduce a significant portion of the environmental impacts associated with chemical production through decarbonization efforts in other key economic sectors. In recent times there have been rapid technological </w:t>
      </w:r>
      <w:r w:rsidR="00CA72D0">
        <w:lastRenderedPageBreak/>
        <w:t>advancements in response to decarbonization challenges and climate policies aligned with the goals set by the Paris Agreement. In this context, key platform chemicals such as ammonia and methanol play a crucial role in reducing emissions due to their large production volumes and diverse applications. Historically, several studies have evaluated low</w:t>
      </w:r>
      <w:r w:rsidR="00CA72D0">
        <w:noBreakHyphen/>
        <w:t>carbon production routes for both ammonia and methanol utilizing renewable carbon and hydrogen</w:t>
      </w:r>
      <w:r w:rsidR="00CA72D0">
        <w:noBreakHyphen/>
        <w:t>based feedstocks</w:t>
      </w:r>
      <w:r w:rsidR="00053775">
        <w:t xml:space="preserve"> </w:t>
      </w:r>
      <w:r w:rsidR="00053775">
        <w:fldChar w:fldCharType="begin"/>
      </w:r>
      <w:r w:rsidR="00D51DF6">
        <w:instrText xml:space="preserve"> ADDIN ZOTERO_ITEM CSL_CITATION {"citationID":"4mNDfCjE","properties":{"formattedCitation":"(D\\uc0\\u8217{}Angelo et al., 2021)","plainCitation":"(D’Angelo et al., 2021)","noteIndex":0},"citationItems":[{"id":301,"uris":["http://zotero.org/users/local/gMmtBwrT/items/PZCWKF83"],"itemData":{"id":301,"type":"article-journal","abstract":"At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053775">
        <w:fldChar w:fldCharType="separate"/>
      </w:r>
      <w:r w:rsidR="00D51DF6" w:rsidRPr="00D51DF6">
        <w:rPr>
          <w:szCs w:val="24"/>
        </w:rPr>
        <w:t>(D’Angelo et al., 2021)</w:t>
      </w:r>
      <w:r w:rsidR="00053775">
        <w:fldChar w:fldCharType="end"/>
      </w:r>
      <w:r w:rsidR="00CA72D0">
        <w:t xml:space="preserve">. These analyses have consistently highlighted the environmental superiority of green routes over their fossil counterparts. However, the majority of these LCA studies often assume that chemical production occurs under the existing energy system </w:t>
      </w:r>
      <w:r w:rsidR="00BB2CE2">
        <w:t xml:space="preserve">and global supply chains, neglecting forthcoming decarbonization efforts. Therefore, disregarding a comprehensive analysis of chemical production in the context of a decarbonizing global economy could lead policymakers and stakeholders to make suboptimal decisions. Hence, in this work, we evaluate the environmental impacts of fossil and green ammonia and methanol pathways until 2050. We </w:t>
      </w:r>
      <w:r w:rsidR="00907F5D">
        <w:t>particularly consider</w:t>
      </w:r>
      <w:r w:rsidR="00BB2CE2">
        <w:t xml:space="preserve"> </w:t>
      </w:r>
      <w:r w:rsidR="00907F5D">
        <w:t xml:space="preserve">anticipated </w:t>
      </w:r>
      <w:r w:rsidR="00BB2CE2">
        <w:t>changes in power, materials, and transportation sectors under three climate scenarios: a baseline scenario (3.5 </w:t>
      </w:r>
      <w:r w:rsidR="00907F5D" w:rsidRPr="002B1333">
        <w:t>°</w:t>
      </w:r>
      <w:r w:rsidR="00BB2CE2">
        <w:t>C), and two scenarios aiming to limit global warming below 2 </w:t>
      </w:r>
      <w:r w:rsidR="00907F5D" w:rsidRPr="002B1333">
        <w:t>°</w:t>
      </w:r>
      <w:r w:rsidR="00BB2CE2">
        <w:t>C and 1.5 </w:t>
      </w:r>
      <w:r w:rsidR="00907F5D" w:rsidRPr="002B1333">
        <w:t>°</w:t>
      </w:r>
      <w:r w:rsidR="00BB2CE2">
        <w:t xml:space="preserve">C, respectively. Furthermore, </w:t>
      </w:r>
      <w:r w:rsidR="00AF7F60">
        <w:t xml:space="preserve">we </w:t>
      </w:r>
      <w:r w:rsidR="003A72A8">
        <w:t>highlight the significance of location</w:t>
      </w:r>
      <w:r w:rsidR="00AF7F60">
        <w:t>s</w:t>
      </w:r>
      <w:r w:rsidR="003A72A8">
        <w:t xml:space="preserve"> in decision</w:t>
      </w:r>
      <w:r w:rsidR="003A72A8">
        <w:noBreakHyphen/>
        <w:t xml:space="preserve">making, </w:t>
      </w:r>
      <w:r w:rsidR="00874E79">
        <w:t>by performing a temporal region</w:t>
      </w:r>
      <w:r w:rsidR="00874E79">
        <w:noBreakHyphen/>
        <w:t xml:space="preserve">specific prospective LCA for 26 regions worldwide. </w:t>
      </w:r>
      <w:r w:rsidR="009727E7">
        <w:t>Our</w:t>
      </w:r>
      <w:r w:rsidR="00874E79">
        <w:t xml:space="preserve"> results provide a broader perspective on the environmental performance of various chemical production methods, highlighting the sustainability potential of both fossil and renewable carbon</w:t>
      </w:r>
      <w:r w:rsidR="00874E79">
        <w:noBreakHyphen/>
        <w:t>based chemicals under plausible future socio</w:t>
      </w:r>
      <w:r w:rsidR="00874E79">
        <w:noBreakHyphen/>
        <w:t>economic and technological scenarios.</w:t>
      </w:r>
    </w:p>
    <w:p w14:paraId="144DE699" w14:textId="7E2D8467" w:rsidR="008D2649" w:rsidRDefault="00B96FD8" w:rsidP="008D2649">
      <w:pPr>
        <w:pStyle w:val="Els-1storder-head"/>
      </w:pPr>
      <w:r>
        <w:t>Methods</w:t>
      </w:r>
    </w:p>
    <w:p w14:paraId="24A330CE" w14:textId="042640F7" w:rsidR="001572DC" w:rsidRPr="002B1333" w:rsidRDefault="001572DC" w:rsidP="001572DC">
      <w:pPr>
        <w:pStyle w:val="Els-1storder-head"/>
        <w:numPr>
          <w:ilvl w:val="0"/>
          <w:numId w:val="0"/>
        </w:numPr>
        <w:spacing w:before="0"/>
        <w:rPr>
          <w:sz w:val="20"/>
          <w:lang w:val="en-GB"/>
        </w:rPr>
      </w:pPr>
      <w:r w:rsidRPr="002B1333">
        <w:rPr>
          <w:b w:val="0"/>
          <w:sz w:val="20"/>
        </w:rPr>
        <w:t xml:space="preserve">We </w:t>
      </w:r>
      <w:r w:rsidR="004546D4">
        <w:rPr>
          <w:b w:val="0"/>
          <w:sz w:val="20"/>
        </w:rPr>
        <w:t>employ</w:t>
      </w:r>
      <w:r w:rsidRPr="002B1333">
        <w:rPr>
          <w:b w:val="0"/>
          <w:sz w:val="20"/>
        </w:rPr>
        <w:t xml:space="preserve"> the IMAGE Integrated Assessment Model (IAM) to </w:t>
      </w:r>
      <w:r w:rsidR="004546D4">
        <w:rPr>
          <w:b w:val="0"/>
          <w:sz w:val="20"/>
        </w:rPr>
        <w:t>evaluate</w:t>
      </w:r>
      <w:r w:rsidRPr="002B1333">
        <w:rPr>
          <w:b w:val="0"/>
          <w:sz w:val="20"/>
        </w:rPr>
        <w:t xml:space="preserve"> the environmental performance of both fossil and green pathways for ammonia and methanol production. This enables us to </w:t>
      </w:r>
      <w:r w:rsidR="004546D4">
        <w:rPr>
          <w:b w:val="0"/>
          <w:sz w:val="20"/>
        </w:rPr>
        <w:t>project</w:t>
      </w:r>
      <w:r w:rsidRPr="002B1333">
        <w:rPr>
          <w:b w:val="0"/>
          <w:sz w:val="20"/>
        </w:rPr>
        <w:t xml:space="preserve"> potential economic scenarios and provide insights into the environmental impacts based on expected socio</w:t>
      </w:r>
      <w:r w:rsidRPr="002B1333">
        <w:rPr>
          <w:b w:val="0"/>
          <w:sz w:val="20"/>
        </w:rPr>
        <w:noBreakHyphen/>
        <w:t xml:space="preserve">economic and technological advancements. </w:t>
      </w:r>
      <w:r w:rsidR="004546D4">
        <w:rPr>
          <w:b w:val="0"/>
          <w:sz w:val="20"/>
        </w:rPr>
        <w:t>Specifically</w:t>
      </w:r>
      <w:r w:rsidRPr="002B1333">
        <w:rPr>
          <w:b w:val="0"/>
          <w:sz w:val="20"/>
        </w:rPr>
        <w:t xml:space="preserve">, we adopt the </w:t>
      </w:r>
      <w:r w:rsidR="00DC5673">
        <w:rPr>
          <w:b w:val="0"/>
          <w:sz w:val="20"/>
        </w:rPr>
        <w:t>middle</w:t>
      </w:r>
      <w:r w:rsidR="00DC5673">
        <w:rPr>
          <w:b w:val="0"/>
          <w:sz w:val="20"/>
        </w:rPr>
        <w:noBreakHyphen/>
        <w:t>of</w:t>
      </w:r>
      <w:r w:rsidR="00DC5673">
        <w:rPr>
          <w:b w:val="0"/>
          <w:sz w:val="20"/>
        </w:rPr>
        <w:noBreakHyphen/>
        <w:t>the</w:t>
      </w:r>
      <w:r w:rsidR="00DC5673">
        <w:rPr>
          <w:b w:val="0"/>
          <w:sz w:val="20"/>
        </w:rPr>
        <w:noBreakHyphen/>
        <w:t>road</w:t>
      </w:r>
      <w:r w:rsidRPr="002B1333">
        <w:rPr>
          <w:b w:val="0"/>
          <w:sz w:val="20"/>
        </w:rPr>
        <w:t xml:space="preserve"> shared </w:t>
      </w:r>
      <w:r w:rsidRPr="00907F5D">
        <w:rPr>
          <w:b w:val="0"/>
          <w:sz w:val="20"/>
        </w:rPr>
        <w:t>socio</w:t>
      </w:r>
      <w:r w:rsidRPr="00907F5D">
        <w:rPr>
          <w:b w:val="0"/>
          <w:sz w:val="20"/>
        </w:rPr>
        <w:noBreakHyphen/>
        <w:t xml:space="preserve">economic pathway (SSP2) and consider a range of representative concentration pathways (RCPs), including RCP6, RCP2.6, and RCP1.9, to create </w:t>
      </w:r>
      <w:r w:rsidR="004546D4" w:rsidRPr="00907F5D">
        <w:rPr>
          <w:b w:val="0"/>
          <w:sz w:val="20"/>
        </w:rPr>
        <w:t>various</w:t>
      </w:r>
      <w:r w:rsidRPr="00907F5D">
        <w:rPr>
          <w:b w:val="0"/>
          <w:sz w:val="20"/>
        </w:rPr>
        <w:t xml:space="preserve"> scenarios reflecting economic shifts. RCP6 corresponds to </w:t>
      </w:r>
      <w:r w:rsidR="004546D4" w:rsidRPr="00907F5D">
        <w:rPr>
          <w:b w:val="0"/>
          <w:sz w:val="20"/>
        </w:rPr>
        <w:t>a</w:t>
      </w:r>
      <w:r w:rsidRPr="00907F5D">
        <w:rPr>
          <w:b w:val="0"/>
          <w:sz w:val="20"/>
        </w:rPr>
        <w:t xml:space="preserve"> scenario limiting global temperature rise to 3.5</w:t>
      </w:r>
      <w:r w:rsidR="002B1333" w:rsidRPr="00907F5D">
        <w:rPr>
          <w:sz w:val="20"/>
          <w:lang w:val="en-GB"/>
        </w:rPr>
        <w:t> </w:t>
      </w:r>
      <w:r w:rsidR="00907F5D" w:rsidRPr="00907F5D">
        <w:rPr>
          <w:sz w:val="20"/>
        </w:rPr>
        <w:t>°</w:t>
      </w:r>
      <w:r w:rsidRPr="00907F5D">
        <w:rPr>
          <w:b w:val="0"/>
          <w:sz w:val="20"/>
        </w:rPr>
        <w:t xml:space="preserve">C, </w:t>
      </w:r>
      <w:r w:rsidR="004546D4" w:rsidRPr="00907F5D">
        <w:rPr>
          <w:b w:val="0"/>
          <w:sz w:val="20"/>
        </w:rPr>
        <w:t>while</w:t>
      </w:r>
      <w:r w:rsidRPr="00907F5D">
        <w:rPr>
          <w:b w:val="0"/>
          <w:sz w:val="20"/>
        </w:rPr>
        <w:t xml:space="preserve"> RCP2.6 and RCP1.9 correspond to scenarios limiting temperature rise to 2</w:t>
      </w:r>
      <w:r w:rsidR="002B1333" w:rsidRPr="00907F5D">
        <w:rPr>
          <w:sz w:val="20"/>
          <w:lang w:val="en-GB"/>
        </w:rPr>
        <w:t> </w:t>
      </w:r>
      <w:r w:rsidR="00907F5D" w:rsidRPr="00907F5D">
        <w:rPr>
          <w:sz w:val="20"/>
        </w:rPr>
        <w:t>°</w:t>
      </w:r>
      <w:r w:rsidRPr="00907F5D">
        <w:rPr>
          <w:b w:val="0"/>
          <w:sz w:val="20"/>
        </w:rPr>
        <w:t>C and 1.5</w:t>
      </w:r>
      <w:r w:rsidR="002B1333" w:rsidRPr="00907F5D">
        <w:rPr>
          <w:sz w:val="20"/>
          <w:lang w:val="en-GB"/>
        </w:rPr>
        <w:t> </w:t>
      </w:r>
      <w:r w:rsidR="00907F5D" w:rsidRPr="00907F5D">
        <w:rPr>
          <w:sz w:val="20"/>
        </w:rPr>
        <w:t>°</w:t>
      </w:r>
      <w:r w:rsidRPr="00907F5D">
        <w:rPr>
          <w:b w:val="0"/>
          <w:sz w:val="20"/>
        </w:rPr>
        <w:t xml:space="preserve">C, respectively. To generate inventories for prospective LCAs </w:t>
      </w:r>
      <w:r w:rsidR="005869D8" w:rsidRPr="00907F5D">
        <w:rPr>
          <w:b w:val="0"/>
          <w:sz w:val="20"/>
        </w:rPr>
        <w:t>covering</w:t>
      </w:r>
      <w:r w:rsidRPr="00907F5D">
        <w:rPr>
          <w:b w:val="0"/>
          <w:sz w:val="20"/>
        </w:rPr>
        <w:t xml:space="preserve"> the period from 2020 to 2050, we utilize the </w:t>
      </w:r>
      <w:r w:rsidRPr="00907F5D">
        <w:rPr>
          <w:b w:val="0"/>
          <w:i/>
          <w:sz w:val="20"/>
        </w:rPr>
        <w:t>premise</w:t>
      </w:r>
      <w:r w:rsidRPr="00907F5D">
        <w:rPr>
          <w:b w:val="0"/>
          <w:sz w:val="20"/>
        </w:rPr>
        <w:t xml:space="preserve"> v1.5.9 framework</w:t>
      </w:r>
      <w:r w:rsidR="002E1665">
        <w:rPr>
          <w:b w:val="0"/>
          <w:sz w:val="20"/>
        </w:rPr>
        <w:t xml:space="preserve"> </w:t>
      </w:r>
      <w:r w:rsidR="002E1665" w:rsidRPr="002E1665">
        <w:rPr>
          <w:b w:val="0"/>
          <w:sz w:val="20"/>
        </w:rPr>
        <w:fldChar w:fldCharType="begin"/>
      </w:r>
      <w:r w:rsidR="002E1665" w:rsidRPr="002E1665">
        <w:rPr>
          <w:b w:val="0"/>
          <w:sz w:val="20"/>
        </w:rPr>
        <w:instrText xml:space="preserve"> ADDIN ZOTERO_ITEM CSL_CITATION {"citationID":"3v6PTC75","properties":{"formattedCitation":"(Sacchi et al., 2022)","plainCitation":"(Sacchi et al., 2022)","noteIndex":0},"citationItems":[{"id":289,"uris":["http://zotero.org/users/local/gMmtBwrT/items/2K4ECVXA"],"itemData":{"id":289,"type":"article-journal","abstract":"Prospective Life Cycle Assessment (pLCA) is useful to evaluate the environmental performance of current and emerging technologies in the future. Yet, as energy systems and industries are rapidly shifting towards cleaner means of production, pLCA requires an inventory database that encapsulates the expected changes in technol­ ogies and the environment at a given point in time, following specific socio-techno-economic pathways. To this end, this study introduces premise, a tool to streamline the generation of prospective inventory databases for pLCA by integrating scenarios generated by Integrated Assessment Models (IAM). More precisely, premise applies a number of transformations on energy-intensive activities found in the inventory database ecoinvent according to projections provided by the IAM. Unsurprisingly, the study shows that, within a given socio-economic narrative, the climate change mitigation target chosen affects the performance of nearly all activities in the database. This is illustrated by focusing on the effects observed on a few activities, such as systems for direct air capture of CO2, lithium-ion batteries, electricity and clinker production as well as freight transport by road, in relation to the applied sector-based transformation and the chosen climate change mitigation target. This work also discusses the limitations and challenges faced when coupling IAM and LCA databases and what improve­ ments are to be brought in to further facilitate the development of pLCA.","container-title":"Renewable and Sustainable Energy Reviews","DOI":"10.1016/j.rser.2022.112311","ISSN":"13640321","journalAbbreviation":"Renewable and Sustainable Energy Reviews","language":"en","page":"112311","source":"DOI.org (Crossref)","title":"PRospective EnvironMental Impact asSEment (premise): A streamlined approach to producing databases for prospective life cycle assessment using integrated assessment models","title-short":"PRospective EnvironMental Impact asSEment (premise)","volume":"160","author":[{"family":"Sacchi","given":"R."},{"family":"Terlouw","given":"T."},{"family":"Siala","given":"K."},{"family":"Dirnaichner","given":"A."},{"family":"Bauer","given":"C."},{"family":"Cox","given":"B."},{"family":"Mutel","given":"C."},{"family":"Daioglou","given":"V."},{"family":"Luderer","given":"G."}],"issued":{"date-parts":[["2022",5]]}}}],"schema":"https://github.com/citation-style-language/schema/raw/master/csl-citation.json"} </w:instrText>
      </w:r>
      <w:r w:rsidR="002E1665" w:rsidRPr="002E1665">
        <w:rPr>
          <w:b w:val="0"/>
          <w:sz w:val="20"/>
        </w:rPr>
        <w:fldChar w:fldCharType="separate"/>
      </w:r>
      <w:r w:rsidR="002E1665" w:rsidRPr="002E1665">
        <w:rPr>
          <w:sz w:val="20"/>
        </w:rPr>
        <w:t>(Sacchi et al., 2022)</w:t>
      </w:r>
      <w:r w:rsidR="002E1665" w:rsidRPr="002E1665">
        <w:rPr>
          <w:b w:val="0"/>
          <w:sz w:val="20"/>
        </w:rPr>
        <w:fldChar w:fldCharType="end"/>
      </w:r>
      <w:r w:rsidRPr="00907F5D">
        <w:rPr>
          <w:b w:val="0"/>
          <w:sz w:val="20"/>
        </w:rPr>
        <w:t xml:space="preserve">. Additionally, we </w:t>
      </w:r>
      <w:r w:rsidR="005869D8" w:rsidRPr="00907F5D">
        <w:rPr>
          <w:b w:val="0"/>
          <w:sz w:val="20"/>
        </w:rPr>
        <w:t>incorporate</w:t>
      </w:r>
      <w:r w:rsidRPr="002B1333">
        <w:rPr>
          <w:b w:val="0"/>
          <w:sz w:val="20"/>
        </w:rPr>
        <w:t xml:space="preserve"> the temporal </w:t>
      </w:r>
      <w:r w:rsidR="00C3037C" w:rsidRPr="002B1333">
        <w:rPr>
          <w:b w:val="0"/>
          <w:sz w:val="20"/>
        </w:rPr>
        <w:t>dimension</w:t>
      </w:r>
      <w:r w:rsidRPr="002B1333">
        <w:rPr>
          <w:b w:val="0"/>
          <w:sz w:val="20"/>
        </w:rPr>
        <w:t xml:space="preserve"> for the production of these </w:t>
      </w:r>
      <w:r w:rsidR="00C3037C" w:rsidRPr="002B1333">
        <w:rPr>
          <w:b w:val="0"/>
          <w:sz w:val="20"/>
        </w:rPr>
        <w:t>platform chemicals</w:t>
      </w:r>
      <w:r w:rsidRPr="002B1333">
        <w:rPr>
          <w:b w:val="0"/>
          <w:sz w:val="20"/>
        </w:rPr>
        <w:t xml:space="preserve"> across 26 global regions, considering location</w:t>
      </w:r>
      <w:r w:rsidR="00C3037C" w:rsidRPr="002B1333">
        <w:rPr>
          <w:b w:val="0"/>
          <w:sz w:val="20"/>
        </w:rPr>
        <w:noBreakHyphen/>
      </w:r>
      <w:r w:rsidRPr="002B1333">
        <w:rPr>
          <w:b w:val="0"/>
          <w:sz w:val="20"/>
        </w:rPr>
        <w:t xml:space="preserve">specific temporal </w:t>
      </w:r>
      <w:r w:rsidR="00C3037C" w:rsidRPr="002B1333">
        <w:rPr>
          <w:b w:val="0"/>
          <w:sz w:val="20"/>
        </w:rPr>
        <w:t>dynamics</w:t>
      </w:r>
      <w:r w:rsidRPr="002B1333">
        <w:rPr>
          <w:b w:val="0"/>
          <w:sz w:val="20"/>
        </w:rPr>
        <w:t>.</w:t>
      </w:r>
    </w:p>
    <w:p w14:paraId="46032E74" w14:textId="77777777" w:rsidR="00926D74" w:rsidRDefault="00B96FD8" w:rsidP="00926D74">
      <w:pPr>
        <w:pStyle w:val="Els-1storder-head"/>
        <w:rPr>
          <w:lang w:val="en-GB"/>
        </w:rPr>
      </w:pPr>
      <w:r>
        <w:rPr>
          <w:lang w:val="en-GB"/>
        </w:rPr>
        <w:t>Results and Discussions</w:t>
      </w:r>
    </w:p>
    <w:p w14:paraId="5063266A" w14:textId="5D87B46C" w:rsidR="00935375" w:rsidRDefault="005869D8" w:rsidP="00935375">
      <w:pPr>
        <w:pStyle w:val="Els-body-text"/>
        <w:rPr>
          <w:lang w:val="en-GB"/>
        </w:rPr>
      </w:pPr>
      <w:r>
        <w:rPr>
          <w:lang w:val="en-GB"/>
        </w:rPr>
        <w:t>Compared</w:t>
      </w:r>
      <w:r w:rsidR="00935375">
        <w:rPr>
          <w:lang w:val="en-GB"/>
        </w:rPr>
        <w:t xml:space="preserve"> to fossil</w:t>
      </w:r>
      <w:r w:rsidR="00935375">
        <w:rPr>
          <w:lang w:val="en-GB"/>
        </w:rPr>
        <w:noBreakHyphen/>
        <w:t xml:space="preserve">based methods, </w:t>
      </w:r>
      <w:r w:rsidR="00D7441A">
        <w:rPr>
          <w:lang w:val="en-GB"/>
        </w:rPr>
        <w:t>the projected climate change impacts of ammonia production through solar and wind</w:t>
      </w:r>
      <w:r w:rsidR="00D7441A">
        <w:rPr>
          <w:lang w:val="en-GB"/>
        </w:rPr>
        <w:noBreakHyphen/>
        <w:t xml:space="preserve">based routes, </w:t>
      </w:r>
      <w:r w:rsidR="003655EF">
        <w:rPr>
          <w:lang w:val="en-GB"/>
        </w:rPr>
        <w:t>(taken herein to illustrate this study,</w:t>
      </w:r>
      <w:r w:rsidR="00D7441A">
        <w:rPr>
          <w:lang w:val="en-GB"/>
        </w:rPr>
        <w:t xml:space="preserve"> </w:t>
      </w:r>
      <w:r w:rsidR="00D7441A" w:rsidRPr="003655EF">
        <w:rPr>
          <w:b/>
          <w:lang w:val="en-GB"/>
        </w:rPr>
        <w:t>Figure 1a</w:t>
      </w:r>
      <w:r w:rsidR="00D7441A">
        <w:rPr>
          <w:lang w:val="en-GB"/>
        </w:rPr>
        <w:t>), display a promising trajectory, indicating substantial reductions by 2050. Under more aggressive policies, such as the 1.5 </w:t>
      </w:r>
      <w:r w:rsidR="00A01693" w:rsidRPr="002B1333">
        <w:t>°</w:t>
      </w:r>
      <w:r w:rsidR="00D7441A">
        <w:rPr>
          <w:lang w:val="en-GB"/>
        </w:rPr>
        <w:t xml:space="preserve">C scenario, these </w:t>
      </w:r>
      <w:r w:rsidR="00A46CC2">
        <w:rPr>
          <w:lang w:val="en-GB"/>
        </w:rPr>
        <w:t>impacts</w:t>
      </w:r>
      <w:r w:rsidR="00D7441A">
        <w:rPr>
          <w:lang w:val="en-GB"/>
        </w:rPr>
        <w:t xml:space="preserve"> are </w:t>
      </w:r>
      <w:r w:rsidR="00A46CC2">
        <w:rPr>
          <w:lang w:val="en-GB"/>
        </w:rPr>
        <w:t>expected</w:t>
      </w:r>
      <w:r w:rsidR="00D7441A">
        <w:rPr>
          <w:lang w:val="en-GB"/>
        </w:rPr>
        <w:t xml:space="preserve"> to decrease significantly. Specifically, both the solar and wind</w:t>
      </w:r>
      <w:r w:rsidR="00D7441A">
        <w:rPr>
          <w:lang w:val="en-GB"/>
        </w:rPr>
        <w:noBreakHyphen/>
        <w:t xml:space="preserve">based pathways are projected to exhibit approximately a 70% reduction in impacts by 2050. Furthermore, a regional assessment </w:t>
      </w:r>
      <w:r w:rsidR="006132FF">
        <w:rPr>
          <w:lang w:val="en-GB"/>
        </w:rPr>
        <w:t>reveals that impact reductions vary significantly by region for both solar (</w:t>
      </w:r>
      <w:r w:rsidR="006132FF" w:rsidRPr="00A01693">
        <w:rPr>
          <w:b/>
          <w:lang w:val="en-GB"/>
        </w:rPr>
        <w:t>Figure 1b</w:t>
      </w:r>
      <w:r w:rsidR="006132FF">
        <w:rPr>
          <w:lang w:val="en-GB"/>
        </w:rPr>
        <w:t>) and wind</w:t>
      </w:r>
      <w:r w:rsidR="006132FF">
        <w:rPr>
          <w:lang w:val="en-GB"/>
        </w:rPr>
        <w:noBreakHyphen/>
        <w:t xml:space="preserve">based </w:t>
      </w:r>
      <w:r w:rsidR="006132FF" w:rsidRPr="00A01693">
        <w:rPr>
          <w:b/>
          <w:lang w:val="en-GB"/>
        </w:rPr>
        <w:t>(Figure 1c</w:t>
      </w:r>
      <w:r w:rsidR="006132FF">
        <w:rPr>
          <w:lang w:val="en-GB"/>
        </w:rPr>
        <w:t>) ammonia production, highlighting the crucial role of location</w:t>
      </w:r>
      <w:r w:rsidR="006132FF">
        <w:rPr>
          <w:lang w:val="en-GB"/>
        </w:rPr>
        <w:noBreakHyphen/>
        <w:t xml:space="preserve">specific dynamics necessary for </w:t>
      </w:r>
      <w:r w:rsidR="00EA467C">
        <w:rPr>
          <w:lang w:val="en-GB"/>
        </w:rPr>
        <w:t>strategic planning to maximi</w:t>
      </w:r>
      <w:r>
        <w:rPr>
          <w:lang w:val="en-GB"/>
        </w:rPr>
        <w:t>z</w:t>
      </w:r>
      <w:r w:rsidR="00EA467C">
        <w:rPr>
          <w:lang w:val="en-GB"/>
        </w:rPr>
        <w:t>e global benefits.</w:t>
      </w:r>
    </w:p>
    <w:p w14:paraId="3EB56CF6" w14:textId="03E5311C" w:rsidR="00A46CC2" w:rsidRDefault="00A46CC2" w:rsidP="00A46CC2">
      <w:pPr>
        <w:pStyle w:val="Els-body-text"/>
        <w:jc w:val="center"/>
        <w:rPr>
          <w:lang w:val="en-GB"/>
        </w:rPr>
      </w:pPr>
      <w:r>
        <w:rPr>
          <w:rFonts w:ascii="Calibri" w:hAnsi="Calibri" w:cs="Calibri"/>
          <w:b/>
          <w:noProof/>
        </w:rPr>
        <w:lastRenderedPageBreak/>
        <w:drawing>
          <wp:inline distT="0" distB="0" distL="0" distR="0" wp14:anchorId="06889E38" wp14:editId="25415D98">
            <wp:extent cx="3900805" cy="2290853"/>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f all image SSP2 GL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00805" cy="2290853"/>
                    </a:xfrm>
                    <a:prstGeom prst="rect">
                      <a:avLst/>
                    </a:prstGeom>
                  </pic:spPr>
                </pic:pic>
              </a:graphicData>
            </a:graphic>
          </wp:inline>
        </w:drawing>
      </w:r>
    </w:p>
    <w:p w14:paraId="0A99B5E0" w14:textId="0CA24706" w:rsidR="00413A0B" w:rsidRPr="00935375" w:rsidRDefault="00413A0B" w:rsidP="003655EF">
      <w:pPr>
        <w:pStyle w:val="Els-body-text"/>
        <w:rPr>
          <w:lang w:val="en-GB"/>
        </w:rPr>
      </w:pPr>
      <w:r w:rsidRPr="003655EF">
        <w:rPr>
          <w:b/>
          <w:lang w:val="en-GB"/>
        </w:rPr>
        <w:t>Figure 1</w:t>
      </w:r>
      <w:r w:rsidR="003655EF">
        <w:rPr>
          <w:lang w:val="en-GB"/>
        </w:rPr>
        <w:t xml:space="preserve"> Climate change impacts of ammonia production technologies. </w:t>
      </w:r>
      <w:r w:rsidR="003655EF" w:rsidRPr="003655EF">
        <w:rPr>
          <w:b/>
          <w:lang w:val="en-GB"/>
        </w:rPr>
        <w:t>(a)</w:t>
      </w:r>
      <w:r w:rsidR="003655EF">
        <w:rPr>
          <w:lang w:val="en-GB"/>
        </w:rPr>
        <w:t xml:space="preserve"> Global average impacts of fossil, solar and wind</w:t>
      </w:r>
      <w:r w:rsidR="003655EF">
        <w:rPr>
          <w:lang w:val="en-GB"/>
        </w:rPr>
        <w:noBreakHyphen/>
        <w:t>based production from 2020 to 2050 across three scenarios (3.5 </w:t>
      </w:r>
      <w:r w:rsidR="0036113D" w:rsidRPr="00907F5D">
        <w:t>°°</w:t>
      </w:r>
      <w:r w:rsidR="003655EF">
        <w:rPr>
          <w:lang w:val="en-GB"/>
        </w:rPr>
        <w:t>C, 2 C, and 1.5 </w:t>
      </w:r>
      <w:r w:rsidR="0036113D" w:rsidRPr="00907F5D">
        <w:t>°</w:t>
      </w:r>
      <w:r w:rsidR="003655EF">
        <w:rPr>
          <w:lang w:val="en-GB"/>
        </w:rPr>
        <w:t>C). Regional analysis under the 2 </w:t>
      </w:r>
      <w:r w:rsidR="0036113D" w:rsidRPr="00907F5D">
        <w:t>°</w:t>
      </w:r>
      <w:r w:rsidR="003655EF">
        <w:rPr>
          <w:lang w:val="en-GB"/>
        </w:rPr>
        <w:t xml:space="preserve">C scenario for </w:t>
      </w:r>
      <w:r w:rsidR="003655EF" w:rsidRPr="003655EF">
        <w:rPr>
          <w:b/>
          <w:lang w:val="en-GB"/>
        </w:rPr>
        <w:t>(b)</w:t>
      </w:r>
      <w:r w:rsidR="003655EF">
        <w:rPr>
          <w:lang w:val="en-GB"/>
        </w:rPr>
        <w:t xml:space="preserve"> solar and </w:t>
      </w:r>
      <w:r w:rsidR="003655EF" w:rsidRPr="003655EF">
        <w:rPr>
          <w:b/>
          <w:lang w:val="en-GB"/>
        </w:rPr>
        <w:t>(c)</w:t>
      </w:r>
      <w:r w:rsidR="003655EF">
        <w:rPr>
          <w:lang w:val="en-GB"/>
        </w:rPr>
        <w:t xml:space="preserve"> wind</w:t>
      </w:r>
      <w:r w:rsidR="003655EF">
        <w:rPr>
          <w:lang w:val="en-GB"/>
        </w:rPr>
        <w:noBreakHyphen/>
        <w:t>based production pathways.</w:t>
      </w:r>
    </w:p>
    <w:p w14:paraId="144DE6B5" w14:textId="5B9F9F1E" w:rsidR="008D2649" w:rsidRDefault="00B96FD8" w:rsidP="00AF7F60">
      <w:pPr>
        <w:pStyle w:val="Els-1storder-head"/>
        <w:rPr>
          <w:lang w:val="en-GB"/>
        </w:rPr>
      </w:pPr>
      <w:r>
        <w:rPr>
          <w:lang w:val="en-GB"/>
        </w:rPr>
        <w:t>Conclusions</w:t>
      </w:r>
    </w:p>
    <w:p w14:paraId="15A837FD" w14:textId="73F0B2C5" w:rsidR="00AF7F60" w:rsidRPr="00AF7F60" w:rsidRDefault="00AF7F60" w:rsidP="00AF7F60">
      <w:pPr>
        <w:pStyle w:val="Els-body-text"/>
        <w:rPr>
          <w:lang w:val="en-GB"/>
        </w:rPr>
      </w:pPr>
      <w:r>
        <w:rPr>
          <w:lang w:val="en-GB"/>
        </w:rPr>
        <w:t xml:space="preserve">In this work, we </w:t>
      </w:r>
      <w:r w:rsidR="0050057F">
        <w:rPr>
          <w:lang w:val="en-GB"/>
        </w:rPr>
        <w:t>assess the impact of climate policies on key platform chemicals like ammonia and methanol across 26 regions spanning from 2020 to 2050 under three climate policy scenarios. Notably, we find that fossil production routes exhibit insignificant improvements in their climate change impacts due to their heavy dependence on fossil fuels, while green pathways, particularly solar</w:t>
      </w:r>
      <w:r w:rsidR="0050057F">
        <w:rPr>
          <w:lang w:val="en-GB"/>
        </w:rPr>
        <w:noBreakHyphen/>
        <w:t>based technologies, show significant reductions which are further magnified under ambitious climate policies. We also highlight the dynamic nature of these technologies with their rankings changing over time and regional variations in impact reductions. This necessitates the implementation of tailored approaches based on regional energy profiles. Overall, this work underscores the importance of considering technological advancements, market dynamics, and regional considerations to achieve low</w:t>
      </w:r>
      <w:r w:rsidR="0050057F">
        <w:rPr>
          <w:lang w:val="en-GB"/>
        </w:rPr>
        <w:noBreakHyphen/>
        <w:t>carbon chemical production. This study could guide stakeholders, including policymakers, industry leaders, and investors towards making informed</w:t>
      </w:r>
      <w:r w:rsidR="0050057F">
        <w:rPr>
          <w:lang w:val="en-GB"/>
        </w:rPr>
        <w:noBreakHyphen/>
        <w:t>decisions and achieving the transition towards a sustainable chemical industry.</w:t>
      </w:r>
    </w:p>
    <w:p w14:paraId="144DE6BF" w14:textId="608D0AD6" w:rsidR="008D2649" w:rsidRDefault="008D2649" w:rsidP="008D2649">
      <w:pPr>
        <w:pStyle w:val="Els-reference-head"/>
      </w:pPr>
      <w:r>
        <w:t>References</w:t>
      </w:r>
    </w:p>
    <w:p w14:paraId="02513A3F" w14:textId="04297763" w:rsidR="00D51DF6" w:rsidRPr="00D51DF6" w:rsidRDefault="002E1665" w:rsidP="00D51712">
      <w:pPr>
        <w:pStyle w:val="Bibliography"/>
        <w:jc w:val="both"/>
        <w:rPr>
          <w:sz w:val="18"/>
        </w:rPr>
      </w:pPr>
      <w:r>
        <w:rPr>
          <w:lang w:val="en-US"/>
        </w:rPr>
        <w:fldChar w:fldCharType="begin"/>
      </w:r>
      <w:r>
        <w:rPr>
          <w:lang w:val="en-US"/>
        </w:rPr>
        <w:instrText xml:space="preserve"> ADDIN ZOTERO_BIBL {"uncited":[],"omitted":[],"custom":[]} CSL_BIBLIOGRAPHY </w:instrText>
      </w:r>
      <w:r>
        <w:rPr>
          <w:lang w:val="en-US"/>
        </w:rPr>
        <w:fldChar w:fldCharType="separate"/>
      </w:r>
      <w:r w:rsidR="00D51DF6" w:rsidRPr="00D51DF6">
        <w:rPr>
          <w:sz w:val="18"/>
        </w:rPr>
        <w:t xml:space="preserve">Bauer, F., </w:t>
      </w:r>
      <w:proofErr w:type="spellStart"/>
      <w:r w:rsidR="00D51DF6" w:rsidRPr="00D51DF6">
        <w:rPr>
          <w:sz w:val="18"/>
        </w:rPr>
        <w:t>Tilsted</w:t>
      </w:r>
      <w:proofErr w:type="spellEnd"/>
      <w:r w:rsidR="00D51DF6" w:rsidRPr="00D51DF6">
        <w:rPr>
          <w:sz w:val="18"/>
        </w:rPr>
        <w:t xml:space="preserve">, J.P., Pfister, S., </w:t>
      </w:r>
      <w:proofErr w:type="spellStart"/>
      <w:r w:rsidR="00D51DF6" w:rsidRPr="00D51DF6">
        <w:rPr>
          <w:sz w:val="18"/>
        </w:rPr>
        <w:t>Oberschelp</w:t>
      </w:r>
      <w:proofErr w:type="spellEnd"/>
      <w:r w:rsidR="00D51DF6" w:rsidRPr="00D51DF6">
        <w:rPr>
          <w:sz w:val="18"/>
        </w:rPr>
        <w:t xml:space="preserve">, C., </w:t>
      </w:r>
      <w:proofErr w:type="spellStart"/>
      <w:r w:rsidR="00D51DF6" w:rsidRPr="00D51DF6">
        <w:rPr>
          <w:sz w:val="18"/>
        </w:rPr>
        <w:t>Kulionis</w:t>
      </w:r>
      <w:proofErr w:type="spellEnd"/>
      <w:r w:rsidR="00D51DF6" w:rsidRPr="00D51DF6">
        <w:rPr>
          <w:sz w:val="18"/>
        </w:rPr>
        <w:t xml:space="preserve">, V., 2023. Mapping GHG emissions </w:t>
      </w:r>
      <w:bookmarkStart w:id="0" w:name="_GoBack"/>
      <w:bookmarkEnd w:id="0"/>
      <w:r w:rsidR="00D51DF6" w:rsidRPr="00D51DF6">
        <w:rPr>
          <w:sz w:val="18"/>
        </w:rPr>
        <w:t xml:space="preserve">and prospects for renewable energy in the chemical industry. </w:t>
      </w:r>
      <w:proofErr w:type="spellStart"/>
      <w:r w:rsidR="00D51DF6" w:rsidRPr="00D51DF6">
        <w:rPr>
          <w:sz w:val="18"/>
        </w:rPr>
        <w:t>Curr</w:t>
      </w:r>
      <w:proofErr w:type="spellEnd"/>
      <w:r w:rsidR="00D51DF6" w:rsidRPr="00D51DF6">
        <w:rPr>
          <w:sz w:val="18"/>
        </w:rPr>
        <w:t xml:space="preserve">. </w:t>
      </w:r>
      <w:proofErr w:type="spellStart"/>
      <w:r w:rsidR="00D51DF6" w:rsidRPr="00D51DF6">
        <w:rPr>
          <w:sz w:val="18"/>
        </w:rPr>
        <w:t>Opin</w:t>
      </w:r>
      <w:proofErr w:type="spellEnd"/>
      <w:r w:rsidR="00D51DF6" w:rsidRPr="00D51DF6">
        <w:rPr>
          <w:sz w:val="18"/>
        </w:rPr>
        <w:t xml:space="preserve">. Chem. Eng. 39, 100881. </w:t>
      </w:r>
    </w:p>
    <w:p w14:paraId="01343B29" w14:textId="02D6C3FD" w:rsidR="00D51DF6" w:rsidRPr="00D51DF6" w:rsidRDefault="00D51DF6" w:rsidP="00D51712">
      <w:pPr>
        <w:pStyle w:val="Bibliography"/>
        <w:jc w:val="both"/>
        <w:rPr>
          <w:sz w:val="18"/>
        </w:rPr>
      </w:pPr>
      <w:r w:rsidRPr="00D51DF6">
        <w:rPr>
          <w:sz w:val="18"/>
        </w:rPr>
        <w:t xml:space="preserve">D’Angelo, S.C., </w:t>
      </w:r>
      <w:proofErr w:type="spellStart"/>
      <w:r w:rsidRPr="00D51DF6">
        <w:rPr>
          <w:sz w:val="18"/>
        </w:rPr>
        <w:t>Cobo</w:t>
      </w:r>
      <w:proofErr w:type="spellEnd"/>
      <w:r w:rsidRPr="00D51DF6">
        <w:rPr>
          <w:sz w:val="18"/>
        </w:rPr>
        <w:t xml:space="preserve">, S., </w:t>
      </w:r>
      <w:proofErr w:type="spellStart"/>
      <w:r w:rsidRPr="00D51DF6">
        <w:rPr>
          <w:sz w:val="18"/>
        </w:rPr>
        <w:t>Tulus</w:t>
      </w:r>
      <w:proofErr w:type="spellEnd"/>
      <w:r w:rsidRPr="00D51DF6">
        <w:rPr>
          <w:sz w:val="18"/>
        </w:rPr>
        <w:t xml:space="preserve">, V., Nabera, A., Martín, A.J., Pérez-Ramírez, J., Guillén-Gosálbez, G., 2021. Planetary Boundaries Analysis of Low-Carbon Ammonia Production Routes. ACS Sustain. Chem. Eng. 9, 9740–9749. </w:t>
      </w:r>
    </w:p>
    <w:p w14:paraId="4BCE572F" w14:textId="6C5402C1" w:rsidR="00D51DF6" w:rsidRPr="00D51DF6" w:rsidRDefault="00D51DF6" w:rsidP="00D51712">
      <w:pPr>
        <w:pStyle w:val="Bibliography"/>
        <w:jc w:val="both"/>
        <w:rPr>
          <w:sz w:val="18"/>
        </w:rPr>
      </w:pPr>
      <w:r w:rsidRPr="00D51DF6">
        <w:rPr>
          <w:sz w:val="18"/>
        </w:rPr>
        <w:t xml:space="preserve">Sacchi, R., Terlouw, T., </w:t>
      </w:r>
      <w:proofErr w:type="spellStart"/>
      <w:r w:rsidRPr="00D51DF6">
        <w:rPr>
          <w:sz w:val="18"/>
        </w:rPr>
        <w:t>Siala</w:t>
      </w:r>
      <w:proofErr w:type="spellEnd"/>
      <w:r w:rsidRPr="00D51DF6">
        <w:rPr>
          <w:sz w:val="18"/>
        </w:rPr>
        <w:t xml:space="preserve">, K., </w:t>
      </w:r>
      <w:proofErr w:type="spellStart"/>
      <w:r w:rsidRPr="00D51DF6">
        <w:rPr>
          <w:sz w:val="18"/>
        </w:rPr>
        <w:t>Dirnaichner</w:t>
      </w:r>
      <w:proofErr w:type="spellEnd"/>
      <w:r w:rsidRPr="00D51DF6">
        <w:rPr>
          <w:sz w:val="18"/>
        </w:rPr>
        <w:t xml:space="preserve">, A., Bauer, C., Cox, B., </w:t>
      </w:r>
      <w:proofErr w:type="spellStart"/>
      <w:r w:rsidRPr="00D51DF6">
        <w:rPr>
          <w:sz w:val="18"/>
        </w:rPr>
        <w:t>Mutel</w:t>
      </w:r>
      <w:proofErr w:type="spellEnd"/>
      <w:r w:rsidRPr="00D51DF6">
        <w:rPr>
          <w:sz w:val="18"/>
        </w:rPr>
        <w:t xml:space="preserve">, C., </w:t>
      </w:r>
      <w:proofErr w:type="spellStart"/>
      <w:r w:rsidRPr="00D51DF6">
        <w:rPr>
          <w:sz w:val="18"/>
        </w:rPr>
        <w:t>Daioglou</w:t>
      </w:r>
      <w:proofErr w:type="spellEnd"/>
      <w:r w:rsidRPr="00D51DF6">
        <w:rPr>
          <w:sz w:val="18"/>
        </w:rPr>
        <w:t xml:space="preserve">, V., Luderer, G., 2022. </w:t>
      </w:r>
      <w:proofErr w:type="spellStart"/>
      <w:r w:rsidRPr="00D51DF6">
        <w:rPr>
          <w:sz w:val="18"/>
        </w:rPr>
        <w:t>PRospective</w:t>
      </w:r>
      <w:proofErr w:type="spellEnd"/>
      <w:r w:rsidRPr="00D51DF6">
        <w:rPr>
          <w:sz w:val="18"/>
        </w:rPr>
        <w:t xml:space="preserve"> </w:t>
      </w:r>
      <w:proofErr w:type="spellStart"/>
      <w:r w:rsidRPr="00D51DF6">
        <w:rPr>
          <w:sz w:val="18"/>
        </w:rPr>
        <w:t>EnvironMental</w:t>
      </w:r>
      <w:proofErr w:type="spellEnd"/>
      <w:r w:rsidRPr="00D51DF6">
        <w:rPr>
          <w:sz w:val="18"/>
        </w:rPr>
        <w:t xml:space="preserve"> Impact </w:t>
      </w:r>
      <w:proofErr w:type="spellStart"/>
      <w:r w:rsidRPr="00D51DF6">
        <w:rPr>
          <w:sz w:val="18"/>
        </w:rPr>
        <w:t>asSEment</w:t>
      </w:r>
      <w:proofErr w:type="spellEnd"/>
      <w:r w:rsidRPr="00D51DF6">
        <w:rPr>
          <w:sz w:val="18"/>
        </w:rPr>
        <w:t xml:space="preserve"> (premise): A streamlined approach to producing databases for prospective life cycle assessment using integrated assessment models. Renew. Sustain. Energy Rev. 160, 112311. </w:t>
      </w:r>
    </w:p>
    <w:p w14:paraId="144DE6C3" w14:textId="45F374E5" w:rsidR="008D2649" w:rsidRDefault="002E1665" w:rsidP="00D51712">
      <w:pPr>
        <w:pStyle w:val="Els-referenceno-number"/>
        <w:jc w:val="both"/>
        <w:rPr>
          <w:lang w:val="en-US"/>
        </w:rPr>
      </w:pPr>
      <w:r>
        <w:rPr>
          <w:lang w:val="en-US"/>
        </w:rPr>
        <w:fldChar w:fldCharType="end"/>
      </w:r>
    </w:p>
    <w:sectPr w:rsidR="008D2649" w:rsidSect="008B0184">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2377" w:right="2410" w:bottom="2892" w:left="2410" w:header="1701" w:footer="2892" w:gutter="0"/>
      <w:cols w:space="720" w:equalWidth="0">
        <w:col w:w="7087"/>
      </w:cols>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1E12BE" w14:textId="77777777" w:rsidR="00270B06" w:rsidRDefault="00270B06">
      <w:r>
        <w:separator/>
      </w:r>
    </w:p>
  </w:endnote>
  <w:endnote w:type="continuationSeparator" w:id="0">
    <w:p w14:paraId="4D274DD2" w14:textId="77777777" w:rsidR="00270B06" w:rsidRDefault="00270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Univers">
    <w:altName w:val="Arial"/>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D8AA35" w14:textId="77777777" w:rsidR="00FF6043" w:rsidRDefault="00FF60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4C06D4" w14:textId="77777777" w:rsidR="00FF6043" w:rsidRDefault="00FF60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A2E584" w14:textId="77777777" w:rsidR="00FF6043" w:rsidRDefault="00FF60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E41A10" w14:textId="77777777" w:rsidR="00270B06" w:rsidRDefault="00270B06">
      <w:r>
        <w:separator/>
      </w:r>
    </w:p>
  </w:footnote>
  <w:footnote w:type="continuationSeparator" w:id="0">
    <w:p w14:paraId="64D2CB28" w14:textId="77777777" w:rsidR="00270B06" w:rsidRDefault="00270B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4DE6C9" w14:textId="5EB2E158" w:rsidR="00DD3D9E" w:rsidRDefault="00DD3D9E">
    <w:pPr>
      <w:pStyle w:val="Header"/>
      <w:tabs>
        <w:tab w:val="clear" w:pos="7200"/>
        <w:tab w:val="right" w:pos="7088"/>
      </w:tabs>
    </w:pPr>
    <w:r>
      <w:rPr>
        <w:rStyle w:val="PageNumber"/>
      </w:rPr>
      <w:tab/>
    </w:r>
    <w:r>
      <w:rPr>
        <w:rStyle w:val="PageNumber"/>
        <w:i/>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4DE6CA" w14:textId="0F7BDF63" w:rsidR="00DD3D9E" w:rsidRDefault="00DD3D9E">
    <w:pPr>
      <w:pStyle w:val="Header"/>
      <w:tabs>
        <w:tab w:val="clear" w:pos="7200"/>
        <w:tab w:val="right" w:pos="7088"/>
      </w:tabs>
      <w:jc w:val="right"/>
      <w:rPr>
        <w:sz w:val="24"/>
      </w:rPr>
    </w:pPr>
    <w:r>
      <w:rPr>
        <w:rStyle w:val="PageNumber"/>
        <w:i/>
        <w:sz w:val="24"/>
      </w:rPr>
      <w:tab/>
    </w:r>
    <w:r>
      <w:rPr>
        <w:rStyle w:val="PageNumber"/>
        <w:sz w:val="24"/>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4DE6CC" w14:textId="65EF433B" w:rsidR="00DD3D9E" w:rsidRPr="00FF6043" w:rsidRDefault="001B1DE3" w:rsidP="00FF6043">
    <w:pPr>
      <w:pStyle w:val="ElsevierBodyTextCentredNospace"/>
      <w:jc w:val="left"/>
      <w:rPr>
        <w:noProof/>
        <w:sz w:val="20"/>
        <w:szCs w:val="20"/>
      </w:rPr>
    </w:pPr>
    <w:r>
      <w:rPr>
        <w:noProof/>
        <w:color w:val="auto"/>
        <w:sz w:val="20"/>
        <w:szCs w:val="20"/>
      </w:rPr>
      <w:drawing>
        <wp:inline distT="0" distB="0" distL="0" distR="0" wp14:anchorId="26F3196F" wp14:editId="0458D368">
          <wp:extent cx="4499610" cy="91694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congress.jpg"/>
                  <pic:cNvPicPr/>
                </pic:nvPicPr>
                <pic:blipFill>
                  <a:blip r:embed="rId1">
                    <a:extLst>
                      <a:ext uri="{28A0092B-C50C-407E-A947-70E740481C1C}">
                        <a14:useLocalDpi xmlns:a14="http://schemas.microsoft.com/office/drawing/2010/main" val="0"/>
                      </a:ext>
                    </a:extLst>
                  </a:blip>
                  <a:stretch>
                    <a:fillRect/>
                  </a:stretch>
                </pic:blipFill>
                <pic:spPr>
                  <a:xfrm>
                    <a:off x="0" y="0"/>
                    <a:ext cx="4499610" cy="916940"/>
                  </a:xfrm>
                  <a:prstGeom prst="rect">
                    <a:avLst/>
                  </a:prstGeom>
                </pic:spPr>
              </pic:pic>
            </a:graphicData>
          </a:graphic>
        </wp:inline>
      </w:drawing>
    </w:r>
    <w:r w:rsidR="00F06842" w:rsidRPr="00FF6043">
      <w:rPr>
        <w:color w:val="auto"/>
        <w:sz w:val="20"/>
        <w:szCs w:val="20"/>
      </w:rPr>
      <w:t xml:space="preserve">Flavio Manenti, Gintaras V. Reklaitis (Eds.), </w:t>
    </w:r>
    <w:r w:rsidR="00FF6043" w:rsidRPr="00FF6043">
      <w:rPr>
        <w:color w:val="auto"/>
        <w:sz w:val="20"/>
        <w:szCs w:val="20"/>
      </w:rPr>
      <w:t>B</w:t>
    </w:r>
    <w:r w:rsidR="00FF6043" w:rsidRPr="00FF6043">
      <w:rPr>
        <w:noProof/>
        <w:sz w:val="20"/>
        <w:szCs w:val="20"/>
      </w:rPr>
      <w:t>ook of Abstract</w:t>
    </w:r>
    <w:r w:rsidR="00F06842" w:rsidRPr="00FF6043">
      <w:rPr>
        <w:noProof/>
        <w:sz w:val="20"/>
        <w:szCs w:val="20"/>
      </w:rPr>
      <w:t xml:space="preserve"> of the </w:t>
    </w:r>
    <w:r w:rsidR="00F06842" w:rsidRPr="00FF6043">
      <w:rPr>
        <w:rStyle w:val="underline1"/>
        <w:sz w:val="20"/>
        <w:szCs w:val="20"/>
        <w:u w:val="none"/>
      </w:rPr>
      <w:t>34</w:t>
    </w:r>
    <w:r w:rsidR="00F06842" w:rsidRPr="00FF6043">
      <w:rPr>
        <w:rStyle w:val="underline1"/>
        <w:sz w:val="20"/>
        <w:szCs w:val="20"/>
        <w:u w:val="none"/>
        <w:vertAlign w:val="superscript"/>
      </w:rPr>
      <w:t>th</w:t>
    </w:r>
    <w:r w:rsidR="00F06842" w:rsidRPr="00FF6043">
      <w:rPr>
        <w:rStyle w:val="underline1"/>
        <w:sz w:val="20"/>
        <w:szCs w:val="20"/>
        <w:u w:val="none"/>
      </w:rPr>
      <w:t xml:space="preserve"> European Symposium on Computer Aided Process Engineering / 15</w:t>
    </w:r>
    <w:r w:rsidR="00F06842" w:rsidRPr="00FF6043">
      <w:rPr>
        <w:rStyle w:val="underline1"/>
        <w:sz w:val="20"/>
        <w:szCs w:val="20"/>
        <w:u w:val="none"/>
        <w:vertAlign w:val="superscript"/>
      </w:rPr>
      <w:t>th</w:t>
    </w:r>
    <w:r w:rsidR="00F06842" w:rsidRPr="00FF6043">
      <w:rPr>
        <w:rStyle w:val="underline1"/>
        <w:sz w:val="20"/>
        <w:szCs w:val="20"/>
        <w:u w:val="none"/>
      </w:rPr>
      <w:t xml:space="preserve"> International Symposium on Process Systems Engineerin</w:t>
    </w:r>
    <w:r w:rsidR="00F06842" w:rsidRPr="00FF6043">
      <w:rPr>
        <w:rStyle w:val="underline1"/>
        <w:sz w:val="20"/>
        <w:szCs w:val="20"/>
      </w:rPr>
      <w:t>g</w:t>
    </w:r>
    <w:r w:rsidR="00F06842" w:rsidRPr="00FF6043">
      <w:rPr>
        <w:noProof/>
        <w:sz w:val="20"/>
        <w:szCs w:val="20"/>
      </w:rPr>
      <w:t xml:space="preserve"> (ESCAPE34/PSE24), June 2-6, 2024,</w:t>
    </w:r>
    <w:r w:rsidR="00F06842" w:rsidRPr="00FF6043">
      <w:rPr>
        <w:sz w:val="20"/>
        <w:szCs w:val="20"/>
      </w:rPr>
      <w:t xml:space="preserve"> Florence</w:t>
    </w:r>
    <w:r w:rsidR="00F06842" w:rsidRPr="00FF6043">
      <w:rPr>
        <w:noProof/>
        <w:sz w:val="20"/>
        <w:szCs w:val="20"/>
      </w:rPr>
      <w:t>, Italy</w:t>
    </w:r>
    <w:r w:rsidR="00FF6043">
      <w:rPr>
        <w:noProof/>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BB178C"/>
    <w:multiLevelType w:val="multilevel"/>
    <w:tmpl w:val="A2DC3ADE"/>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 w15:restartNumberingAfterBreak="0">
    <w:nsid w:val="1A2E0393"/>
    <w:multiLevelType w:val="multilevel"/>
    <w:tmpl w:val="77CA1008"/>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2" w15:restartNumberingAfterBreak="0">
    <w:nsid w:val="1D0C7A89"/>
    <w:multiLevelType w:val="singleLevel"/>
    <w:tmpl w:val="3814B02C"/>
    <w:lvl w:ilvl="0">
      <w:start w:val="1"/>
      <w:numFmt w:val="decimal"/>
      <w:lvlText w:val="[%1]"/>
      <w:lvlJc w:val="left"/>
      <w:pPr>
        <w:tabs>
          <w:tab w:val="num" w:pos="360"/>
        </w:tabs>
        <w:ind w:left="312" w:hanging="312"/>
      </w:pPr>
    </w:lvl>
  </w:abstractNum>
  <w:abstractNum w:abstractNumId="3" w15:restartNumberingAfterBreak="0">
    <w:nsid w:val="241C6CF0"/>
    <w:multiLevelType w:val="multilevel"/>
    <w:tmpl w:val="F490D9D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4" w15:restartNumberingAfterBreak="0">
    <w:nsid w:val="2438217E"/>
    <w:multiLevelType w:val="multilevel"/>
    <w:tmpl w:val="B3242232"/>
    <w:lvl w:ilvl="0">
      <w:start w:val="1"/>
      <w:numFmt w:val="decimal"/>
      <w:pStyle w:val="Els-Chapterno"/>
      <w:suff w:val="space"/>
      <w:lvlText w:val="Chapter %1"/>
      <w:lvlJc w:val="left"/>
      <w:pPr>
        <w:ind w:left="0" w:firstLine="0"/>
      </w:pPr>
      <w:rPr>
        <w:rFonts w:hint="default"/>
      </w:rPr>
    </w:lvl>
    <w:lvl w:ilvl="1">
      <w:start w:val="1"/>
      <w:numFmt w:val="decimal"/>
      <w:pStyle w:val="Els-1storder-head"/>
      <w:suff w:val="space"/>
      <w:lvlText w:val="%2."/>
      <w:lvlJc w:val="left"/>
      <w:pPr>
        <w:ind w:left="0" w:firstLine="0"/>
      </w:pPr>
      <w:rPr>
        <w:rFonts w:hint="default"/>
      </w:rPr>
    </w:lvl>
    <w:lvl w:ilvl="2">
      <w:start w:val="1"/>
      <w:numFmt w:val="decimal"/>
      <w:pStyle w:val="Els-2ndorder-head"/>
      <w:suff w:val="space"/>
      <w:lvlText w:val="%2.%3."/>
      <w:lvlJc w:val="left"/>
      <w:pPr>
        <w:ind w:left="0" w:firstLine="0"/>
      </w:pPr>
      <w:rPr>
        <w:rFonts w:hint="default"/>
      </w:rPr>
    </w:lvl>
    <w:lvl w:ilvl="3">
      <w:start w:val="1"/>
      <w:numFmt w:val="decimal"/>
      <w:pStyle w:val="Els-3rdorder-head"/>
      <w:suff w:val="space"/>
      <w:lvlText w:val="%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5" w15:restartNumberingAfterBreak="0">
    <w:nsid w:val="25486B6C"/>
    <w:multiLevelType w:val="singleLevel"/>
    <w:tmpl w:val="FE1C3F06"/>
    <w:lvl w:ilvl="0">
      <w:start w:val="1"/>
      <w:numFmt w:val="decimal"/>
      <w:lvlText w:val="[%1]"/>
      <w:lvlJc w:val="left"/>
      <w:pPr>
        <w:tabs>
          <w:tab w:val="num" w:pos="360"/>
        </w:tabs>
        <w:ind w:left="312" w:hanging="312"/>
      </w:pPr>
    </w:lvl>
  </w:abstractNum>
  <w:abstractNum w:abstractNumId="6" w15:restartNumberingAfterBreak="0">
    <w:nsid w:val="29322B9F"/>
    <w:multiLevelType w:val="multilevel"/>
    <w:tmpl w:val="C5F4A82C"/>
    <w:lvl w:ilvl="0">
      <w:start w:val="1"/>
      <w:numFmt w:val="upperLetter"/>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7" w15:restartNumberingAfterBreak="0">
    <w:nsid w:val="2AB1025D"/>
    <w:multiLevelType w:val="hybridMultilevel"/>
    <w:tmpl w:val="3DD8E7C4"/>
    <w:lvl w:ilvl="0" w:tplc="0BECA5BC">
      <w:start w:val="1"/>
      <w:numFmt w:val="decimal"/>
      <w:pStyle w:val="Els-reference"/>
      <w:lvlText w:val="%1."/>
      <w:lvlJc w:val="right"/>
      <w:pPr>
        <w:tabs>
          <w:tab w:val="num" w:pos="480"/>
        </w:tabs>
        <w:ind w:left="480" w:hanging="9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E652E1E"/>
    <w:multiLevelType w:val="hybridMultilevel"/>
    <w:tmpl w:val="6F0EF366"/>
    <w:lvl w:ilvl="0" w:tplc="FF16902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0AA62CA"/>
    <w:multiLevelType w:val="hybridMultilevel"/>
    <w:tmpl w:val="AB36EAAA"/>
    <w:lvl w:ilvl="0" w:tplc="A0824566">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27E7170"/>
    <w:multiLevelType w:val="multilevel"/>
    <w:tmpl w:val="596AD3C4"/>
    <w:lvl w:ilvl="0">
      <w:start w:val="1"/>
      <w:numFmt w:val="decimal"/>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11" w15:restartNumberingAfterBreak="0">
    <w:nsid w:val="56205803"/>
    <w:multiLevelType w:val="multilevel"/>
    <w:tmpl w:val="444C89D0"/>
    <w:lvl w:ilvl="0">
      <w:start w:val="1"/>
      <w:numFmt w:val="decimal"/>
      <w:suff w:val="space"/>
      <w:lvlText w:val="Chapter %1"/>
      <w:lvlJc w:val="left"/>
      <w:pPr>
        <w:ind w:left="0" w:firstLine="0"/>
      </w:pPr>
      <w:rPr>
        <w:rFonts w:hint="default"/>
      </w:rPr>
    </w:lvl>
    <w:lvl w:ilvl="1">
      <w:start w:val="1"/>
      <w:numFmt w:val="decimal"/>
      <w:suff w:val="space"/>
      <w:lvlText w:val="%2."/>
      <w:lvlJc w:val="left"/>
      <w:pPr>
        <w:ind w:left="0" w:firstLine="0"/>
      </w:pPr>
      <w:rPr>
        <w:rFonts w:hint="default"/>
      </w:rPr>
    </w:lvl>
    <w:lvl w:ilvl="2">
      <w:start w:val="1"/>
      <w:numFmt w:val="decimal"/>
      <w:suff w:val="space"/>
      <w:lvlText w:val="%2.%3."/>
      <w:lvlJc w:val="left"/>
      <w:pPr>
        <w:ind w:left="0" w:firstLine="0"/>
      </w:pPr>
      <w:rPr>
        <w:rFonts w:hint="default"/>
      </w:rPr>
    </w:lvl>
    <w:lvl w:ilvl="3">
      <w:start w:val="1"/>
      <w:numFmt w:val="decimal"/>
      <w:suff w:val="space"/>
      <w:lvlText w:val="%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12" w15:restartNumberingAfterBreak="0">
    <w:nsid w:val="5E827A20"/>
    <w:multiLevelType w:val="multilevel"/>
    <w:tmpl w:val="3170006C"/>
    <w:lvl w:ilvl="0">
      <w:start w:val="1"/>
      <w:numFmt w:val="upperLetter"/>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3"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4"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abstractNumId w:val="11"/>
  </w:num>
  <w:num w:numId="2">
    <w:abstractNumId w:val="11"/>
  </w:num>
  <w:num w:numId="3">
    <w:abstractNumId w:val="11"/>
  </w:num>
  <w:num w:numId="4">
    <w:abstractNumId w:val="11"/>
  </w:num>
  <w:num w:numId="5">
    <w:abstractNumId w:val="0"/>
  </w:num>
  <w:num w:numId="6">
    <w:abstractNumId w:val="6"/>
  </w:num>
  <w:num w:numId="7">
    <w:abstractNumId w:val="12"/>
  </w:num>
  <w:num w:numId="8">
    <w:abstractNumId w:val="1"/>
  </w:num>
  <w:num w:numId="9">
    <w:abstractNumId w:val="10"/>
  </w:num>
  <w:num w:numId="10">
    <w:abstractNumId w:val="14"/>
  </w:num>
  <w:num w:numId="11">
    <w:abstractNumId w:val="13"/>
  </w:num>
  <w:num w:numId="12">
    <w:abstractNumId w:val="5"/>
  </w:num>
  <w:num w:numId="13">
    <w:abstractNumId w:val="8"/>
  </w:num>
  <w:num w:numId="14">
    <w:abstractNumId w:val="2"/>
  </w:num>
  <w:num w:numId="15">
    <w:abstractNumId w:val="7"/>
  </w:num>
  <w:num w:numId="16">
    <w:abstractNumId w:val="3"/>
  </w:num>
  <w:num w:numId="17">
    <w:abstractNumId w:val="4"/>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83"/>
  <w:evenAndOddHeaders/>
  <w:drawingGridHorizontalSpacing w:val="100"/>
  <w:drawingGridVerticalSpacing w:val="136"/>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UyNDEwsTQ3NbQ0tDBS0lEKTi0uzszPAykwrAUAXXhSjCwAAAA="/>
  </w:docVars>
  <w:rsids>
    <w:rsidRoot w:val="00B63237"/>
    <w:rsid w:val="00032FC1"/>
    <w:rsid w:val="000415B9"/>
    <w:rsid w:val="00053775"/>
    <w:rsid w:val="00064E67"/>
    <w:rsid w:val="00091837"/>
    <w:rsid w:val="000D3D9B"/>
    <w:rsid w:val="000E0BA4"/>
    <w:rsid w:val="001572DC"/>
    <w:rsid w:val="0016032F"/>
    <w:rsid w:val="001879F6"/>
    <w:rsid w:val="001A7816"/>
    <w:rsid w:val="001B1DE3"/>
    <w:rsid w:val="001C0148"/>
    <w:rsid w:val="001C1013"/>
    <w:rsid w:val="001C757E"/>
    <w:rsid w:val="001D1524"/>
    <w:rsid w:val="001F624A"/>
    <w:rsid w:val="0020390F"/>
    <w:rsid w:val="00212DB6"/>
    <w:rsid w:val="00213844"/>
    <w:rsid w:val="00225A5B"/>
    <w:rsid w:val="00264926"/>
    <w:rsid w:val="00270B06"/>
    <w:rsid w:val="002B02FF"/>
    <w:rsid w:val="002B1333"/>
    <w:rsid w:val="002E1438"/>
    <w:rsid w:val="002E1665"/>
    <w:rsid w:val="002F053D"/>
    <w:rsid w:val="0033302A"/>
    <w:rsid w:val="00344D01"/>
    <w:rsid w:val="0036113D"/>
    <w:rsid w:val="003655EF"/>
    <w:rsid w:val="00394A96"/>
    <w:rsid w:val="003A72A8"/>
    <w:rsid w:val="003D1582"/>
    <w:rsid w:val="003D7E4C"/>
    <w:rsid w:val="003E41C2"/>
    <w:rsid w:val="003F55DA"/>
    <w:rsid w:val="004043A8"/>
    <w:rsid w:val="00405DEF"/>
    <w:rsid w:val="00413A0B"/>
    <w:rsid w:val="004546D4"/>
    <w:rsid w:val="004628E9"/>
    <w:rsid w:val="00496FB1"/>
    <w:rsid w:val="0049772C"/>
    <w:rsid w:val="0050057F"/>
    <w:rsid w:val="00507296"/>
    <w:rsid w:val="00507CB7"/>
    <w:rsid w:val="00552EEB"/>
    <w:rsid w:val="00567D93"/>
    <w:rsid w:val="0057572A"/>
    <w:rsid w:val="00576B67"/>
    <w:rsid w:val="005869D8"/>
    <w:rsid w:val="005B7E18"/>
    <w:rsid w:val="006132FF"/>
    <w:rsid w:val="006A69BF"/>
    <w:rsid w:val="006C11D1"/>
    <w:rsid w:val="006D01A8"/>
    <w:rsid w:val="006D52ED"/>
    <w:rsid w:val="00702780"/>
    <w:rsid w:val="00711DF4"/>
    <w:rsid w:val="00723122"/>
    <w:rsid w:val="007C4353"/>
    <w:rsid w:val="007C79B6"/>
    <w:rsid w:val="007D70A1"/>
    <w:rsid w:val="007F0038"/>
    <w:rsid w:val="008132E8"/>
    <w:rsid w:val="00823407"/>
    <w:rsid w:val="00874E79"/>
    <w:rsid w:val="00876942"/>
    <w:rsid w:val="008B0184"/>
    <w:rsid w:val="008C5D02"/>
    <w:rsid w:val="008D2649"/>
    <w:rsid w:val="0090568D"/>
    <w:rsid w:val="00907F5D"/>
    <w:rsid w:val="009125C9"/>
    <w:rsid w:val="00913879"/>
    <w:rsid w:val="00916831"/>
    <w:rsid w:val="009175BA"/>
    <w:rsid w:val="00917661"/>
    <w:rsid w:val="00920107"/>
    <w:rsid w:val="00921770"/>
    <w:rsid w:val="00926D74"/>
    <w:rsid w:val="00935375"/>
    <w:rsid w:val="00943838"/>
    <w:rsid w:val="00950D1C"/>
    <w:rsid w:val="00970E5D"/>
    <w:rsid w:val="009727E7"/>
    <w:rsid w:val="0097701C"/>
    <w:rsid w:val="00980A65"/>
    <w:rsid w:val="009822B9"/>
    <w:rsid w:val="009876AE"/>
    <w:rsid w:val="009D7978"/>
    <w:rsid w:val="00A00CAA"/>
    <w:rsid w:val="00A01693"/>
    <w:rsid w:val="00A055D0"/>
    <w:rsid w:val="00A25E70"/>
    <w:rsid w:val="00A33765"/>
    <w:rsid w:val="00A46CC2"/>
    <w:rsid w:val="00A54FA6"/>
    <w:rsid w:val="00A63269"/>
    <w:rsid w:val="00A92377"/>
    <w:rsid w:val="00AA06CC"/>
    <w:rsid w:val="00AB29ED"/>
    <w:rsid w:val="00AE4BD8"/>
    <w:rsid w:val="00AF7F60"/>
    <w:rsid w:val="00B4388F"/>
    <w:rsid w:val="00B63237"/>
    <w:rsid w:val="00B7695B"/>
    <w:rsid w:val="00B827AA"/>
    <w:rsid w:val="00B96FD8"/>
    <w:rsid w:val="00BB2CE2"/>
    <w:rsid w:val="00BD2651"/>
    <w:rsid w:val="00BD3A16"/>
    <w:rsid w:val="00C3037C"/>
    <w:rsid w:val="00C359ED"/>
    <w:rsid w:val="00C430E7"/>
    <w:rsid w:val="00C960DC"/>
    <w:rsid w:val="00CA72D0"/>
    <w:rsid w:val="00CC2DEF"/>
    <w:rsid w:val="00CF078F"/>
    <w:rsid w:val="00D02C75"/>
    <w:rsid w:val="00D10E22"/>
    <w:rsid w:val="00D13D2C"/>
    <w:rsid w:val="00D33EC8"/>
    <w:rsid w:val="00D37222"/>
    <w:rsid w:val="00D51712"/>
    <w:rsid w:val="00D51DF6"/>
    <w:rsid w:val="00D7441A"/>
    <w:rsid w:val="00D92C68"/>
    <w:rsid w:val="00DA4641"/>
    <w:rsid w:val="00DC2F94"/>
    <w:rsid w:val="00DC5673"/>
    <w:rsid w:val="00DD3D9E"/>
    <w:rsid w:val="00DD7908"/>
    <w:rsid w:val="00E422A2"/>
    <w:rsid w:val="00E82297"/>
    <w:rsid w:val="00EA467C"/>
    <w:rsid w:val="00ED1670"/>
    <w:rsid w:val="00EF2BFB"/>
    <w:rsid w:val="00EF39FD"/>
    <w:rsid w:val="00F06842"/>
    <w:rsid w:val="00F107FD"/>
    <w:rsid w:val="00FB64A8"/>
    <w:rsid w:val="00FF6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44DE67F"/>
  <w15:docId w15:val="{B89D3AFA-8814-4AAB-A339-741809258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8B0184"/>
    <w:rPr>
      <w:lang w:eastAsia="en-US"/>
    </w:rPr>
  </w:style>
  <w:style w:type="paragraph" w:styleId="Heading3">
    <w:name w:val="heading 3"/>
    <w:basedOn w:val="Normal"/>
    <w:next w:val="Normal"/>
    <w:qFormat/>
    <w:rsid w:val="008B0184"/>
    <w:pPr>
      <w:keepNext/>
      <w:spacing w:before="240" w:after="60"/>
      <w:outlineLvl w:val="2"/>
    </w:pPr>
    <w:rPr>
      <w:rFonts w:ascii="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Els-caption"/>
    <w:next w:val="Els-caption"/>
    <w:qFormat/>
    <w:rsid w:val="008B0184"/>
  </w:style>
  <w:style w:type="paragraph" w:customStyle="1" w:styleId="Els-caption">
    <w:name w:val="Els-caption"/>
    <w:rsid w:val="008B0184"/>
    <w:pPr>
      <w:keepLines/>
      <w:spacing w:before="100" w:after="120"/>
    </w:pPr>
    <w:rPr>
      <w:sz w:val="18"/>
      <w:lang w:val="en-US" w:eastAsia="en-US"/>
    </w:rPr>
  </w:style>
  <w:style w:type="paragraph" w:customStyle="1" w:styleId="Els-1storder-head">
    <w:name w:val="Els-1storder-head"/>
    <w:basedOn w:val="Els-body-text"/>
    <w:next w:val="Els-body-text"/>
    <w:rsid w:val="008B0184"/>
    <w:pPr>
      <w:keepNext/>
      <w:numPr>
        <w:ilvl w:val="1"/>
        <w:numId w:val="17"/>
      </w:numPr>
      <w:suppressAutoHyphens/>
      <w:spacing w:before="240" w:after="60" w:line="240" w:lineRule="exact"/>
    </w:pPr>
    <w:rPr>
      <w:b/>
      <w:sz w:val="22"/>
    </w:rPr>
  </w:style>
  <w:style w:type="paragraph" w:customStyle="1" w:styleId="Els-body-text">
    <w:name w:val="Els-body-text"/>
    <w:rsid w:val="008B0184"/>
    <w:pPr>
      <w:jc w:val="both"/>
    </w:pPr>
    <w:rPr>
      <w:lang w:val="en-US" w:eastAsia="en-US"/>
    </w:rPr>
  </w:style>
  <w:style w:type="paragraph" w:customStyle="1" w:styleId="Els-2ndorder-head">
    <w:name w:val="Els-2ndorder-head"/>
    <w:basedOn w:val="Els-body-text"/>
    <w:next w:val="Els-body-text"/>
    <w:rsid w:val="008B0184"/>
    <w:pPr>
      <w:keepNext/>
      <w:numPr>
        <w:ilvl w:val="2"/>
        <w:numId w:val="17"/>
      </w:numPr>
      <w:suppressAutoHyphens/>
      <w:spacing w:before="80"/>
    </w:pPr>
    <w:rPr>
      <w:i/>
    </w:rPr>
  </w:style>
  <w:style w:type="paragraph" w:customStyle="1" w:styleId="Els-3rdorder-head">
    <w:name w:val="Els-3rdorder-head"/>
    <w:basedOn w:val="Els-body-text"/>
    <w:next w:val="Els-body-text"/>
    <w:rsid w:val="008B0184"/>
    <w:pPr>
      <w:keepNext/>
      <w:numPr>
        <w:ilvl w:val="3"/>
        <w:numId w:val="17"/>
      </w:numPr>
      <w:suppressAutoHyphens/>
      <w:spacing w:before="60"/>
    </w:pPr>
    <w:rPr>
      <w:i/>
    </w:rPr>
  </w:style>
  <w:style w:type="paragraph" w:customStyle="1" w:styleId="Els-Affiliation">
    <w:name w:val="Els-Affiliation"/>
    <w:rsid w:val="008B0184"/>
    <w:pPr>
      <w:suppressAutoHyphens/>
      <w:spacing w:line="240" w:lineRule="exact"/>
    </w:pPr>
    <w:rPr>
      <w:i/>
      <w:noProof/>
      <w:lang w:eastAsia="en-US"/>
    </w:rPr>
  </w:style>
  <w:style w:type="paragraph" w:customStyle="1" w:styleId="Els-Author">
    <w:name w:val="Els-Author"/>
    <w:next w:val="Els-Affiliation"/>
    <w:rsid w:val="008B0184"/>
    <w:pPr>
      <w:keepNext/>
      <w:suppressAutoHyphens/>
      <w:spacing w:after="60" w:line="310" w:lineRule="exact"/>
    </w:pPr>
    <w:rPr>
      <w:noProof/>
      <w:sz w:val="22"/>
      <w:lang w:eastAsia="en-US"/>
    </w:rPr>
  </w:style>
  <w:style w:type="paragraph" w:customStyle="1" w:styleId="Els-bulletlist">
    <w:name w:val="Els-bulletlist"/>
    <w:basedOn w:val="Els-body-text"/>
    <w:rsid w:val="008B0184"/>
    <w:pPr>
      <w:tabs>
        <w:tab w:val="left" w:pos="240"/>
        <w:tab w:val="num" w:pos="360"/>
      </w:tabs>
      <w:ind w:left="240" w:hanging="240"/>
      <w:jc w:val="left"/>
    </w:pPr>
  </w:style>
  <w:style w:type="paragraph" w:customStyle="1" w:styleId="Els-chem-equation">
    <w:name w:val="Els-chem-equation"/>
    <w:basedOn w:val="Els-body-text"/>
    <w:next w:val="Els-body-text"/>
    <w:rsid w:val="008B0184"/>
    <w:pPr>
      <w:tabs>
        <w:tab w:val="right" w:pos="7088"/>
      </w:tabs>
      <w:spacing w:before="120" w:after="120"/>
    </w:pPr>
    <w:rPr>
      <w:noProof/>
      <w:lang w:val="en-GB"/>
    </w:rPr>
  </w:style>
  <w:style w:type="paragraph" w:customStyle="1" w:styleId="Els-equation">
    <w:name w:val="Els-equation"/>
    <w:basedOn w:val="Els-body-text"/>
    <w:next w:val="Els-body-text"/>
    <w:rsid w:val="008B0184"/>
    <w:pPr>
      <w:tabs>
        <w:tab w:val="right" w:pos="7088"/>
      </w:tabs>
      <w:spacing w:before="120" w:after="120"/>
    </w:pPr>
    <w:rPr>
      <w:i/>
      <w:noProof/>
      <w:lang w:val="en-GB"/>
    </w:rPr>
  </w:style>
  <w:style w:type="paragraph" w:customStyle="1" w:styleId="Els-footnote">
    <w:name w:val="Els-footnote"/>
    <w:rsid w:val="008B0184"/>
    <w:pPr>
      <w:keepLines/>
      <w:widowControl w:val="0"/>
      <w:ind w:left="120" w:hanging="120"/>
    </w:pPr>
    <w:rPr>
      <w:sz w:val="18"/>
      <w:lang w:val="en-US" w:eastAsia="en-US"/>
    </w:rPr>
  </w:style>
  <w:style w:type="paragraph" w:customStyle="1" w:styleId="Els-numlist">
    <w:name w:val="Els-numlist"/>
    <w:basedOn w:val="Els-body-text"/>
    <w:rsid w:val="008B0184"/>
    <w:pPr>
      <w:tabs>
        <w:tab w:val="left" w:pos="240"/>
        <w:tab w:val="num" w:pos="360"/>
      </w:tabs>
      <w:ind w:left="240" w:hanging="240"/>
      <w:jc w:val="left"/>
    </w:pPr>
  </w:style>
  <w:style w:type="paragraph" w:customStyle="1" w:styleId="Els-reference">
    <w:name w:val="Els-reference"/>
    <w:rsid w:val="008B0184"/>
    <w:pPr>
      <w:numPr>
        <w:numId w:val="15"/>
      </w:numPr>
      <w:ind w:left="482"/>
    </w:pPr>
    <w:rPr>
      <w:noProof/>
      <w:sz w:val="18"/>
      <w:lang w:eastAsia="en-US"/>
    </w:rPr>
  </w:style>
  <w:style w:type="paragraph" w:customStyle="1" w:styleId="Els-reference-head">
    <w:name w:val="Els-reference-head"/>
    <w:basedOn w:val="Els-body-text"/>
    <w:next w:val="Els-referenceno-number"/>
    <w:rsid w:val="008B0184"/>
    <w:pPr>
      <w:keepNext/>
      <w:spacing w:before="240" w:after="60"/>
    </w:pPr>
    <w:rPr>
      <w:b/>
      <w:sz w:val="22"/>
      <w:szCs w:val="22"/>
    </w:rPr>
  </w:style>
  <w:style w:type="paragraph" w:customStyle="1" w:styleId="Els-table-text">
    <w:name w:val="Els-table-text"/>
    <w:rsid w:val="008B0184"/>
    <w:pPr>
      <w:keepNext/>
      <w:spacing w:after="80" w:line="240" w:lineRule="exact"/>
    </w:pPr>
    <w:rPr>
      <w:sz w:val="18"/>
      <w:lang w:val="en-US" w:eastAsia="en-US"/>
    </w:rPr>
  </w:style>
  <w:style w:type="paragraph" w:customStyle="1" w:styleId="Els-Title">
    <w:name w:val="Els-Title"/>
    <w:next w:val="Els-Author"/>
    <w:rsid w:val="008B0184"/>
    <w:pPr>
      <w:suppressAutoHyphens/>
      <w:spacing w:before="240" w:after="120" w:line="360" w:lineRule="exact"/>
    </w:pPr>
    <w:rPr>
      <w:b/>
      <w:sz w:val="32"/>
      <w:lang w:val="en-US" w:eastAsia="en-US"/>
    </w:rPr>
  </w:style>
  <w:style w:type="character" w:styleId="EndnoteReference">
    <w:name w:val="endnote reference"/>
    <w:basedOn w:val="DefaultParagraphFont"/>
    <w:semiHidden/>
    <w:rsid w:val="008B0184"/>
    <w:rPr>
      <w:vertAlign w:val="superscript"/>
    </w:rPr>
  </w:style>
  <w:style w:type="paragraph" w:styleId="Header">
    <w:name w:val="header"/>
    <w:rsid w:val="008B0184"/>
    <w:pPr>
      <w:tabs>
        <w:tab w:val="center" w:pos="3600"/>
        <w:tab w:val="right" w:pos="7200"/>
      </w:tabs>
      <w:spacing w:line="200" w:lineRule="atLeast"/>
    </w:pPr>
    <w:rPr>
      <w:noProof/>
      <w:lang w:eastAsia="en-US"/>
    </w:rPr>
  </w:style>
  <w:style w:type="paragraph" w:styleId="Footer">
    <w:name w:val="footer"/>
    <w:basedOn w:val="Header"/>
    <w:rsid w:val="008B0184"/>
  </w:style>
  <w:style w:type="character" w:styleId="FootnoteReference">
    <w:name w:val="footnote reference"/>
    <w:semiHidden/>
    <w:rsid w:val="008B0184"/>
    <w:rPr>
      <w:vertAlign w:val="superscript"/>
    </w:rPr>
  </w:style>
  <w:style w:type="paragraph" w:styleId="FootnoteText">
    <w:name w:val="footnote text"/>
    <w:basedOn w:val="Normal"/>
    <w:semiHidden/>
    <w:rsid w:val="008B0184"/>
    <w:rPr>
      <w:rFonts w:ascii="Univers" w:hAnsi="Univers"/>
    </w:rPr>
  </w:style>
  <w:style w:type="character" w:styleId="Hyperlink">
    <w:name w:val="Hyperlink"/>
    <w:basedOn w:val="DefaultParagraphFont"/>
    <w:rsid w:val="008B0184"/>
    <w:rPr>
      <w:color w:val="0000FF"/>
      <w:u w:val="single"/>
    </w:rPr>
  </w:style>
  <w:style w:type="character" w:customStyle="1" w:styleId="MTEquationSection">
    <w:name w:val="MTEquationSection"/>
    <w:basedOn w:val="DefaultParagraphFont"/>
    <w:rsid w:val="008B0184"/>
    <w:rPr>
      <w:vanish/>
      <w:color w:val="FF0000"/>
    </w:rPr>
  </w:style>
  <w:style w:type="character" w:styleId="PageNumber">
    <w:name w:val="page number"/>
    <w:basedOn w:val="DefaultParagraphFont"/>
    <w:rsid w:val="008B0184"/>
    <w:rPr>
      <w:sz w:val="20"/>
      <w:szCs w:val="20"/>
    </w:rPr>
  </w:style>
  <w:style w:type="paragraph" w:customStyle="1" w:styleId="Els-Chapterno">
    <w:name w:val="Els-Chapter no"/>
    <w:rsid w:val="008B0184"/>
    <w:pPr>
      <w:numPr>
        <w:numId w:val="17"/>
      </w:numPr>
      <w:spacing w:before="907" w:line="260" w:lineRule="exact"/>
    </w:pPr>
    <w:rPr>
      <w:sz w:val="24"/>
      <w:szCs w:val="24"/>
      <w:lang w:val="en-US" w:eastAsia="en-US"/>
    </w:rPr>
  </w:style>
  <w:style w:type="paragraph" w:customStyle="1" w:styleId="Els-referenceno-number">
    <w:name w:val="Els-reference no-number"/>
    <w:basedOn w:val="Els-reference"/>
    <w:rsid w:val="008B0184"/>
    <w:pPr>
      <w:numPr>
        <w:numId w:val="0"/>
      </w:numPr>
      <w:ind w:left="240" w:hanging="240"/>
    </w:pPr>
  </w:style>
  <w:style w:type="character" w:customStyle="1" w:styleId="Els-captionChar">
    <w:name w:val="Els-caption Char"/>
    <w:basedOn w:val="DefaultParagraphFont"/>
    <w:rsid w:val="008B0184"/>
    <w:rPr>
      <w:sz w:val="18"/>
      <w:lang w:val="en-US" w:eastAsia="en-US" w:bidi="ar-SA"/>
    </w:rPr>
  </w:style>
  <w:style w:type="character" w:styleId="CommentReference">
    <w:name w:val="annotation reference"/>
    <w:basedOn w:val="DefaultParagraphFont"/>
    <w:semiHidden/>
    <w:rsid w:val="008B0184"/>
    <w:rPr>
      <w:sz w:val="16"/>
      <w:szCs w:val="16"/>
    </w:rPr>
  </w:style>
  <w:style w:type="paragraph" w:styleId="CommentText">
    <w:name w:val="annotation text"/>
    <w:basedOn w:val="Normal"/>
    <w:semiHidden/>
    <w:rsid w:val="008B0184"/>
  </w:style>
  <w:style w:type="paragraph" w:styleId="CommentSubject">
    <w:name w:val="annotation subject"/>
    <w:basedOn w:val="CommentText"/>
    <w:next w:val="CommentText"/>
    <w:semiHidden/>
    <w:rsid w:val="008B0184"/>
    <w:rPr>
      <w:b/>
      <w:bCs/>
    </w:rPr>
  </w:style>
  <w:style w:type="paragraph" w:styleId="BalloonText">
    <w:name w:val="Balloon Text"/>
    <w:basedOn w:val="Normal"/>
    <w:semiHidden/>
    <w:rsid w:val="008B0184"/>
    <w:rPr>
      <w:rFonts w:ascii="Tahoma" w:hAnsi="Tahoma" w:cs="Tahoma"/>
      <w:sz w:val="16"/>
      <w:szCs w:val="16"/>
    </w:rPr>
  </w:style>
  <w:style w:type="paragraph" w:customStyle="1" w:styleId="Els-Abstract">
    <w:name w:val="Els-Abstract"/>
    <w:basedOn w:val="Els-1storder-head"/>
    <w:next w:val="Els-body-text"/>
    <w:autoRedefine/>
    <w:rsid w:val="008B0184"/>
    <w:pPr>
      <w:numPr>
        <w:ilvl w:val="0"/>
        <w:numId w:val="0"/>
      </w:numPr>
    </w:pPr>
  </w:style>
  <w:style w:type="character" w:customStyle="1" w:styleId="underline1">
    <w:name w:val="underline1"/>
    <w:basedOn w:val="DefaultParagraphFont"/>
    <w:rsid w:val="00F06842"/>
    <w:rPr>
      <w:u w:val="single"/>
    </w:rPr>
  </w:style>
  <w:style w:type="paragraph" w:customStyle="1" w:styleId="ElsevierBodyTextCentredNospace">
    <w:name w:val="Elsevier Body Text Centred No space"/>
    <w:basedOn w:val="Normal"/>
    <w:qFormat/>
    <w:rsid w:val="00F06842"/>
    <w:pPr>
      <w:jc w:val="center"/>
    </w:pPr>
    <w:rPr>
      <w:bCs/>
      <w:iCs/>
      <w:color w:val="000000" w:themeColor="text1"/>
      <w:sz w:val="22"/>
      <w:szCs w:val="24"/>
      <w:lang w:val="en-US"/>
    </w:rPr>
  </w:style>
  <w:style w:type="character" w:styleId="UnresolvedMention">
    <w:name w:val="Unresolved Mention"/>
    <w:basedOn w:val="DefaultParagraphFont"/>
    <w:uiPriority w:val="99"/>
    <w:semiHidden/>
    <w:unhideWhenUsed/>
    <w:rsid w:val="00702780"/>
    <w:rPr>
      <w:color w:val="605E5C"/>
      <w:shd w:val="clear" w:color="auto" w:fill="E1DFDD"/>
    </w:rPr>
  </w:style>
  <w:style w:type="paragraph" w:styleId="Bibliography">
    <w:name w:val="Bibliography"/>
    <w:basedOn w:val="Normal"/>
    <w:next w:val="Normal"/>
    <w:uiPriority w:val="37"/>
    <w:unhideWhenUsed/>
    <w:rsid w:val="002E1665"/>
    <w:pPr>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nakisk\KOSTAS-10%20July%202017\books\book%20proposals\Computer%20Aided%20Chemical%20Engineering\Instructions\Chapt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B0243A-3F3E-49C9-BD25-F3EC20D74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Chapter</Template>
  <TotalTime>0</TotalTime>
  <Pages>3</Pages>
  <Words>2299</Words>
  <Characters>13107</Characters>
  <Application>Microsoft Office Word</Application>
  <DocSecurity>0</DocSecurity>
  <Lines>109</Lines>
  <Paragraphs>30</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Chapter</vt:lpstr>
      <vt:lpstr>Chapter</vt:lpstr>
    </vt:vector>
  </TitlesOfParts>
  <Company>Elsevier Science</Company>
  <LinksUpToDate>false</LinksUpToDate>
  <CharactersWithSpaces>15376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dc:title>
  <dc:creator>Kostas</dc:creator>
  <cp:lastModifiedBy>Nabera  Abhinandan</cp:lastModifiedBy>
  <cp:revision>83</cp:revision>
  <cp:lastPrinted>2004-12-17T09:20:00Z</cp:lastPrinted>
  <dcterms:created xsi:type="dcterms:W3CDTF">2023-10-05T08:00:00Z</dcterms:created>
  <dcterms:modified xsi:type="dcterms:W3CDTF">2023-11-23T19:16:00Z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2023-10-02T08:38:43Z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d1e5754d-f2d2-4025-b8e5-4cd2943f5f30</vt:lpwstr>
  </property>
  <property fmtid="{D5CDD505-2E9C-101B-9397-08002B2CF9AE}" pid="8" name="MSIP_Label_549ac42a-3eb4-4074-b885-aea26bd6241e_ContentBits">
    <vt:lpwstr>0</vt:lpwstr>
  </property>
  <property fmtid="{D5CDD505-2E9C-101B-9397-08002B2CF9AE}" pid="9" name="GrammarlyDocumentId">
    <vt:lpwstr>1dbdf9704ae63b23c772d0a2d4dc5007e513b2143281315c46e9c661110ba89d</vt:lpwstr>
  </property>
  <property fmtid="{D5CDD505-2E9C-101B-9397-08002B2CF9AE}" pid="10" name="ZOTERO_PREF_1">
    <vt:lpwstr>&lt;data data-version="3" zotero-version="6.0.30"&gt;&lt;session id="ku4BbpUt"/&gt;&lt;style id="http://www.zotero.org/styles/computers-and-chemical-engineering" hasBibliography="1" bibliographyStyleHasBeenSet="1"/&gt;&lt;prefs&gt;&lt;pref name="fieldType" value="Field"/&gt;&lt;pref name</vt:lpwstr>
  </property>
  <property fmtid="{D5CDD505-2E9C-101B-9397-08002B2CF9AE}" pid="11" name="ZOTERO_PREF_2">
    <vt:lpwstr>="automaticJournalAbbreviations" value="true"/&gt;&lt;/prefs&gt;&lt;/data&gt;</vt:lpwstr>
  </property>
</Properties>
</file>