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4995960" w14:textId="77777777" w:rsidR="005B7457" w:rsidRPr="003B0211" w:rsidRDefault="00496959" w:rsidP="006D65E3">
      <w:pPr>
        <w:pStyle w:val="TitleAbstractICC2024"/>
      </w:pPr>
      <w:commentRangeStart w:id="0"/>
      <w:r>
        <w:t>Exploring the environmental impact of platform chemicals through prospective life cycle analysis</w:t>
      </w:r>
      <w:commentRangeEnd w:id="0"/>
      <w:r w:rsidR="007F30F4">
        <w:rPr>
          <w:rStyle w:val="CommentReference"/>
          <w:rFonts w:ascii="Times New Roman" w:hAnsi="Times New Roman" w:cs="Times New Roman"/>
          <w:b w:val="0"/>
        </w:rPr>
        <w:commentReference w:id="0"/>
      </w:r>
    </w:p>
    <w:p w14:paraId="2A067B9D" w14:textId="77777777" w:rsidR="005B7457" w:rsidRPr="003B0211" w:rsidRDefault="005B7457">
      <w:pPr>
        <w:jc w:val="center"/>
        <w:rPr>
          <w:rFonts w:ascii="Calibri" w:hAnsi="Calibri" w:cs="Calibri"/>
          <w:sz w:val="16"/>
        </w:rPr>
      </w:pPr>
    </w:p>
    <w:p w14:paraId="55C0F14D" w14:textId="77777777" w:rsidR="005B7457" w:rsidRPr="007F30F4" w:rsidRDefault="00496959">
      <w:pPr>
        <w:pStyle w:val="AuthorsNACS"/>
        <w:rPr>
          <w:rFonts w:ascii="Calibri" w:hAnsi="Calibri" w:cs="Calibri"/>
          <w:lang w:val="es-ES"/>
        </w:rPr>
      </w:pPr>
      <w:r w:rsidRPr="007F30F4">
        <w:rPr>
          <w:rFonts w:ascii="Calibri" w:hAnsi="Calibri" w:cs="Calibri"/>
          <w:u w:val="single"/>
          <w:lang w:val="es-ES"/>
        </w:rPr>
        <w:t>Abhinandan Nabera</w:t>
      </w:r>
      <w:r w:rsidR="005B7457" w:rsidRPr="007F30F4">
        <w:rPr>
          <w:rFonts w:ascii="Calibri" w:hAnsi="Calibri" w:cs="Calibri"/>
          <w:vertAlign w:val="superscript"/>
          <w:lang w:val="es-ES"/>
        </w:rPr>
        <w:t>1</w:t>
      </w:r>
      <w:r w:rsidR="00AD715F" w:rsidRPr="007F30F4">
        <w:rPr>
          <w:rFonts w:ascii="Calibri" w:hAnsi="Calibri" w:cs="Calibri"/>
          <w:lang w:val="es-ES"/>
        </w:rPr>
        <w:t xml:space="preserve">, </w:t>
      </w:r>
      <w:r w:rsidRPr="007F30F4">
        <w:rPr>
          <w:rFonts w:ascii="Calibri" w:hAnsi="Calibri" w:cs="Calibri"/>
          <w:lang w:val="es-ES"/>
        </w:rPr>
        <w:t>Antonio José Martín</w:t>
      </w:r>
      <w:r w:rsidRPr="007F30F4">
        <w:rPr>
          <w:rFonts w:ascii="Calibri" w:hAnsi="Calibri" w:cs="Calibri"/>
          <w:vertAlign w:val="superscript"/>
          <w:lang w:val="es-ES"/>
        </w:rPr>
        <w:t>1</w:t>
      </w:r>
      <w:r w:rsidR="00C62C41" w:rsidRPr="007F30F4">
        <w:rPr>
          <w:rFonts w:ascii="Calibri" w:hAnsi="Calibri" w:cs="Calibri"/>
          <w:lang w:val="es-ES"/>
        </w:rPr>
        <w:t>, Ioan</w:t>
      </w:r>
      <w:r w:rsidR="00C62C41" w:rsidRPr="007F30F4">
        <w:rPr>
          <w:rFonts w:ascii="Calibri" w:hAnsi="Calibri" w:cs="Calibri"/>
          <w:lang w:val="es-ES"/>
        </w:rPr>
        <w:noBreakHyphen/>
        <w:t>Robert Istrate</w:t>
      </w:r>
      <w:r w:rsidR="00C62C41" w:rsidRPr="007F30F4">
        <w:rPr>
          <w:rFonts w:ascii="Calibri" w:hAnsi="Calibri" w:cs="Calibri"/>
          <w:vertAlign w:val="superscript"/>
          <w:lang w:val="es-ES"/>
        </w:rPr>
        <w:t>2</w:t>
      </w:r>
      <w:r w:rsidR="00C62C41" w:rsidRPr="007F30F4">
        <w:rPr>
          <w:rFonts w:ascii="Calibri" w:hAnsi="Calibri" w:cs="Calibri"/>
          <w:lang w:val="es-ES"/>
        </w:rPr>
        <w:t xml:space="preserve">, </w:t>
      </w:r>
      <w:r w:rsidRPr="007F30F4">
        <w:rPr>
          <w:rFonts w:ascii="Calibri" w:hAnsi="Calibri" w:cs="Calibri"/>
          <w:lang w:val="es-ES"/>
        </w:rPr>
        <w:t>Javier Pérez</w:t>
      </w:r>
      <w:r w:rsidR="00951443" w:rsidRPr="007F30F4">
        <w:rPr>
          <w:rFonts w:ascii="Calibri" w:hAnsi="Calibri" w:cs="Calibri"/>
          <w:lang w:val="es-ES"/>
        </w:rPr>
        <w:noBreakHyphen/>
      </w:r>
      <w:r w:rsidRPr="007F30F4">
        <w:rPr>
          <w:rFonts w:ascii="Calibri" w:hAnsi="Calibri" w:cs="Calibri"/>
          <w:lang w:val="es-ES"/>
        </w:rPr>
        <w:t>Ramírez</w:t>
      </w:r>
      <w:r w:rsidRPr="007F30F4">
        <w:rPr>
          <w:rFonts w:ascii="Calibri" w:hAnsi="Calibri" w:cs="Calibri"/>
          <w:vertAlign w:val="superscript"/>
          <w:lang w:val="es-ES"/>
        </w:rPr>
        <w:t>1</w:t>
      </w:r>
      <w:r w:rsidR="005B7457" w:rsidRPr="007F30F4">
        <w:rPr>
          <w:rFonts w:ascii="Calibri" w:hAnsi="Calibri" w:cs="Calibri"/>
          <w:lang w:val="es-ES"/>
        </w:rPr>
        <w:t>*</w:t>
      </w:r>
      <w:r w:rsidRPr="007F30F4">
        <w:rPr>
          <w:rFonts w:ascii="Calibri" w:hAnsi="Calibri" w:cs="Calibri"/>
          <w:lang w:val="es-ES"/>
        </w:rPr>
        <w:t>, Gonzalo Guillén</w:t>
      </w:r>
      <w:r w:rsidR="00EA1785" w:rsidRPr="007F30F4">
        <w:rPr>
          <w:rFonts w:ascii="Calibri" w:hAnsi="Calibri" w:cs="Calibri"/>
          <w:lang w:val="es-ES"/>
        </w:rPr>
        <w:noBreakHyphen/>
      </w:r>
      <w:r w:rsidRPr="007F30F4">
        <w:rPr>
          <w:rFonts w:ascii="Calibri" w:hAnsi="Calibri" w:cs="Calibri"/>
          <w:lang w:val="es-ES"/>
        </w:rPr>
        <w:t>Gosálbez</w:t>
      </w:r>
      <w:r w:rsidRPr="007F30F4">
        <w:rPr>
          <w:rFonts w:ascii="Calibri" w:hAnsi="Calibri" w:cs="Calibri"/>
          <w:vertAlign w:val="superscript"/>
          <w:lang w:val="es-ES"/>
        </w:rPr>
        <w:t>1</w:t>
      </w:r>
      <w:r w:rsidRPr="007F30F4">
        <w:rPr>
          <w:rFonts w:ascii="Calibri" w:hAnsi="Calibri" w:cs="Calibri"/>
          <w:lang w:val="es-ES"/>
        </w:rPr>
        <w:t>*</w:t>
      </w:r>
    </w:p>
    <w:p w14:paraId="65F60ACF" w14:textId="77777777" w:rsidR="005B7457" w:rsidRPr="003B0211" w:rsidRDefault="005B7457" w:rsidP="00496959">
      <w:pPr>
        <w:pStyle w:val="AuthorAddressNACS"/>
        <w:rPr>
          <w:rFonts w:ascii="Calibri" w:hAnsi="Calibri" w:cs="Calibri"/>
        </w:rPr>
      </w:pPr>
      <w:r w:rsidRPr="003B0211">
        <w:rPr>
          <w:rFonts w:ascii="Calibri" w:hAnsi="Calibri" w:cs="Calibri"/>
          <w:vertAlign w:val="superscript"/>
        </w:rPr>
        <w:t>1</w:t>
      </w:r>
      <w:r w:rsidR="00496959" w:rsidRPr="00122F3B">
        <w:rPr>
          <w:rFonts w:ascii="Calibri" w:hAnsi="Calibri" w:cs="Calibri"/>
        </w:rPr>
        <w:t>Department of Chemistry and Applied Biosciences, ETH Zurich</w:t>
      </w:r>
      <w:r w:rsidR="00496959" w:rsidRPr="003B0211">
        <w:rPr>
          <w:rFonts w:ascii="Calibri" w:hAnsi="Calibri" w:cs="Calibri"/>
        </w:rPr>
        <w:t xml:space="preserve">, </w:t>
      </w:r>
      <w:r w:rsidR="00496959">
        <w:rPr>
          <w:rFonts w:ascii="Calibri" w:hAnsi="Calibri" w:cs="Calibri"/>
        </w:rPr>
        <w:t>8093</w:t>
      </w:r>
      <w:r w:rsidR="00496959" w:rsidRPr="003B0211">
        <w:rPr>
          <w:rFonts w:ascii="Calibri" w:hAnsi="Calibri" w:cs="Calibri"/>
        </w:rPr>
        <w:t xml:space="preserve"> </w:t>
      </w:r>
      <w:r w:rsidR="00496959">
        <w:rPr>
          <w:rFonts w:ascii="Calibri" w:hAnsi="Calibri" w:cs="Calibri"/>
        </w:rPr>
        <w:t>Zurich</w:t>
      </w:r>
      <w:r w:rsidR="00496959" w:rsidRPr="003B0211">
        <w:rPr>
          <w:rFonts w:ascii="Calibri" w:hAnsi="Calibri" w:cs="Calibri"/>
        </w:rPr>
        <w:t xml:space="preserve">, </w:t>
      </w:r>
      <w:r w:rsidR="00496959">
        <w:rPr>
          <w:rFonts w:ascii="Calibri" w:hAnsi="Calibri" w:cs="Calibri"/>
        </w:rPr>
        <w:t>Switzerland</w:t>
      </w:r>
    </w:p>
    <w:p w14:paraId="2B09A05C" w14:textId="77777777" w:rsidR="005B7457" w:rsidRPr="003B0211" w:rsidRDefault="005B7457" w:rsidP="008D5791">
      <w:pPr>
        <w:pStyle w:val="AuthorAddressNACS"/>
        <w:rPr>
          <w:rFonts w:ascii="Calibri" w:hAnsi="Calibri" w:cs="Calibri"/>
        </w:rPr>
      </w:pPr>
      <w:r w:rsidRPr="003B0211">
        <w:rPr>
          <w:rFonts w:ascii="Calibri" w:hAnsi="Calibri" w:cs="Calibri"/>
          <w:vertAlign w:val="superscript"/>
        </w:rPr>
        <w:t>2</w:t>
      </w:r>
      <w:r w:rsidR="008D5791" w:rsidRPr="008D5791">
        <w:rPr>
          <w:rFonts w:ascii="Calibri" w:hAnsi="Calibri" w:cs="Calibri"/>
        </w:rPr>
        <w:t>Institute of Environmental Sciences (CML), Leiden University, Einsteinweg 2, 2333 CC Leiden, The Netherlands</w:t>
      </w:r>
    </w:p>
    <w:p w14:paraId="2B59B83F" w14:textId="77777777" w:rsidR="005B7457" w:rsidRPr="00496959" w:rsidRDefault="00BF4A2B">
      <w:pPr>
        <w:jc w:val="center"/>
        <w:rPr>
          <w:rFonts w:ascii="Calibri" w:hAnsi="Calibri" w:cs="Calibri"/>
          <w:sz w:val="16"/>
        </w:rPr>
      </w:pPr>
      <w:hyperlink r:id="rId11" w:history="1">
        <w:r w:rsidR="00496959" w:rsidRPr="00496959">
          <w:rPr>
            <w:rStyle w:val="Hyperlink"/>
            <w:rFonts w:ascii="Calibri" w:hAnsi="Calibri" w:cs="Calibri"/>
            <w:color w:val="auto"/>
            <w:sz w:val="16"/>
            <w:u w:val="none"/>
          </w:rPr>
          <w:t>*jpr@chem.ethz.ch</w:t>
        </w:r>
      </w:hyperlink>
      <w:r w:rsidR="00496959" w:rsidRPr="00496959">
        <w:rPr>
          <w:rFonts w:ascii="Calibri" w:hAnsi="Calibri" w:cs="Calibri"/>
          <w:sz w:val="16"/>
        </w:rPr>
        <w:t>, gonzalo.guillen.gosalbez@chem.ethz.ch</w:t>
      </w:r>
    </w:p>
    <w:p w14:paraId="2BFE2606" w14:textId="77777777" w:rsidR="005B7457" w:rsidRPr="003B0211" w:rsidRDefault="005B7457">
      <w:pPr>
        <w:jc w:val="center"/>
        <w:rPr>
          <w:rFonts w:ascii="Calibri" w:hAnsi="Calibri" w:cs="Calibri"/>
          <w:sz w:val="16"/>
        </w:rPr>
      </w:pPr>
    </w:p>
    <w:p w14:paraId="5005858D" w14:textId="77777777" w:rsidR="005B7457" w:rsidRPr="003B0211" w:rsidRDefault="005B7457">
      <w:pPr>
        <w:jc w:val="center"/>
        <w:rPr>
          <w:rFonts w:ascii="Calibri" w:hAnsi="Calibri" w:cs="Calibri"/>
          <w:sz w:val="16"/>
        </w:rPr>
      </w:pPr>
    </w:p>
    <w:p w14:paraId="7EE15619" w14:textId="77777777" w:rsidR="005B7457" w:rsidRPr="003B0211" w:rsidRDefault="005B7457" w:rsidP="00313932">
      <w:pPr>
        <w:pStyle w:val="SubtitleAbstractICC2024"/>
      </w:pPr>
      <w:r w:rsidRPr="003B0211">
        <w:t>Introduction</w:t>
      </w:r>
    </w:p>
    <w:p w14:paraId="25B10228" w14:textId="77777777" w:rsidR="005B7457" w:rsidRPr="003B0211" w:rsidRDefault="006A3B2F" w:rsidP="00BC44B5">
      <w:pPr>
        <w:pStyle w:val="ParagraphAbstractICC2024"/>
      </w:pPr>
      <w:commentRangeStart w:id="1"/>
      <w:r>
        <w:t>Traditional production pathways of platform chemicals like ammonia and methanol are heavily dependent on fossil fuels, resulting in significant CO</w:t>
      </w:r>
      <w:r w:rsidRPr="006A3B2F">
        <w:rPr>
          <w:vertAlign w:val="subscript"/>
        </w:rPr>
        <w:t>2</w:t>
      </w:r>
      <w:r>
        <w:t xml:space="preserve"> emissions (560 Gt y</w:t>
      </w:r>
      <w:r w:rsidRPr="006A3B2F">
        <w:rPr>
          <w:vertAlign w:val="superscript"/>
        </w:rPr>
        <w:t>–1</w:t>
      </w:r>
      <w:r>
        <w:t>).</w:t>
      </w:r>
      <w:r w:rsidR="00933155">
        <w:fldChar w:fldCharType="begin"/>
      </w:r>
      <w:r w:rsidR="00933155">
        <w:instrText xml:space="preserve"> ADDIN ZOTERO_ITEM CSL_CITATION {"citationID":"4hgUOFL4","properties":{"formattedCitation":"\\super 1\\nosupersub{}","plainCitation":"1","noteIndex":0},"citationItems":[{"id":297,"uris":["http://zotero.org/users/local/gMmtBwrT/items/736BXPD2"],"itemData":{"id":297,"type":"article-journal","abstract":"The chemical industry is responsible for about 5% of global CO2 emissions and is key to achieving net-zero targets. Decarbonizing this industry, nevertheless, faces particular challenges given the widespread use of carbon-rich raw materials, the need for high-temperature heat, and the complex global value chains. Multiple technology routes are now available for producing chemicals with net-zero CO2 emissions based on biomass, recycling, and carbon capture, utilization, and storage. However, the extent to which these routes are viable with respect to local availability of energy and natural resources remains unclear. In this review, we compare net-zero routes by quantifying their energy, land, and water requirements and the corresponding induced resource scarcity at the country level and further discuss the technical and environmental viability of a net-zero chemical industry. We ﬁnd that a net-zero chemical industry will require location-speciﬁc integrated solutions that combine net-zero routes with circular approaches and demand-side measures and might result in a reshaping of the global chemicals trade.","container-title":"One Earth","DOI":"10.1016/j.oneear.2023.05.006","ISSN":"25903322","issue":"6","journalAbbreviation":"One Earth","language":"en","page":"682-704","source":"DOI.org (Crossref)","title":"Net-zero emissions chemical industry in a world of limited resources","volume":"6","author":[{"family":"Gabrielli","given":"Paolo"},{"family":"Rosa","given":"Lorenzo"},{"family":"Gazzani","given":"Matteo"},{"family":"Meys","given":"Raoul"},{"family":"Bardow","given":"André"},{"family":"Mazzotti","given":"Marco"},{"family":"Sansavini","given":"Giovanni"}],"issued":{"date-parts":[["2023",6]]}}}],"schema":"https://github.com/citation-style-language/schema/raw/master/csl-citation.json"} </w:instrText>
      </w:r>
      <w:r w:rsidR="00933155">
        <w:fldChar w:fldCharType="separate"/>
      </w:r>
      <w:r w:rsidR="00933155" w:rsidRPr="00933155">
        <w:rPr>
          <w:szCs w:val="24"/>
          <w:vertAlign w:val="superscript"/>
        </w:rPr>
        <w:t>1</w:t>
      </w:r>
      <w:r w:rsidR="00933155">
        <w:fldChar w:fldCharType="end"/>
      </w:r>
      <w:r>
        <w:t xml:space="preserve"> In contrast, recent developments have introduced low</w:t>
      </w:r>
      <w:r>
        <w:noBreakHyphen/>
        <w:t>carbon production routes, utilizing green hydrogen, with their environmental performance evaluated through life cycle assessments (LCAs).</w:t>
      </w:r>
      <w:r w:rsidR="00772D80">
        <w:fldChar w:fldCharType="begin"/>
      </w:r>
      <w:r w:rsidR="00772D80">
        <w:instrText xml:space="preserve"> ADDIN ZOTERO_ITEM CSL_CITATION {"citationID":"ZHW7Pu5Y","properties":{"formattedCitation":"\\super 2,3\\nosupersub{}","plainCitation":"2,3","noteIndex":0},"citationItems":[{"id":301,"uris":["http://zotero.org/users/local/gMmtBwrT/items/PZCWKF83"],"itemData":{"id":301,"type":"article-journal","abstract":"At present, the synthesis of ammonia through the Haber−Bosch (HB) process accounts for 1.2% of the global carbon emissions, representing roughly one-fourth of the global fossil consumption from the chemical industry, which creates a pressing need for alternative low-carbon synthesis routes. Analyzing seven essential planetary boundaries (PBs) for the safe operation of our planet, we ﬁnd that the standard HB process is unsustainable as it vastly transgresses the climate change PB. In order to identify more responsible strategies from this integrated perspective, we assess the absolute sustainability level of 34 alternative routes where hydrogen (H2) is supplied by steam methane reforming with carbon capture and storage, biomass gasiﬁcation, or water electrolysis powered by various energy sources. We found that some of these scenarios could substantially reduce the global impact of fossil HB, yet alleviating the impact on climate change could critically exacerbate the impacts on other Earth-system processes. Furthermore, we identify that reducing the cost of electrolytic H2 is the main avenue toward the economic appeal of the most sustainable routes. Our work highlights the need to embrace global impacts beyond climate change in the assessment of decarbonization routes of fossil chemicals. This approach enabled us to identify more suitable alternatives and associated challenges toward environmental and economically attractive ammonia synthesis.","container-title":"ACS Sustainable Chemistry &amp; Engineering","DOI":"10.1021/acssuschemeng.1c01915","ISSN":"2168-0485, 2168-0485","issue":"29","journalAbbreviation":"ACS Sustainable Chem. Eng.","language":"en","page":"9740-9749","source":"DOI.org (Crossref)","title":"Planetary Boundaries Analysis of Low-Carbon Ammonia Production Routes","volume":"9","author":[{"family":"D’Angelo","given":"Sebastiano Carlo"},{"family":"Cobo","given":"Selene"},{"family":"Tulus","given":"Victor"},{"family":"Nabera","given":"Abhinandan"},{"family":"Martín","given":"Antonio José"},{"family":"Pérez-Ramírez","given":"Javier"},{"family":"Guillén-Gosálbez","given":"Gonzalo"}],"issued":{"date-parts":[["2021",7,26]]}}},{"id":142,"uris":["http://zotero.org/users/local/gMmtBwrT/items/MPWNAVKB"],"itemData":{"id":142,"type":"article-journal","abstract":"A critical assessment of methanol production from carbon dioxide and renewable hydrogen is here presented, gathering an insightful picture of its wide sustainability and establishing a hierarchy of factors dictating its performance. Process simulation and life-cycle analysis indicate that green methanol is at present economically unattractive, i.e., it has a 1.3-2.6-fold higher cost compared to the current fossil-based analogue, even when considering indirect environmental costs via monetisation of impacts and a potential CO2 tax of at least 430.5 USD tCO2-eq-1. This is mainly due to the high price of hydrogen (water electrolysis powered with solar, wind, and nuclear energy, or biomass gasification, up to 73% of the total cost), which shall drop significantly due to reductions in electricity costs and technological advances. The scenario radically changes when quantifying for the first time the absolute sustainability of this carbon capture and utilisation route through eight planetary boundaries, revealing that CO2-based methanol would contribute to operating safely within critical ecological limits of the Earth linked to carbon emissions, currently transgressed by the conventional process. Our plant-to-planet assessment embraces the full potential role of emerging processes in sustainable development, which should prevail over purely economic arguments, subject to market fluctuations and technological advances.","container-title":"Energy and Environmental Science","DOI":"10.1039/c9ee01673b","ISSN":"17545706","issue":"12","note":"publisher: Royal Society of Chemistry","page":"3425-3436","title":"Plant-to-planet analysis of CO2-based methanol processes","volume":"12","author":[{"family":"González-Garay","given":"Andrés"},{"family":"Frei","given":"Matthias S."},{"family":"Al-Qahtani","given":"Amjad"},{"family":"Mondelli","given":"Cecilia"},{"family":"Guillén-Gosálbez","given":"Gonzalo"},{"family":"Pérez-Ramírez","given":"Javier"}],"issued":{"date-parts":[["2019",12,1]]}}}],"schema":"https://github.com/citation-style-language/schema/raw/master/csl-citation.json"} </w:instrText>
      </w:r>
      <w:r w:rsidR="00772D80">
        <w:fldChar w:fldCharType="separate"/>
      </w:r>
      <w:r w:rsidR="00772D80" w:rsidRPr="00772D80">
        <w:rPr>
          <w:szCs w:val="24"/>
          <w:vertAlign w:val="superscript"/>
        </w:rPr>
        <w:t>2,3</w:t>
      </w:r>
      <w:r w:rsidR="00772D80">
        <w:fldChar w:fldCharType="end"/>
      </w:r>
      <w:r>
        <w:t xml:space="preserve"> However, it is crucial to recognize that meeting climate targets will necessitate substantial changes in the economy, including the decarbonization of energy production and transportation. Hence, in this work, we conduct a prospective life cycle assessment </w:t>
      </w:r>
      <w:r w:rsidR="005E7755">
        <w:t xml:space="preserve">(pLCA) </w:t>
      </w:r>
      <w:r>
        <w:t xml:space="preserve">until 2050 to investigate </w:t>
      </w:r>
      <w:r w:rsidR="00B053B4">
        <w:t>how</w:t>
      </w:r>
      <w:r>
        <w:t xml:space="preserve"> future economic trends could </w:t>
      </w:r>
      <w:r w:rsidR="00C94183">
        <w:t>impact</w:t>
      </w:r>
      <w:r>
        <w:t xml:space="preserve"> the environmental </w:t>
      </w:r>
      <w:r w:rsidR="00C94183">
        <w:t>footprint</w:t>
      </w:r>
      <w:r>
        <w:t xml:space="preserve"> of chemical </w:t>
      </w:r>
      <w:r w:rsidR="00C94183">
        <w:t xml:space="preserve">production </w:t>
      </w:r>
      <w:r>
        <w:t>routes.</w:t>
      </w:r>
      <w:commentRangeEnd w:id="1"/>
      <w:r w:rsidR="007F30F4">
        <w:rPr>
          <w:rStyle w:val="CommentReference"/>
          <w:rFonts w:ascii="Times New Roman" w:hAnsi="Times New Roman" w:cs="Times New Roman"/>
        </w:rPr>
        <w:commentReference w:id="1"/>
      </w:r>
    </w:p>
    <w:p w14:paraId="12AC82CA" w14:textId="77777777" w:rsidR="005B7457" w:rsidRPr="003B0211" w:rsidRDefault="005B7457">
      <w:pPr>
        <w:rPr>
          <w:rFonts w:ascii="Calibri" w:hAnsi="Calibri" w:cs="Calibri"/>
          <w:sz w:val="16"/>
        </w:rPr>
      </w:pPr>
    </w:p>
    <w:p w14:paraId="7F223314" w14:textId="77777777" w:rsidR="005B7457" w:rsidRPr="003B0211" w:rsidRDefault="005B7457">
      <w:pPr>
        <w:pStyle w:val="SectionHeadingNACS"/>
        <w:rPr>
          <w:rFonts w:ascii="Calibri" w:hAnsi="Calibri" w:cs="Calibri"/>
        </w:rPr>
      </w:pPr>
      <w:r w:rsidRPr="003B0211">
        <w:rPr>
          <w:rFonts w:ascii="Calibri" w:hAnsi="Calibri" w:cs="Calibri"/>
        </w:rPr>
        <w:t>Methods</w:t>
      </w:r>
    </w:p>
    <w:p w14:paraId="5E0E9334" w14:textId="77777777" w:rsidR="005B7457" w:rsidRPr="00E3034A" w:rsidRDefault="00E3034A" w:rsidP="00BC44B5">
      <w:pPr>
        <w:pStyle w:val="ParagraphAbstractICC2024"/>
      </w:pPr>
      <w:r>
        <w:t xml:space="preserve">We </w:t>
      </w:r>
      <w:r w:rsidR="00C94183">
        <w:t>utilize an Integrated Assessment Model (IAM) called IMAGE</w:t>
      </w:r>
      <w:r w:rsidR="002B6CE0">
        <w:fldChar w:fldCharType="begin"/>
      </w:r>
      <w:r w:rsidR="002B6CE0">
        <w:instrText xml:space="preserve"> ADDIN ZOTERO_ITEM CSL_CITATION {"citationID":"0E2rd5wh","properties":{"formattedCitation":"\\super 4\\nosupersub{}","plainCitation":"4","noteIndex":0},"citationItems":[{"id":289,"uris":["http://zotero.org/users/local/gMmtBwrT/items/2K4ECVXA"],"itemData":{"id":289,"type":"article-journal","abstract":"Prospective Life Cycle Assessment (pLCA) is useful to evaluate the environmental performance of current and emerging technologies in the future. Yet, as energy systems and industries are rapidly shifting towards cleaner means of production, pLCA requires an inventory database that encapsulates the expected changes in technol­ ogies and the environment at a given point in time, following specific socio-techno-economic pathways. To this end, this study introduces premise, a tool to streamline the generation of prospective inventory databases for pLCA by integrating scenarios generated by Integrated Assessment Models (IAM). More precisely, premise applies a number of transformations on energy-intensive activities found in the inventory database ecoinvent according to projections provided by the IAM. Unsurprisingly, the study shows that, within a given socio-economic narrative, the climate change mitigation target chosen affects the performance of nearly all activities in the database. This is illustrated by focusing on the effects observed on a few activities, such as systems for direct air capture of CO2, lithium-ion batteries, electricity and clinker production as well as freight transport by road, in relation to the applied sector-based transformation and the chosen climate change mitigation target. This work also discusses the limitations and challenges faced when coupling IAM and LCA databases and what improve­ ments are to be brought in to further facilitate the development of pLCA.","container-title":"Renewable and Sustainable Energy Reviews","DOI":"10.1016/j.rser.2022.112311","ISSN":"13640321","journalAbbreviation":"Renewable and Sustainable Energy Reviews","language":"en","page":"112311","source":"DOI.org (Crossref)","title":"PRospective EnvironMental Impact asSEment (premise): A streamlined approach to producing databases for prospective life cycle assessment using integrated assessment models","title-short":"PRospective EnvironMental Impact asSEment (premise)","volume":"160","author":[{"family":"Sacchi","given":"R."},{"family":"Terlouw","given":"T."},{"family":"Siala","given":"K."},{"family":"Dirnaichner","given":"A."},{"family":"Bauer","given":"C."},{"family":"Cox","given":"B."},{"family":"Mutel","given":"C."},{"family":"Daioglou","given":"V."},{"family":"Luderer","given":"G."}],"issued":{"date-parts":[["2022",5]]}}}],"schema":"https://github.com/citation-style-language/schema/raw/master/csl-citation.json"} </w:instrText>
      </w:r>
      <w:r w:rsidR="002B6CE0">
        <w:fldChar w:fldCharType="separate"/>
      </w:r>
      <w:r w:rsidR="002B6CE0" w:rsidRPr="002B6CE0">
        <w:rPr>
          <w:szCs w:val="24"/>
          <w:vertAlign w:val="superscript"/>
        </w:rPr>
        <w:t>4</w:t>
      </w:r>
      <w:r w:rsidR="002B6CE0">
        <w:fldChar w:fldCharType="end"/>
      </w:r>
      <w:r w:rsidR="00C94183">
        <w:t xml:space="preserve"> to quantify the environmental impacts of both fossil and green</w:t>
      </w:r>
      <w:r w:rsidR="00241CDF">
        <w:t xml:space="preserve"> </w:t>
      </w:r>
      <w:r w:rsidR="00C94183">
        <w:t>ammonia and methanol production routes</w:t>
      </w:r>
      <w:r>
        <w:t>. This allows us to project future economic scenarios and offer</w:t>
      </w:r>
      <w:r w:rsidR="00DA20A9">
        <w:t>s</w:t>
      </w:r>
      <w:r>
        <w:t xml:space="preserve"> insights into the environmental impacts based on expected socio</w:t>
      </w:r>
      <w:r>
        <w:noBreakHyphen/>
        <w:t>economic and technological developments. Specifically, we adopt the intermediate shared socio</w:t>
      </w:r>
      <w:r>
        <w:noBreakHyphen/>
        <w:t xml:space="preserve">economic pathway (SSP2) and consider various representative concentration pathways (RCPs), including RCP6, RCP2.6, and RCP1.9, to generate a range of scenarios reflecting economic changes. To construct inventories for pLCAs spanning from 2020 to 2050, we employ the </w:t>
      </w:r>
      <w:r>
        <w:rPr>
          <w:i/>
        </w:rPr>
        <w:t>premise</w:t>
      </w:r>
      <w:r w:rsidR="00933155">
        <w:rPr>
          <w:i/>
        </w:rPr>
        <w:fldChar w:fldCharType="begin"/>
      </w:r>
      <w:r w:rsidR="00933155">
        <w:rPr>
          <w:i/>
        </w:rPr>
        <w:instrText xml:space="preserve"> ADDIN ZOTERO_ITEM CSL_CITATION {"citationID":"ZP512py6","properties":{"formattedCitation":"\\super 4\\nosupersub{}","plainCitation":"4","noteIndex":0},"citationItems":[{"id":289,"uris":["http://zotero.org/users/local/gMmtBwrT/items/2K4ECVXA"],"itemData":{"id":289,"type":"article-journal","abstract":"Prospective Life Cycle Assessment (pLCA) is useful to evaluate the environmental performance of current and emerging technologies in the future. Yet, as energy systems and industries are rapidly shifting towards cleaner means of production, pLCA requires an inventory database that encapsulates the expected changes in technol­ ogies and the environment at a given point in time, following specific socio-techno-economic pathways. To this end, this study introduces premise, a tool to streamline the generation of prospective inventory databases for pLCA by integrating scenarios generated by Integrated Assessment Models (IAM). More precisely, premise applies a number of transformations on energy-intensive activities found in the inventory database ecoinvent according to projections provided by the IAM. Unsurprisingly, the study shows that, within a given socio-economic narrative, the climate change mitigation target chosen affects the performance of nearly all activities in the database. This is illustrated by focusing on the effects observed on a few activities, such as systems for direct air capture of CO2, lithium-ion batteries, electricity and clinker production as well as freight transport by road, in relation to the applied sector-based transformation and the chosen climate change mitigation target. This work also discusses the limitations and challenges faced when coupling IAM and LCA databases and what improve­ ments are to be brought in to further facilitate the development of pLCA.","container-title":"Renewable and Sustainable Energy Reviews","DOI":"10.1016/j.rser.2022.112311","ISSN":"13640321","journalAbbreviation":"Renewable and Sustainable Energy Reviews","language":"en","page":"112311","source":"DOI.org (Crossref)","title":"PRospective EnvironMental Impact asSEment (premise): A streamlined approach to producing databases for prospective life cycle assessment using integrated assessment models","title-short":"PRospective EnvironMental Impact asSEment (premise)","volume":"160","author":[{"family":"Sacchi","given":"R."},{"family":"Terlouw","given":"T."},{"family":"Siala","given":"K."},{"family":"Dirnaichner","given":"A."},{"family":"Bauer","given":"C."},{"family":"Cox","given":"B."},{"family":"Mutel","given":"C."},{"family":"Daioglou","given":"V."},{"family":"Luderer","given":"G."}],"issued":{"date-parts":[["2022",5]]}}}],"schema":"https://github.com/citation-style-language/schema/raw/master/csl-citation.json"} </w:instrText>
      </w:r>
      <w:r w:rsidR="00933155">
        <w:rPr>
          <w:i/>
        </w:rPr>
        <w:fldChar w:fldCharType="separate"/>
      </w:r>
      <w:r w:rsidR="00933155" w:rsidRPr="00933155">
        <w:rPr>
          <w:szCs w:val="24"/>
          <w:vertAlign w:val="superscript"/>
        </w:rPr>
        <w:t>4</w:t>
      </w:r>
      <w:r w:rsidR="00933155">
        <w:rPr>
          <w:i/>
        </w:rPr>
        <w:fldChar w:fldCharType="end"/>
      </w:r>
      <w:r>
        <w:rPr>
          <w:i/>
        </w:rPr>
        <w:t xml:space="preserve"> </w:t>
      </w:r>
      <w:r>
        <w:t xml:space="preserve">(v1.5.9) framework. Furthermore, we </w:t>
      </w:r>
      <w:r w:rsidR="00C94183">
        <w:t>enhance</w:t>
      </w:r>
      <w:r>
        <w:t xml:space="preserve"> the temporal resolution for the production of these chemicals to 26 regions worldwide, </w:t>
      </w:r>
      <w:r w:rsidR="001B6D94">
        <w:t>considering</w:t>
      </w:r>
      <w:r>
        <w:t xml:space="preserve"> location</w:t>
      </w:r>
      <w:r>
        <w:noBreakHyphen/>
        <w:t>specific temporal profiles.</w:t>
      </w:r>
    </w:p>
    <w:p w14:paraId="7032255A" w14:textId="77777777" w:rsidR="005B7457" w:rsidRPr="003B0211" w:rsidRDefault="005B7457">
      <w:pPr>
        <w:pStyle w:val="SectionHeadingNACS"/>
        <w:rPr>
          <w:rFonts w:ascii="Calibri" w:hAnsi="Calibri" w:cs="Calibri"/>
        </w:rPr>
      </w:pPr>
    </w:p>
    <w:p w14:paraId="4ECFEA60" w14:textId="77777777" w:rsidR="005B7457" w:rsidRPr="003B0211" w:rsidRDefault="005B7457">
      <w:pPr>
        <w:pStyle w:val="SectionHeadingNACS"/>
        <w:rPr>
          <w:rFonts w:ascii="Calibri" w:hAnsi="Calibri" w:cs="Calibri"/>
        </w:rPr>
      </w:pPr>
      <w:r w:rsidRPr="003B0211">
        <w:rPr>
          <w:rFonts w:ascii="Calibri" w:hAnsi="Calibri" w:cs="Calibri"/>
        </w:rPr>
        <w:t>Results and Discussion</w:t>
      </w:r>
    </w:p>
    <w:p w14:paraId="195F484F" w14:textId="77777777" w:rsidR="005B7457" w:rsidRPr="0036433A" w:rsidRDefault="0036433A" w:rsidP="00BC44B5">
      <w:pPr>
        <w:pStyle w:val="ParagraphAbstractICC2024"/>
      </w:pPr>
      <w:commentRangeStart w:id="2"/>
      <w:r>
        <w:t>In</w:t>
      </w:r>
      <w:commentRangeEnd w:id="2"/>
      <w:r w:rsidR="007F30F4">
        <w:rPr>
          <w:rStyle w:val="CommentReference"/>
          <w:rFonts w:ascii="Times New Roman" w:hAnsi="Times New Roman" w:cs="Times New Roman"/>
        </w:rPr>
        <w:commentReference w:id="2"/>
      </w:r>
      <w:r>
        <w:t xml:space="preserve"> contrast to fossil</w:t>
      </w:r>
      <w:r>
        <w:noBreakHyphen/>
        <w:t>based routes, the estimated climate change impacts of solar and wind</w:t>
      </w:r>
      <w:r>
        <w:noBreakHyphen/>
        <w:t>based ammonia (</w:t>
      </w:r>
      <w:r>
        <w:rPr>
          <w:b/>
        </w:rPr>
        <w:t>Figure 1a</w:t>
      </w:r>
      <w:r>
        <w:t>) and methanol (</w:t>
      </w:r>
      <w:r>
        <w:rPr>
          <w:b/>
        </w:rPr>
        <w:t>Figure 1b</w:t>
      </w:r>
      <w:r>
        <w:t>) production routes show a promising trend, with significant reductions anticipated by 2050. Under more ambitious climate policies, such as the 1.5</w:t>
      </w:r>
      <w:r w:rsidRPr="0036433A">
        <w:t> °C scenario</w:t>
      </w:r>
      <w:r>
        <w:t>, these impacts are expected to decrease substantially. Specifically, by 2050, solar</w:t>
      </w:r>
      <w:r>
        <w:noBreakHyphen/>
        <w:t>based ammonia and methanol are projected to achieve a 71% and 102% reduction, respectively. In summary, solar</w:t>
      </w:r>
      <w:r>
        <w:noBreakHyphen/>
        <w:t>based production routes exhibit the most substantial reductions in environmental impacts over time, approaching the performance levels achieved by their wind</w:t>
      </w:r>
      <w:r>
        <w:noBreakHyphen/>
        <w:t>based counterparts. Furthermore, a regional analysis reveals that the relative climate change impact reductions for solar</w:t>
      </w:r>
      <w:r>
        <w:noBreakHyphen/>
        <w:t xml:space="preserve">based ammonia and methanol production, impact </w:t>
      </w:r>
      <w:bookmarkStart w:id="3" w:name="_GoBack"/>
      <w:bookmarkEnd w:id="3"/>
      <w:r>
        <w:t>reductions vary significantly by region, emphasizing the importance of location</w:t>
      </w:r>
      <w:r>
        <w:noBreakHyphen/>
        <w:t>based dynamics for strategic planning.</w:t>
      </w:r>
    </w:p>
    <w:p w14:paraId="7765B398" w14:textId="77777777" w:rsidR="005B7457" w:rsidRPr="003B0211" w:rsidRDefault="005B7457">
      <w:pPr>
        <w:pStyle w:val="BodyTextNACS"/>
        <w:rPr>
          <w:rFonts w:ascii="Calibri" w:hAnsi="Calibri" w:cs="Calibri"/>
        </w:rPr>
      </w:pPr>
    </w:p>
    <w:p w14:paraId="13A7D791" w14:textId="77777777" w:rsidR="005B7457" w:rsidRPr="003B0211" w:rsidRDefault="00080E8C" w:rsidP="007B0D30">
      <w:pPr>
        <w:pStyle w:val="BodyTextNACS"/>
        <w:jc w:val="center"/>
        <w:rPr>
          <w:rFonts w:ascii="Calibri" w:hAnsi="Calibri" w:cs="Calibri"/>
          <w:b/>
        </w:rPr>
      </w:pPr>
      <w:r>
        <w:rPr>
          <w:noProof/>
        </w:rPr>
        <w:drawing>
          <wp:inline distT="0" distB="0" distL="0" distR="0" wp14:anchorId="11E241E1" wp14:editId="30061554">
            <wp:extent cx="3898900" cy="2291080"/>
            <wp:effectExtent l="0" t="0" r="0" b="0"/>
            <wp:docPr id="1" name="Picture 1" descr="Conf all image SSP2 G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nf all image SSP2 GLO"/>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98900" cy="2291080"/>
                    </a:xfrm>
                    <a:prstGeom prst="rect">
                      <a:avLst/>
                    </a:prstGeom>
                    <a:noFill/>
                    <a:ln>
                      <a:noFill/>
                    </a:ln>
                  </pic:spPr>
                </pic:pic>
              </a:graphicData>
            </a:graphic>
          </wp:inline>
        </w:drawing>
      </w:r>
    </w:p>
    <w:p w14:paraId="29058735" w14:textId="77777777" w:rsidR="005B7457" w:rsidRPr="007F30F4" w:rsidRDefault="005B7457" w:rsidP="00FD6767">
      <w:pPr>
        <w:pStyle w:val="FigureCaptionAbstractICC2024"/>
      </w:pPr>
      <w:r w:rsidRPr="003B0211">
        <w:t xml:space="preserve">Figure 1. </w:t>
      </w:r>
      <w:r w:rsidR="003054F4">
        <w:t>Global ave</w:t>
      </w:r>
      <w:r w:rsidR="008A7E3D">
        <w:t>rage climate change impacts of fossil, blue, and green (both solar and wind</w:t>
      </w:r>
      <w:r w:rsidR="008A7E3D">
        <w:noBreakHyphen/>
        <w:t>based) production of (a) ammonia and (b) methanol from 2020 to 2050 across three climate policy scenarios</w:t>
      </w:r>
      <w:r w:rsidR="00166073">
        <w:t xml:space="preserve"> (3.5 </w:t>
      </w:r>
      <w:r w:rsidR="00166073" w:rsidRPr="00166073">
        <w:t>°</w:t>
      </w:r>
      <w:r w:rsidR="00166073">
        <w:t>C, 2 </w:t>
      </w:r>
      <w:r w:rsidR="00166073" w:rsidRPr="00166073">
        <w:t>°</w:t>
      </w:r>
      <w:r w:rsidR="00166073">
        <w:t>C, and 1.5 </w:t>
      </w:r>
      <w:r w:rsidR="00166073" w:rsidRPr="00166073">
        <w:t>°</w:t>
      </w:r>
      <w:r w:rsidR="00166073">
        <w:t>C)</w:t>
      </w:r>
      <w:r w:rsidRPr="00E46991">
        <w:t>.</w:t>
      </w:r>
    </w:p>
    <w:p w14:paraId="5420B234" w14:textId="77777777" w:rsidR="005B7457" w:rsidRDefault="005B7457">
      <w:pPr>
        <w:rPr>
          <w:rFonts w:ascii="Calibri" w:hAnsi="Calibri" w:cs="Calibri"/>
          <w:sz w:val="16"/>
          <w:lang w:val="en-GB"/>
        </w:rPr>
      </w:pPr>
    </w:p>
    <w:p w14:paraId="05614657" w14:textId="77777777" w:rsidR="00E46991" w:rsidRPr="003B0211" w:rsidRDefault="00E46991" w:rsidP="00E46991">
      <w:pPr>
        <w:pStyle w:val="SectionHeadingNACS"/>
        <w:rPr>
          <w:rFonts w:ascii="Calibri" w:hAnsi="Calibri" w:cs="Calibri"/>
        </w:rPr>
      </w:pPr>
      <w:r w:rsidRPr="003B0211">
        <w:rPr>
          <w:rFonts w:ascii="Calibri" w:hAnsi="Calibri" w:cs="Calibri"/>
        </w:rPr>
        <w:t>Significance</w:t>
      </w:r>
    </w:p>
    <w:p w14:paraId="7FD43C16" w14:textId="77777777" w:rsidR="00E46991" w:rsidRPr="003B0211" w:rsidRDefault="00C77844" w:rsidP="00E46991">
      <w:pPr>
        <w:pStyle w:val="BodyTextNACS"/>
        <w:rPr>
          <w:rFonts w:ascii="Calibri" w:hAnsi="Calibri" w:cs="Calibri"/>
        </w:rPr>
      </w:pPr>
      <w:commentRangeStart w:id="4"/>
      <w:r>
        <w:rPr>
          <w:rFonts w:ascii="Calibri" w:hAnsi="Calibri" w:cs="Calibri"/>
        </w:rPr>
        <w:t>Our results offer a more comprehensive outlook on the environmental performance of various production routes for the most important platform chemicals, thereby revealing the realistic possibilities of fossil and low</w:t>
      </w:r>
      <w:r>
        <w:rPr>
          <w:rFonts w:ascii="Calibri" w:hAnsi="Calibri" w:cs="Calibri"/>
        </w:rPr>
        <w:noBreakHyphen/>
        <w:t>carbon</w:t>
      </w:r>
      <w:r>
        <w:rPr>
          <w:rFonts w:ascii="Calibri" w:hAnsi="Calibri" w:cs="Calibri"/>
        </w:rPr>
        <w:noBreakHyphen/>
        <w:t>based production routes in the context of foreseeable socio</w:t>
      </w:r>
      <w:r>
        <w:rPr>
          <w:rFonts w:ascii="Calibri" w:hAnsi="Calibri" w:cs="Calibri"/>
        </w:rPr>
        <w:noBreakHyphen/>
        <w:t>economic and technological developments.</w:t>
      </w:r>
      <w:commentRangeEnd w:id="4"/>
      <w:r w:rsidR="001002F5">
        <w:rPr>
          <w:rStyle w:val="CommentReference"/>
        </w:rPr>
        <w:commentReference w:id="4"/>
      </w:r>
    </w:p>
    <w:p w14:paraId="0C1218F3" w14:textId="77777777" w:rsidR="00E46991" w:rsidRPr="00E46991" w:rsidRDefault="00E46991">
      <w:pPr>
        <w:rPr>
          <w:rFonts w:ascii="Calibri" w:hAnsi="Calibri" w:cs="Calibri"/>
          <w:sz w:val="16"/>
          <w:lang w:val="en-GB"/>
        </w:rPr>
      </w:pPr>
    </w:p>
    <w:p w14:paraId="2D53C69E" w14:textId="77777777" w:rsidR="00772D80" w:rsidRDefault="005B7457" w:rsidP="00772D80">
      <w:pPr>
        <w:pStyle w:val="SectionHeadingNACS"/>
        <w:rPr>
          <w:rFonts w:ascii="Calibri" w:hAnsi="Calibri" w:cs="Calibri"/>
        </w:rPr>
      </w:pPr>
      <w:r w:rsidRPr="003B0211">
        <w:rPr>
          <w:rFonts w:ascii="Calibri" w:hAnsi="Calibri" w:cs="Calibri"/>
        </w:rPr>
        <w:t>References</w:t>
      </w:r>
    </w:p>
    <w:p w14:paraId="01F778EA" w14:textId="77777777" w:rsidR="002B6CE0" w:rsidRPr="002B6CE0" w:rsidRDefault="00772D80" w:rsidP="002B6CE0">
      <w:pPr>
        <w:pStyle w:val="Bibliography"/>
        <w:jc w:val="both"/>
        <w:rPr>
          <w:rFonts w:ascii="Calibri" w:hAnsi="Calibri" w:cs="Calibri"/>
          <w:sz w:val="16"/>
        </w:rPr>
      </w:pPr>
      <w:r w:rsidRPr="00772D80">
        <w:rPr>
          <w:rFonts w:ascii="Calibri" w:hAnsi="Calibri" w:cs="Calibri"/>
        </w:rPr>
        <w:fldChar w:fldCharType="begin"/>
      </w:r>
      <w:r>
        <w:rPr>
          <w:rFonts w:ascii="Calibri" w:hAnsi="Calibri" w:cs="Calibri"/>
        </w:rPr>
        <w:instrText xml:space="preserve"> ADDIN ZOTERO_BIBL {"uncited":[],"omitted":[],"custom":[]} CSL_BIBLIOGRAPHY </w:instrText>
      </w:r>
      <w:r w:rsidRPr="00772D80">
        <w:rPr>
          <w:rFonts w:ascii="Calibri" w:hAnsi="Calibri" w:cs="Calibri"/>
        </w:rPr>
        <w:fldChar w:fldCharType="separate"/>
      </w:r>
      <w:r w:rsidR="002B6CE0" w:rsidRPr="002B6CE0">
        <w:rPr>
          <w:rFonts w:ascii="Calibri" w:hAnsi="Calibri" w:cs="Calibri"/>
          <w:sz w:val="16"/>
        </w:rPr>
        <w:t>1</w:t>
      </w:r>
      <w:r w:rsidR="002B6CE0" w:rsidRPr="002B6CE0">
        <w:rPr>
          <w:rFonts w:ascii="Calibri" w:hAnsi="Calibri" w:cs="Calibri"/>
          <w:sz w:val="16"/>
        </w:rPr>
        <w:tab/>
        <w:t xml:space="preserve">P. Gabrielli, L. Rosa, M. Gazzani, R. Meys, A. Bardow, M. Mazzotti and G. Sansavini, </w:t>
      </w:r>
      <w:r w:rsidR="002B6CE0" w:rsidRPr="002B6CE0">
        <w:rPr>
          <w:rFonts w:ascii="Calibri" w:hAnsi="Calibri" w:cs="Calibri"/>
          <w:i/>
          <w:iCs/>
          <w:sz w:val="16"/>
        </w:rPr>
        <w:t>One Earth</w:t>
      </w:r>
      <w:r w:rsidR="002B6CE0" w:rsidRPr="002B6CE0">
        <w:rPr>
          <w:rFonts w:ascii="Calibri" w:hAnsi="Calibri" w:cs="Calibri"/>
          <w:sz w:val="16"/>
        </w:rPr>
        <w:t xml:space="preserve">, </w:t>
      </w:r>
      <w:r w:rsidR="002B6CE0" w:rsidRPr="002B6CE0">
        <w:rPr>
          <w:rFonts w:ascii="Calibri" w:hAnsi="Calibri" w:cs="Calibri"/>
          <w:b/>
          <w:sz w:val="16"/>
        </w:rPr>
        <w:t>2023</w:t>
      </w:r>
      <w:r w:rsidR="002B6CE0" w:rsidRPr="002B6CE0">
        <w:rPr>
          <w:rFonts w:ascii="Calibri" w:hAnsi="Calibri" w:cs="Calibri"/>
          <w:sz w:val="16"/>
        </w:rPr>
        <w:t xml:space="preserve">, </w:t>
      </w:r>
      <w:r w:rsidR="002B6CE0" w:rsidRPr="002B6CE0">
        <w:rPr>
          <w:rFonts w:ascii="Calibri" w:hAnsi="Calibri" w:cs="Calibri"/>
          <w:bCs/>
          <w:i/>
          <w:sz w:val="16"/>
        </w:rPr>
        <w:t>6</w:t>
      </w:r>
      <w:r w:rsidR="002B6CE0" w:rsidRPr="002B6CE0">
        <w:rPr>
          <w:rFonts w:ascii="Calibri" w:hAnsi="Calibri" w:cs="Calibri"/>
          <w:sz w:val="16"/>
        </w:rPr>
        <w:t>, 682.</w:t>
      </w:r>
    </w:p>
    <w:p w14:paraId="0DE65080" w14:textId="77777777" w:rsidR="002B6CE0" w:rsidRPr="002B6CE0" w:rsidRDefault="002B6CE0" w:rsidP="002B6CE0">
      <w:pPr>
        <w:pStyle w:val="Bibliography"/>
        <w:jc w:val="both"/>
        <w:rPr>
          <w:rFonts w:ascii="Calibri" w:hAnsi="Calibri" w:cs="Calibri"/>
          <w:sz w:val="16"/>
        </w:rPr>
      </w:pPr>
      <w:r w:rsidRPr="002B6CE0">
        <w:rPr>
          <w:rFonts w:ascii="Calibri" w:hAnsi="Calibri" w:cs="Calibri"/>
          <w:sz w:val="16"/>
        </w:rPr>
        <w:t>2</w:t>
      </w:r>
      <w:r w:rsidRPr="002B6CE0">
        <w:rPr>
          <w:rFonts w:ascii="Calibri" w:hAnsi="Calibri" w:cs="Calibri"/>
          <w:sz w:val="16"/>
        </w:rPr>
        <w:tab/>
        <w:t xml:space="preserve">S. C. D’Angelo, S. Cobo, V. Tulus, A. Nabera, A. J. Martín, J. Pérez-Ramírez and G. Guillén-Gosálbez, </w:t>
      </w:r>
      <w:r w:rsidRPr="002B6CE0">
        <w:rPr>
          <w:rFonts w:ascii="Calibri" w:hAnsi="Calibri" w:cs="Calibri"/>
          <w:i/>
          <w:iCs/>
          <w:sz w:val="16"/>
        </w:rPr>
        <w:t>ACS Sustainable Chem. Eng.</w:t>
      </w:r>
      <w:r w:rsidRPr="002B6CE0">
        <w:rPr>
          <w:rFonts w:ascii="Calibri" w:hAnsi="Calibri" w:cs="Calibri"/>
          <w:sz w:val="16"/>
        </w:rPr>
        <w:t xml:space="preserve">, </w:t>
      </w:r>
      <w:r w:rsidRPr="002B6CE0">
        <w:rPr>
          <w:rFonts w:ascii="Calibri" w:hAnsi="Calibri" w:cs="Calibri"/>
          <w:b/>
          <w:sz w:val="16"/>
        </w:rPr>
        <w:t>2021</w:t>
      </w:r>
      <w:r w:rsidRPr="002B6CE0">
        <w:rPr>
          <w:rFonts w:ascii="Calibri" w:hAnsi="Calibri" w:cs="Calibri"/>
          <w:sz w:val="16"/>
        </w:rPr>
        <w:t xml:space="preserve">, </w:t>
      </w:r>
      <w:r w:rsidRPr="002B6CE0">
        <w:rPr>
          <w:rFonts w:ascii="Calibri" w:hAnsi="Calibri" w:cs="Calibri"/>
          <w:bCs/>
          <w:i/>
          <w:sz w:val="16"/>
        </w:rPr>
        <w:t>9</w:t>
      </w:r>
      <w:r w:rsidRPr="002B6CE0">
        <w:rPr>
          <w:rFonts w:ascii="Calibri" w:hAnsi="Calibri" w:cs="Calibri"/>
          <w:sz w:val="16"/>
        </w:rPr>
        <w:t>, 9740.</w:t>
      </w:r>
    </w:p>
    <w:p w14:paraId="57AAE769" w14:textId="77777777" w:rsidR="002B6CE0" w:rsidRPr="002B6CE0" w:rsidRDefault="002B6CE0" w:rsidP="002B6CE0">
      <w:pPr>
        <w:pStyle w:val="Bibliography"/>
        <w:jc w:val="both"/>
        <w:rPr>
          <w:rFonts w:ascii="Calibri" w:hAnsi="Calibri" w:cs="Calibri"/>
          <w:sz w:val="16"/>
        </w:rPr>
      </w:pPr>
      <w:r w:rsidRPr="002B6CE0">
        <w:rPr>
          <w:rFonts w:ascii="Calibri" w:hAnsi="Calibri" w:cs="Calibri"/>
          <w:sz w:val="16"/>
        </w:rPr>
        <w:t>3</w:t>
      </w:r>
      <w:r w:rsidRPr="002B6CE0">
        <w:rPr>
          <w:rFonts w:ascii="Calibri" w:hAnsi="Calibri" w:cs="Calibri"/>
          <w:sz w:val="16"/>
        </w:rPr>
        <w:tab/>
        <w:t xml:space="preserve">A. González-Garay, M. S. Frei, A. Al-Qahtani, C. Mondelli, G. Guillén-Gosálbez and J. Pérez-Ramírez, </w:t>
      </w:r>
      <w:r w:rsidRPr="002B6CE0">
        <w:rPr>
          <w:rFonts w:ascii="Calibri" w:hAnsi="Calibri" w:cs="Calibri"/>
          <w:i/>
          <w:iCs/>
          <w:sz w:val="16"/>
        </w:rPr>
        <w:t>Energy Environ</w:t>
      </w:r>
      <w:r>
        <w:rPr>
          <w:rFonts w:ascii="Calibri" w:hAnsi="Calibri" w:cs="Calibri"/>
          <w:i/>
          <w:iCs/>
          <w:sz w:val="16"/>
        </w:rPr>
        <w:t>.</w:t>
      </w:r>
      <w:r w:rsidRPr="002B6CE0">
        <w:rPr>
          <w:rFonts w:ascii="Calibri" w:hAnsi="Calibri" w:cs="Calibri"/>
          <w:i/>
          <w:iCs/>
          <w:sz w:val="16"/>
        </w:rPr>
        <w:t xml:space="preserve"> Sci</w:t>
      </w:r>
      <w:r>
        <w:rPr>
          <w:rFonts w:ascii="Calibri" w:hAnsi="Calibri" w:cs="Calibri"/>
          <w:i/>
          <w:iCs/>
          <w:sz w:val="16"/>
        </w:rPr>
        <w:t>.</w:t>
      </w:r>
      <w:r w:rsidRPr="002B6CE0">
        <w:rPr>
          <w:rFonts w:ascii="Calibri" w:hAnsi="Calibri" w:cs="Calibri"/>
          <w:sz w:val="16"/>
        </w:rPr>
        <w:t xml:space="preserve">, </w:t>
      </w:r>
      <w:r w:rsidRPr="002B6CE0">
        <w:rPr>
          <w:rFonts w:ascii="Calibri" w:hAnsi="Calibri" w:cs="Calibri"/>
          <w:b/>
          <w:sz w:val="16"/>
        </w:rPr>
        <w:t>2019</w:t>
      </w:r>
      <w:r w:rsidRPr="002B6CE0">
        <w:rPr>
          <w:rFonts w:ascii="Calibri" w:hAnsi="Calibri" w:cs="Calibri"/>
          <w:sz w:val="16"/>
        </w:rPr>
        <w:t xml:space="preserve">, </w:t>
      </w:r>
      <w:r w:rsidRPr="002B6CE0">
        <w:rPr>
          <w:rFonts w:ascii="Calibri" w:hAnsi="Calibri" w:cs="Calibri"/>
          <w:bCs/>
          <w:i/>
          <w:sz w:val="16"/>
        </w:rPr>
        <w:t>12</w:t>
      </w:r>
      <w:r w:rsidRPr="002B6CE0">
        <w:rPr>
          <w:rFonts w:ascii="Calibri" w:hAnsi="Calibri" w:cs="Calibri"/>
          <w:sz w:val="16"/>
        </w:rPr>
        <w:t>, 3425.</w:t>
      </w:r>
    </w:p>
    <w:p w14:paraId="527C9EBB" w14:textId="77777777" w:rsidR="00772D80" w:rsidRPr="00772D80" w:rsidRDefault="002B6CE0" w:rsidP="002B6CE0">
      <w:pPr>
        <w:pStyle w:val="Bibliography"/>
        <w:jc w:val="both"/>
        <w:rPr>
          <w:rFonts w:ascii="Calibri" w:hAnsi="Calibri" w:cs="Calibri"/>
          <w:sz w:val="16"/>
        </w:rPr>
      </w:pPr>
      <w:r w:rsidRPr="002B6CE0">
        <w:rPr>
          <w:rFonts w:ascii="Calibri" w:hAnsi="Calibri" w:cs="Calibri"/>
          <w:sz w:val="16"/>
        </w:rPr>
        <w:t>4</w:t>
      </w:r>
      <w:r w:rsidRPr="002B6CE0">
        <w:rPr>
          <w:rFonts w:ascii="Calibri" w:hAnsi="Calibri" w:cs="Calibri"/>
          <w:sz w:val="16"/>
        </w:rPr>
        <w:tab/>
        <w:t xml:space="preserve">R. Sacchi, T. Terlouw, K. Siala, A. Dirnaichner, C. Bauer, B. Cox, C. Mutel, V. Daioglou and G. Luderer, </w:t>
      </w:r>
      <w:r w:rsidRPr="002B6CE0">
        <w:rPr>
          <w:rFonts w:ascii="Calibri" w:hAnsi="Calibri" w:cs="Calibri"/>
          <w:i/>
          <w:iCs/>
          <w:sz w:val="16"/>
        </w:rPr>
        <w:t>Renewable and Sustainable Energy Reviews</w:t>
      </w:r>
      <w:r w:rsidRPr="002B6CE0">
        <w:rPr>
          <w:rFonts w:ascii="Calibri" w:hAnsi="Calibri" w:cs="Calibri"/>
          <w:sz w:val="16"/>
        </w:rPr>
        <w:t xml:space="preserve">, </w:t>
      </w:r>
      <w:r w:rsidRPr="002B6CE0">
        <w:rPr>
          <w:rFonts w:ascii="Calibri" w:hAnsi="Calibri" w:cs="Calibri"/>
          <w:b/>
          <w:sz w:val="16"/>
        </w:rPr>
        <w:t>2022</w:t>
      </w:r>
      <w:r w:rsidRPr="002B6CE0">
        <w:rPr>
          <w:rFonts w:ascii="Calibri" w:hAnsi="Calibri" w:cs="Calibri"/>
          <w:sz w:val="16"/>
        </w:rPr>
        <w:t xml:space="preserve">, </w:t>
      </w:r>
      <w:r w:rsidRPr="002B6CE0">
        <w:rPr>
          <w:rFonts w:ascii="Calibri" w:hAnsi="Calibri" w:cs="Calibri"/>
          <w:bCs/>
          <w:i/>
          <w:sz w:val="16"/>
        </w:rPr>
        <w:t>160</w:t>
      </w:r>
      <w:r w:rsidRPr="002B6CE0">
        <w:rPr>
          <w:rFonts w:ascii="Calibri" w:hAnsi="Calibri" w:cs="Calibri"/>
          <w:sz w:val="16"/>
        </w:rPr>
        <w:t>, 112311.</w:t>
      </w:r>
      <w:r w:rsidR="00772D80" w:rsidRPr="00772D80">
        <w:rPr>
          <w:rFonts w:ascii="Calibri" w:hAnsi="Calibri" w:cs="Calibri"/>
        </w:rPr>
        <w:fldChar w:fldCharType="end"/>
      </w:r>
    </w:p>
    <w:sectPr w:rsidR="00772D80" w:rsidRPr="00772D80" w:rsidSect="005E209B">
      <w:pgSz w:w="16840" w:h="11907" w:orient="landscape" w:code="9"/>
      <w:pgMar w:top="1417" w:right="1417" w:bottom="1417" w:left="1417" w:header="720" w:footer="720" w:gutter="0"/>
      <w:cols w:num="2" w:space="720" w:equalWidth="0">
        <w:col w:w="6143" w:space="720"/>
        <w:col w:w="6143"/>
      </w:cols>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Martin Fernandez  Antonio José" w:date="2023-10-30T14:43:00Z" w:initials="AM">
    <w:p w14:paraId="73103172" w14:textId="77777777" w:rsidR="007F30F4" w:rsidRDefault="007F30F4" w:rsidP="003625AC">
      <w:pPr>
        <w:pStyle w:val="CommentText"/>
      </w:pPr>
      <w:r>
        <w:rPr>
          <w:rStyle w:val="CommentReference"/>
        </w:rPr>
        <w:annotationRef/>
      </w:r>
      <w:r>
        <w:rPr>
          <w:lang w:val="es-ES"/>
        </w:rPr>
        <w:t>Now climate policies dissapeared from the title and from the intro. But it is in the figure. Let's keep it</w:t>
      </w:r>
    </w:p>
  </w:comment>
  <w:comment w:id="1" w:author="Martin Fernandez  Antonio José" w:date="2023-10-30T14:45:00Z" w:initials="AM">
    <w:p w14:paraId="6688871E" w14:textId="77777777" w:rsidR="007F30F4" w:rsidRDefault="007F30F4" w:rsidP="00A81E3A">
      <w:pPr>
        <w:pStyle w:val="CommentText"/>
      </w:pPr>
      <w:r>
        <w:rPr>
          <w:rStyle w:val="CommentReference"/>
        </w:rPr>
        <w:annotationRef/>
      </w:r>
      <w:r>
        <w:rPr>
          <w:lang w:val="es-ES"/>
        </w:rPr>
        <w:t xml:space="preserve">I think we need to add here the target of disclosing how the technology framework is dynamic, what is best today, can be worse tomorrow. Need to know that for decision making in policies and  investment </w:t>
      </w:r>
    </w:p>
  </w:comment>
  <w:comment w:id="2" w:author="Martin Fernandez  Antonio José" w:date="2023-10-30T14:47:00Z" w:initials="AM">
    <w:p w14:paraId="256ED2D1" w14:textId="655B9C31" w:rsidR="007F30F4" w:rsidRDefault="007F30F4" w:rsidP="00CF7827">
      <w:pPr>
        <w:pStyle w:val="CommentText"/>
      </w:pPr>
      <w:r>
        <w:rPr>
          <w:rStyle w:val="CommentReference"/>
        </w:rPr>
        <w:annotationRef/>
      </w:r>
      <w:r>
        <w:rPr>
          <w:lang w:val="es-ES"/>
        </w:rPr>
        <w:t xml:space="preserve">I would take just ammonia. Explain clearly it is an illustration of the whole analysis. And </w:t>
      </w:r>
      <w:proofErr w:type="spellStart"/>
      <w:r>
        <w:rPr>
          <w:lang w:val="es-ES"/>
        </w:rPr>
        <w:t>would</w:t>
      </w:r>
      <w:proofErr w:type="spellEnd"/>
      <w:r>
        <w:rPr>
          <w:lang w:val="es-ES"/>
        </w:rPr>
        <w:t xml:space="preserve"> </w:t>
      </w:r>
      <w:proofErr w:type="spellStart"/>
      <w:r>
        <w:rPr>
          <w:lang w:val="es-ES"/>
        </w:rPr>
        <w:t>replace</w:t>
      </w:r>
      <w:proofErr w:type="spellEnd"/>
      <w:r>
        <w:rPr>
          <w:lang w:val="es-ES"/>
        </w:rPr>
        <w:t xml:space="preserve"> panel b </w:t>
      </w:r>
      <w:proofErr w:type="spellStart"/>
      <w:r>
        <w:rPr>
          <w:lang w:val="es-ES"/>
        </w:rPr>
        <w:t>with</w:t>
      </w:r>
      <w:proofErr w:type="spellEnd"/>
      <w:r>
        <w:rPr>
          <w:lang w:val="es-ES"/>
        </w:rPr>
        <w:t xml:space="preserve"> </w:t>
      </w:r>
      <w:proofErr w:type="spellStart"/>
      <w:r>
        <w:rPr>
          <w:lang w:val="es-ES"/>
        </w:rPr>
        <w:t>two</w:t>
      </w:r>
      <w:proofErr w:type="spellEnd"/>
      <w:r>
        <w:rPr>
          <w:lang w:val="es-ES"/>
        </w:rPr>
        <w:t xml:space="preserve"> </w:t>
      </w:r>
      <w:proofErr w:type="spellStart"/>
      <w:r>
        <w:rPr>
          <w:lang w:val="es-ES"/>
        </w:rPr>
        <w:t>small</w:t>
      </w:r>
      <w:proofErr w:type="spellEnd"/>
      <w:r>
        <w:rPr>
          <w:lang w:val="es-ES"/>
        </w:rPr>
        <w:t xml:space="preserve"> </w:t>
      </w:r>
      <w:proofErr w:type="spellStart"/>
      <w:r>
        <w:rPr>
          <w:lang w:val="es-ES"/>
        </w:rPr>
        <w:t>world</w:t>
      </w:r>
      <w:proofErr w:type="spellEnd"/>
      <w:r>
        <w:rPr>
          <w:lang w:val="es-ES"/>
        </w:rPr>
        <w:t xml:space="preserve"> maps for solar and wind for ammonia. </w:t>
      </w:r>
    </w:p>
  </w:comment>
  <w:comment w:id="4" w:author="Martin Fernandez  Antonio José" w:date="2023-10-30T14:49:00Z" w:initials="AM">
    <w:p w14:paraId="27B0B791" w14:textId="77777777" w:rsidR="001002F5" w:rsidRDefault="001002F5" w:rsidP="00891687">
      <w:pPr>
        <w:pStyle w:val="CommentText"/>
      </w:pPr>
      <w:r>
        <w:rPr>
          <w:rStyle w:val="CommentReference"/>
        </w:rPr>
        <w:annotationRef/>
      </w:r>
      <w:r>
        <w:rPr>
          <w:lang w:val="es-ES"/>
        </w:rPr>
        <w:t>This paragraph says nothing! :-). The significance must be around the first assessment of these key elements of the chemical industry considering how they will evolve in space and time, providing tools for decision making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73103172" w15:done="1"/>
  <w15:commentEx w15:paraId="6688871E" w15:done="1"/>
  <w15:commentEx w15:paraId="256ED2D1" w15:done="0"/>
  <w15:commentEx w15:paraId="27B0B791"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5F75E2D4" w16cex:dateUtc="2023-10-30T13:43:00Z"/>
  <w16cex:commentExtensible w16cex:durableId="4726499C" w16cex:dateUtc="2023-10-30T13:45:00Z"/>
  <w16cex:commentExtensible w16cex:durableId="2D1F7344" w16cex:dateUtc="2023-10-30T13:47:00Z"/>
  <w16cex:commentExtensible w16cex:durableId="3C9A52E9" w16cex:dateUtc="2023-10-30T13: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73103172" w16cid:durableId="5F75E2D4"/>
  <w16cid:commentId w16cid:paraId="6688871E" w16cid:durableId="4726499C"/>
  <w16cid:commentId w16cid:paraId="256ED2D1" w16cid:durableId="2D1F7344"/>
  <w16cid:commentId w16cid:paraId="27B0B791" w16cid:durableId="3C9A52E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FCC170A" w14:textId="77777777" w:rsidR="00BF4A2B" w:rsidRDefault="00BF4A2B">
      <w:r>
        <w:separator/>
      </w:r>
    </w:p>
  </w:endnote>
  <w:endnote w:type="continuationSeparator" w:id="0">
    <w:p w14:paraId="214AEF06" w14:textId="77777777" w:rsidR="00BF4A2B" w:rsidRDefault="00BF4A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A0B805C" w14:textId="77777777" w:rsidR="00BF4A2B" w:rsidRDefault="00BF4A2B">
      <w:r>
        <w:separator/>
      </w:r>
    </w:p>
  </w:footnote>
  <w:footnote w:type="continuationSeparator" w:id="0">
    <w:p w14:paraId="46052F77" w14:textId="77777777" w:rsidR="00BF4A2B" w:rsidRDefault="00BF4A2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6764B7"/>
    <w:multiLevelType w:val="hybridMultilevel"/>
    <w:tmpl w:val="1B0869B0"/>
    <w:lvl w:ilvl="0" w:tplc="0809000F">
      <w:start w:val="1"/>
      <w:numFmt w:val="decimal"/>
      <w:lvlText w:val="%1."/>
      <w:lvlJc w:val="left"/>
      <w:pPr>
        <w:ind w:left="504" w:hanging="360"/>
      </w:pPr>
    </w:lvl>
    <w:lvl w:ilvl="1" w:tplc="08090019" w:tentative="1">
      <w:start w:val="1"/>
      <w:numFmt w:val="lowerLetter"/>
      <w:lvlText w:val="%2."/>
      <w:lvlJc w:val="left"/>
      <w:pPr>
        <w:ind w:left="1224" w:hanging="360"/>
      </w:pPr>
    </w:lvl>
    <w:lvl w:ilvl="2" w:tplc="0809001B" w:tentative="1">
      <w:start w:val="1"/>
      <w:numFmt w:val="lowerRoman"/>
      <w:lvlText w:val="%3."/>
      <w:lvlJc w:val="right"/>
      <w:pPr>
        <w:ind w:left="1944" w:hanging="180"/>
      </w:pPr>
    </w:lvl>
    <w:lvl w:ilvl="3" w:tplc="0809000F" w:tentative="1">
      <w:start w:val="1"/>
      <w:numFmt w:val="decimal"/>
      <w:lvlText w:val="%4."/>
      <w:lvlJc w:val="left"/>
      <w:pPr>
        <w:ind w:left="2664" w:hanging="360"/>
      </w:pPr>
    </w:lvl>
    <w:lvl w:ilvl="4" w:tplc="08090019" w:tentative="1">
      <w:start w:val="1"/>
      <w:numFmt w:val="lowerLetter"/>
      <w:lvlText w:val="%5."/>
      <w:lvlJc w:val="left"/>
      <w:pPr>
        <w:ind w:left="3384" w:hanging="360"/>
      </w:pPr>
    </w:lvl>
    <w:lvl w:ilvl="5" w:tplc="0809001B" w:tentative="1">
      <w:start w:val="1"/>
      <w:numFmt w:val="lowerRoman"/>
      <w:lvlText w:val="%6."/>
      <w:lvlJc w:val="right"/>
      <w:pPr>
        <w:ind w:left="4104" w:hanging="180"/>
      </w:pPr>
    </w:lvl>
    <w:lvl w:ilvl="6" w:tplc="0809000F" w:tentative="1">
      <w:start w:val="1"/>
      <w:numFmt w:val="decimal"/>
      <w:lvlText w:val="%7."/>
      <w:lvlJc w:val="left"/>
      <w:pPr>
        <w:ind w:left="4824" w:hanging="360"/>
      </w:pPr>
    </w:lvl>
    <w:lvl w:ilvl="7" w:tplc="08090019" w:tentative="1">
      <w:start w:val="1"/>
      <w:numFmt w:val="lowerLetter"/>
      <w:lvlText w:val="%8."/>
      <w:lvlJc w:val="left"/>
      <w:pPr>
        <w:ind w:left="5544" w:hanging="360"/>
      </w:pPr>
    </w:lvl>
    <w:lvl w:ilvl="8" w:tplc="0809001B" w:tentative="1">
      <w:start w:val="1"/>
      <w:numFmt w:val="lowerRoman"/>
      <w:lvlText w:val="%9."/>
      <w:lvlJc w:val="right"/>
      <w:pPr>
        <w:ind w:left="6264" w:hanging="180"/>
      </w:pPr>
    </w:lvl>
  </w:abstractNum>
  <w:abstractNum w:abstractNumId="1" w15:restartNumberingAfterBreak="0">
    <w:nsid w:val="33212706"/>
    <w:multiLevelType w:val="singleLevel"/>
    <w:tmpl w:val="788616E6"/>
    <w:lvl w:ilvl="0">
      <w:start w:val="1"/>
      <w:numFmt w:val="decimal"/>
      <w:lvlText w:val="%1."/>
      <w:lvlJc w:val="left"/>
      <w:pPr>
        <w:tabs>
          <w:tab w:val="num" w:pos="720"/>
        </w:tabs>
        <w:ind w:left="720" w:hanging="720"/>
      </w:pPr>
      <w:rPr>
        <w:rFonts w:hint="default"/>
      </w:rPr>
    </w:lvl>
  </w:abstractNum>
  <w:abstractNum w:abstractNumId="2" w15:restartNumberingAfterBreak="0">
    <w:nsid w:val="59EE5B3D"/>
    <w:multiLevelType w:val="singleLevel"/>
    <w:tmpl w:val="7DA0F1DA"/>
    <w:lvl w:ilvl="0">
      <w:start w:val="1"/>
      <w:numFmt w:val="decimal"/>
      <w:pStyle w:val="RefrencesAbstratcsICC2024"/>
      <w:lvlText w:val="%1."/>
      <w:lvlJc w:val="left"/>
      <w:pPr>
        <w:tabs>
          <w:tab w:val="num" w:pos="360"/>
        </w:tabs>
        <w:ind w:left="360" w:hanging="360"/>
      </w:pPr>
      <w:rPr>
        <w:rFonts w:hint="default"/>
      </w:rPr>
    </w:lvl>
  </w:abstractNum>
  <w:abstractNum w:abstractNumId="3" w15:restartNumberingAfterBreak="0">
    <w:nsid w:val="78220CEE"/>
    <w:multiLevelType w:val="hybridMultilevel"/>
    <w:tmpl w:val="507C3A30"/>
    <w:lvl w:ilvl="0" w:tplc="0809000F">
      <w:start w:val="1"/>
      <w:numFmt w:val="decimal"/>
      <w:lvlText w:val="%1."/>
      <w:lvlJc w:val="left"/>
      <w:pPr>
        <w:ind w:left="684" w:hanging="360"/>
      </w:pPr>
    </w:lvl>
    <w:lvl w:ilvl="1" w:tplc="08090019" w:tentative="1">
      <w:start w:val="1"/>
      <w:numFmt w:val="lowerLetter"/>
      <w:lvlText w:val="%2."/>
      <w:lvlJc w:val="left"/>
      <w:pPr>
        <w:ind w:left="1404" w:hanging="360"/>
      </w:pPr>
    </w:lvl>
    <w:lvl w:ilvl="2" w:tplc="0809001B" w:tentative="1">
      <w:start w:val="1"/>
      <w:numFmt w:val="lowerRoman"/>
      <w:lvlText w:val="%3."/>
      <w:lvlJc w:val="right"/>
      <w:pPr>
        <w:ind w:left="2124" w:hanging="180"/>
      </w:pPr>
    </w:lvl>
    <w:lvl w:ilvl="3" w:tplc="0809000F" w:tentative="1">
      <w:start w:val="1"/>
      <w:numFmt w:val="decimal"/>
      <w:lvlText w:val="%4."/>
      <w:lvlJc w:val="left"/>
      <w:pPr>
        <w:ind w:left="2844" w:hanging="360"/>
      </w:pPr>
    </w:lvl>
    <w:lvl w:ilvl="4" w:tplc="08090019" w:tentative="1">
      <w:start w:val="1"/>
      <w:numFmt w:val="lowerLetter"/>
      <w:lvlText w:val="%5."/>
      <w:lvlJc w:val="left"/>
      <w:pPr>
        <w:ind w:left="3564" w:hanging="360"/>
      </w:pPr>
    </w:lvl>
    <w:lvl w:ilvl="5" w:tplc="0809001B" w:tentative="1">
      <w:start w:val="1"/>
      <w:numFmt w:val="lowerRoman"/>
      <w:lvlText w:val="%6."/>
      <w:lvlJc w:val="right"/>
      <w:pPr>
        <w:ind w:left="4284" w:hanging="180"/>
      </w:pPr>
    </w:lvl>
    <w:lvl w:ilvl="6" w:tplc="0809000F" w:tentative="1">
      <w:start w:val="1"/>
      <w:numFmt w:val="decimal"/>
      <w:lvlText w:val="%7."/>
      <w:lvlJc w:val="left"/>
      <w:pPr>
        <w:ind w:left="5004" w:hanging="360"/>
      </w:pPr>
    </w:lvl>
    <w:lvl w:ilvl="7" w:tplc="08090019" w:tentative="1">
      <w:start w:val="1"/>
      <w:numFmt w:val="lowerLetter"/>
      <w:lvlText w:val="%8."/>
      <w:lvlJc w:val="left"/>
      <w:pPr>
        <w:ind w:left="5724" w:hanging="360"/>
      </w:pPr>
    </w:lvl>
    <w:lvl w:ilvl="8" w:tplc="0809001B" w:tentative="1">
      <w:start w:val="1"/>
      <w:numFmt w:val="lowerRoman"/>
      <w:lvlText w:val="%9."/>
      <w:lvlJc w:val="right"/>
      <w:pPr>
        <w:ind w:left="6444" w:hanging="180"/>
      </w:pPr>
    </w:lvl>
  </w:abstractNum>
  <w:num w:numId="1">
    <w:abstractNumId w:val="1"/>
  </w:num>
  <w:num w:numId="2">
    <w:abstractNumId w:val="2"/>
  </w:num>
  <w:num w:numId="3">
    <w:abstractNumId w:val="0"/>
  </w:num>
  <w:num w:numId="4">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Martin Fernandez  Antonio José">
    <w15:presenceInfo w15:providerId="AD" w15:userId="S::maantoni@ethz.ch::e34b8c64-7386-4c87-9b46-9a39c3cfb56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Y0NrA0MzE3MTMzMzRS0lEKTi0uzszPAykwqwUAFjViJSwAAAA="/>
  </w:docVars>
  <w:rsids>
    <w:rsidRoot w:val="00043E75"/>
    <w:rsid w:val="00043E75"/>
    <w:rsid w:val="00061CC2"/>
    <w:rsid w:val="0006454C"/>
    <w:rsid w:val="000671CB"/>
    <w:rsid w:val="0007540F"/>
    <w:rsid w:val="00080E8C"/>
    <w:rsid w:val="00083BC5"/>
    <w:rsid w:val="00084AE4"/>
    <w:rsid w:val="000B0C2A"/>
    <w:rsid w:val="000B3D5C"/>
    <w:rsid w:val="001002F5"/>
    <w:rsid w:val="00166073"/>
    <w:rsid w:val="001747F8"/>
    <w:rsid w:val="001B6D94"/>
    <w:rsid w:val="001E3FFD"/>
    <w:rsid w:val="002215E2"/>
    <w:rsid w:val="00241447"/>
    <w:rsid w:val="00241CDF"/>
    <w:rsid w:val="002B6CE0"/>
    <w:rsid w:val="003054F4"/>
    <w:rsid w:val="00313932"/>
    <w:rsid w:val="00335EF4"/>
    <w:rsid w:val="0036433A"/>
    <w:rsid w:val="00381CC5"/>
    <w:rsid w:val="0038333F"/>
    <w:rsid w:val="00386177"/>
    <w:rsid w:val="003B0211"/>
    <w:rsid w:val="003E7436"/>
    <w:rsid w:val="00402508"/>
    <w:rsid w:val="00423D35"/>
    <w:rsid w:val="00436D36"/>
    <w:rsid w:val="00446032"/>
    <w:rsid w:val="00451BFD"/>
    <w:rsid w:val="004605A8"/>
    <w:rsid w:val="00496959"/>
    <w:rsid w:val="004A32AC"/>
    <w:rsid w:val="004C4AE1"/>
    <w:rsid w:val="005A7669"/>
    <w:rsid w:val="005B7457"/>
    <w:rsid w:val="005E209B"/>
    <w:rsid w:val="005E5A1F"/>
    <w:rsid w:val="005E7755"/>
    <w:rsid w:val="0061349B"/>
    <w:rsid w:val="00617D9F"/>
    <w:rsid w:val="006A3B2F"/>
    <w:rsid w:val="006A724E"/>
    <w:rsid w:val="006D65E3"/>
    <w:rsid w:val="006E78ED"/>
    <w:rsid w:val="00712A4C"/>
    <w:rsid w:val="00772D80"/>
    <w:rsid w:val="00782DBA"/>
    <w:rsid w:val="007B0D30"/>
    <w:rsid w:val="007B38D8"/>
    <w:rsid w:val="007E03AD"/>
    <w:rsid w:val="007F30F4"/>
    <w:rsid w:val="008019D3"/>
    <w:rsid w:val="00837161"/>
    <w:rsid w:val="00840F45"/>
    <w:rsid w:val="00854EAC"/>
    <w:rsid w:val="008A7E3D"/>
    <w:rsid w:val="008D5791"/>
    <w:rsid w:val="00933155"/>
    <w:rsid w:val="00936F2A"/>
    <w:rsid w:val="00951443"/>
    <w:rsid w:val="00994ED2"/>
    <w:rsid w:val="009C075F"/>
    <w:rsid w:val="009D20B2"/>
    <w:rsid w:val="00A54795"/>
    <w:rsid w:val="00AD715F"/>
    <w:rsid w:val="00B00AD1"/>
    <w:rsid w:val="00B053B4"/>
    <w:rsid w:val="00B63DCA"/>
    <w:rsid w:val="00BA5E77"/>
    <w:rsid w:val="00BC44B5"/>
    <w:rsid w:val="00BF4A2B"/>
    <w:rsid w:val="00C1786F"/>
    <w:rsid w:val="00C27874"/>
    <w:rsid w:val="00C62C41"/>
    <w:rsid w:val="00C77844"/>
    <w:rsid w:val="00C80739"/>
    <w:rsid w:val="00C94183"/>
    <w:rsid w:val="00CB323C"/>
    <w:rsid w:val="00CF0C36"/>
    <w:rsid w:val="00D511EE"/>
    <w:rsid w:val="00D67AF2"/>
    <w:rsid w:val="00D709FF"/>
    <w:rsid w:val="00D735B4"/>
    <w:rsid w:val="00D92586"/>
    <w:rsid w:val="00DA20A9"/>
    <w:rsid w:val="00E0604C"/>
    <w:rsid w:val="00E10E7E"/>
    <w:rsid w:val="00E25FC3"/>
    <w:rsid w:val="00E3034A"/>
    <w:rsid w:val="00E46991"/>
    <w:rsid w:val="00EA1785"/>
    <w:rsid w:val="00EA49AE"/>
    <w:rsid w:val="00F5307D"/>
    <w:rsid w:val="00F55EAE"/>
    <w:rsid w:val="00FA1F31"/>
    <w:rsid w:val="00FD6767"/>
    <w:rsid w:val="00FE6BF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1734F1A"/>
  <w14:defaultImageDpi w14:val="32767"/>
  <w15:chartTrackingRefBased/>
  <w15:docId w15:val="{8C8D6C30-C315-4306-B5B8-CD3A0D51D0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lang w:val="en-US" w:eastAsia="en-US"/>
    </w:rPr>
  </w:style>
  <w:style w:type="paragraph" w:styleId="Heading1">
    <w:name w:val="heading 1"/>
    <w:basedOn w:val="Normal"/>
    <w:next w:val="Normal"/>
    <w:link w:val="Heading1Char"/>
    <w:qFormat/>
    <w:pPr>
      <w:keepNext/>
      <w:outlineLvl w:val="0"/>
    </w:pPr>
    <w:rPr>
      <w:b/>
    </w:rPr>
  </w:style>
  <w:style w:type="paragraph" w:styleId="Heading2">
    <w:name w:val="heading 2"/>
    <w:basedOn w:val="Normal"/>
    <w:next w:val="Normal"/>
    <w:qFormat/>
    <w:pPr>
      <w:keepNext/>
      <w:outlineLvl w:val="1"/>
    </w:pPr>
    <w:rPr>
      <w:b/>
      <w:sz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Pr>
      <w:sz w:val="16"/>
    </w:rPr>
  </w:style>
  <w:style w:type="paragraph" w:styleId="Header">
    <w:name w:val="header"/>
    <w:basedOn w:val="Normal"/>
    <w:pPr>
      <w:tabs>
        <w:tab w:val="center" w:pos="4320"/>
        <w:tab w:val="right" w:pos="8640"/>
      </w:tabs>
    </w:pPr>
  </w:style>
  <w:style w:type="paragraph" w:customStyle="1" w:styleId="TitleNACSAbstract">
    <w:name w:val="Title NACS Abstract"/>
    <w:basedOn w:val="Heading1"/>
    <w:link w:val="TitleNACSAbstractCar"/>
    <w:pPr>
      <w:jc w:val="center"/>
    </w:pPr>
  </w:style>
  <w:style w:type="paragraph" w:customStyle="1" w:styleId="AuthorsNACS">
    <w:name w:val="Authors NACS"/>
    <w:basedOn w:val="Normal"/>
    <w:pPr>
      <w:jc w:val="center"/>
    </w:pPr>
    <w:rPr>
      <w:sz w:val="16"/>
    </w:rPr>
  </w:style>
  <w:style w:type="paragraph" w:customStyle="1" w:styleId="SectionHeadingNACS">
    <w:name w:val="Section Heading NACS"/>
    <w:basedOn w:val="Heading1"/>
    <w:link w:val="SectionHeadingNACSCar"/>
    <w:rPr>
      <w:sz w:val="16"/>
    </w:rPr>
  </w:style>
  <w:style w:type="paragraph" w:customStyle="1" w:styleId="BodyTextNACS">
    <w:name w:val="Body Text NACS"/>
    <w:basedOn w:val="BodyText"/>
    <w:link w:val="BodyTextNACSCar"/>
    <w:pPr>
      <w:jc w:val="both"/>
    </w:pPr>
  </w:style>
  <w:style w:type="paragraph" w:customStyle="1" w:styleId="AuthorAddressNACS">
    <w:name w:val="Author Address NACS"/>
    <w:basedOn w:val="Normal"/>
    <w:pPr>
      <w:jc w:val="center"/>
    </w:pPr>
    <w:rPr>
      <w:i/>
      <w:sz w:val="16"/>
    </w:rPr>
  </w:style>
  <w:style w:type="paragraph" w:styleId="Footer">
    <w:name w:val="footer"/>
    <w:basedOn w:val="Normal"/>
    <w:pPr>
      <w:tabs>
        <w:tab w:val="center" w:pos="4320"/>
        <w:tab w:val="right" w:pos="8640"/>
      </w:tabs>
    </w:pPr>
  </w:style>
  <w:style w:type="character" w:styleId="Hyperlink">
    <w:name w:val="Hyperlink"/>
    <w:rPr>
      <w:color w:val="0000FF"/>
      <w:u w:val="single"/>
    </w:rPr>
  </w:style>
  <w:style w:type="paragraph" w:customStyle="1" w:styleId="TitleAbstractICC2024">
    <w:name w:val="Title Abstract ICC2024"/>
    <w:basedOn w:val="TitleNACSAbstract"/>
    <w:link w:val="TitleAbstractICC2024Car"/>
    <w:qFormat/>
    <w:rsid w:val="00BC44B5"/>
    <w:rPr>
      <w:rFonts w:ascii="Calibri" w:hAnsi="Calibri" w:cs="Calibri"/>
    </w:rPr>
  </w:style>
  <w:style w:type="paragraph" w:customStyle="1" w:styleId="ParagraphAbstractICC2024">
    <w:name w:val="Paragraph Abstract ICC2024"/>
    <w:basedOn w:val="BodyTextNACS"/>
    <w:link w:val="ParagraphAbstractICC2024Car"/>
    <w:qFormat/>
    <w:rsid w:val="00BC44B5"/>
    <w:pPr>
      <w:ind w:firstLine="720"/>
    </w:pPr>
    <w:rPr>
      <w:rFonts w:ascii="Calibri" w:hAnsi="Calibri" w:cs="Calibri"/>
    </w:rPr>
  </w:style>
  <w:style w:type="character" w:customStyle="1" w:styleId="Heading1Char">
    <w:name w:val="Heading 1 Char"/>
    <w:link w:val="Heading1"/>
    <w:rsid w:val="00BC44B5"/>
    <w:rPr>
      <w:b/>
      <w:lang w:val="en-US" w:eastAsia="en-US"/>
    </w:rPr>
  </w:style>
  <w:style w:type="character" w:customStyle="1" w:styleId="TitleNACSAbstractCar">
    <w:name w:val="Title NACS Abstract Car"/>
    <w:basedOn w:val="Heading1Char"/>
    <w:link w:val="TitleNACSAbstract"/>
    <w:rsid w:val="00BC44B5"/>
    <w:rPr>
      <w:b/>
      <w:lang w:val="en-US" w:eastAsia="en-US"/>
    </w:rPr>
  </w:style>
  <w:style w:type="character" w:customStyle="1" w:styleId="TitleAbstractICC2024Car">
    <w:name w:val="Title Abstract ICC2024 Car"/>
    <w:link w:val="TitleAbstractICC2024"/>
    <w:rsid w:val="00BC44B5"/>
    <w:rPr>
      <w:rFonts w:ascii="Calibri" w:hAnsi="Calibri" w:cs="Calibri"/>
      <w:b/>
      <w:lang w:val="en-US" w:eastAsia="en-US"/>
    </w:rPr>
  </w:style>
  <w:style w:type="paragraph" w:customStyle="1" w:styleId="SubtitleAbstractICC2024">
    <w:name w:val="Subtitle Abstract ICC2024"/>
    <w:basedOn w:val="SectionHeadingNACS"/>
    <w:link w:val="SubtitleAbstractICC2024Car"/>
    <w:qFormat/>
    <w:rsid w:val="00BC44B5"/>
    <w:rPr>
      <w:rFonts w:ascii="Calibri" w:hAnsi="Calibri" w:cs="Calibri"/>
    </w:rPr>
  </w:style>
  <w:style w:type="character" w:customStyle="1" w:styleId="BodyTextChar">
    <w:name w:val="Body Text Char"/>
    <w:link w:val="BodyText"/>
    <w:rsid w:val="00BC44B5"/>
    <w:rPr>
      <w:sz w:val="16"/>
      <w:lang w:val="en-US" w:eastAsia="en-US"/>
    </w:rPr>
  </w:style>
  <w:style w:type="character" w:customStyle="1" w:styleId="BodyTextNACSCar">
    <w:name w:val="Body Text NACS Car"/>
    <w:basedOn w:val="BodyTextChar"/>
    <w:link w:val="BodyTextNACS"/>
    <w:rsid w:val="00BC44B5"/>
    <w:rPr>
      <w:sz w:val="16"/>
      <w:lang w:val="en-US" w:eastAsia="en-US"/>
    </w:rPr>
  </w:style>
  <w:style w:type="character" w:customStyle="1" w:styleId="ParagraphAbstractICC2024Car">
    <w:name w:val="Paragraph Abstract ICC2024 Car"/>
    <w:link w:val="ParagraphAbstractICC2024"/>
    <w:rsid w:val="00BC44B5"/>
    <w:rPr>
      <w:rFonts w:ascii="Calibri" w:hAnsi="Calibri" w:cs="Calibri"/>
      <w:sz w:val="16"/>
      <w:lang w:val="en-US" w:eastAsia="en-US"/>
    </w:rPr>
  </w:style>
  <w:style w:type="paragraph" w:customStyle="1" w:styleId="RefrencesAbstratcsICC2024">
    <w:name w:val="Refrences Abstratcs ICC2024"/>
    <w:basedOn w:val="Normal"/>
    <w:link w:val="RefrencesAbstratcsICC2024Car"/>
    <w:qFormat/>
    <w:rsid w:val="00BC44B5"/>
    <w:pPr>
      <w:numPr>
        <w:numId w:val="2"/>
      </w:numPr>
    </w:pPr>
    <w:rPr>
      <w:rFonts w:ascii="Calibri" w:hAnsi="Calibri" w:cs="Calibri"/>
      <w:sz w:val="16"/>
    </w:rPr>
  </w:style>
  <w:style w:type="character" w:customStyle="1" w:styleId="SectionHeadingNACSCar">
    <w:name w:val="Section Heading NACS Car"/>
    <w:link w:val="SectionHeadingNACS"/>
    <w:rsid w:val="00BC44B5"/>
    <w:rPr>
      <w:b/>
      <w:sz w:val="16"/>
      <w:lang w:val="en-US" w:eastAsia="en-US"/>
    </w:rPr>
  </w:style>
  <w:style w:type="character" w:customStyle="1" w:styleId="SubtitleAbstractICC2024Car">
    <w:name w:val="Subtitle Abstract ICC2024 Car"/>
    <w:link w:val="SubtitleAbstractICC2024"/>
    <w:rsid w:val="00BC44B5"/>
    <w:rPr>
      <w:rFonts w:ascii="Calibri" w:hAnsi="Calibri" w:cs="Calibri"/>
      <w:b/>
      <w:sz w:val="16"/>
      <w:lang w:val="en-US" w:eastAsia="en-US"/>
    </w:rPr>
  </w:style>
  <w:style w:type="paragraph" w:customStyle="1" w:styleId="TablecaptionAbstractICC2024">
    <w:name w:val="Table caption Abstract ICC2024"/>
    <w:basedOn w:val="BodyTextNACS"/>
    <w:link w:val="TablecaptionAbstractICC2024Car"/>
    <w:qFormat/>
    <w:rsid w:val="00FD6767"/>
    <w:rPr>
      <w:rFonts w:ascii="Calibri" w:hAnsi="Calibri" w:cs="Calibri"/>
      <w:b/>
    </w:rPr>
  </w:style>
  <w:style w:type="character" w:customStyle="1" w:styleId="RefrencesAbstratcsICC2024Car">
    <w:name w:val="Refrences Abstratcs ICC2024 Car"/>
    <w:link w:val="RefrencesAbstratcsICC2024"/>
    <w:rsid w:val="00BC44B5"/>
    <w:rPr>
      <w:rFonts w:ascii="Calibri" w:hAnsi="Calibri" w:cs="Calibri"/>
      <w:sz w:val="16"/>
      <w:lang w:val="en-US" w:eastAsia="en-US"/>
    </w:rPr>
  </w:style>
  <w:style w:type="paragraph" w:customStyle="1" w:styleId="FigureCaptionAbstractICC2024">
    <w:name w:val="Figure Caption Abstract ICC2024"/>
    <w:basedOn w:val="BodyTextNACS"/>
    <w:link w:val="FigureCaptionAbstractICC2024Car"/>
    <w:qFormat/>
    <w:rsid w:val="00FD6767"/>
    <w:rPr>
      <w:rFonts w:ascii="Calibri" w:hAnsi="Calibri" w:cs="Calibri"/>
      <w:b/>
    </w:rPr>
  </w:style>
  <w:style w:type="character" w:customStyle="1" w:styleId="TablecaptionAbstractICC2024Car">
    <w:name w:val="Table caption Abstract ICC2024 Car"/>
    <w:link w:val="TablecaptionAbstractICC2024"/>
    <w:rsid w:val="00FD6767"/>
    <w:rPr>
      <w:rFonts w:ascii="Calibri" w:hAnsi="Calibri" w:cs="Calibri"/>
      <w:b/>
      <w:sz w:val="16"/>
      <w:lang w:val="en-US" w:eastAsia="en-US"/>
    </w:rPr>
  </w:style>
  <w:style w:type="paragraph" w:customStyle="1" w:styleId="TCTableBody">
    <w:name w:val="TC_Table_Body"/>
    <w:basedOn w:val="Normal"/>
    <w:rsid w:val="00D67AF2"/>
    <w:pPr>
      <w:spacing w:after="200"/>
      <w:jc w:val="both"/>
    </w:pPr>
    <w:rPr>
      <w:rFonts w:ascii="Times" w:hAnsi="Times"/>
      <w:sz w:val="24"/>
    </w:rPr>
  </w:style>
  <w:style w:type="character" w:customStyle="1" w:styleId="FigureCaptionAbstractICC2024Car">
    <w:name w:val="Figure Caption Abstract ICC2024 Car"/>
    <w:link w:val="FigureCaptionAbstractICC2024"/>
    <w:rsid w:val="00FD6767"/>
    <w:rPr>
      <w:rFonts w:ascii="Calibri" w:hAnsi="Calibri" w:cs="Calibri"/>
      <w:b/>
      <w:sz w:val="16"/>
      <w:lang w:val="en-US" w:eastAsia="en-US"/>
    </w:rPr>
  </w:style>
  <w:style w:type="character" w:styleId="UnresolvedMention">
    <w:name w:val="Unresolved Mention"/>
    <w:uiPriority w:val="99"/>
    <w:semiHidden/>
    <w:unhideWhenUsed/>
    <w:rsid w:val="00496959"/>
    <w:rPr>
      <w:color w:val="605E5C"/>
      <w:shd w:val="clear" w:color="auto" w:fill="E1DFDD"/>
    </w:rPr>
  </w:style>
  <w:style w:type="paragraph" w:styleId="NoSpacing">
    <w:name w:val="No Spacing"/>
    <w:uiPriority w:val="1"/>
    <w:qFormat/>
    <w:rsid w:val="008D5791"/>
    <w:rPr>
      <w:lang w:val="en-US" w:eastAsia="en-US"/>
    </w:rPr>
  </w:style>
  <w:style w:type="paragraph" w:styleId="Bibliography">
    <w:name w:val="Bibliography"/>
    <w:basedOn w:val="Normal"/>
    <w:next w:val="Normal"/>
    <w:uiPriority w:val="37"/>
    <w:unhideWhenUsed/>
    <w:rsid w:val="00772D80"/>
    <w:pPr>
      <w:tabs>
        <w:tab w:val="left" w:pos="144"/>
      </w:tabs>
      <w:ind w:left="144" w:hanging="144"/>
    </w:pPr>
  </w:style>
  <w:style w:type="character" w:styleId="CommentReference">
    <w:name w:val="annotation reference"/>
    <w:basedOn w:val="DefaultParagraphFont"/>
    <w:uiPriority w:val="99"/>
    <w:semiHidden/>
    <w:unhideWhenUsed/>
    <w:rsid w:val="007F30F4"/>
    <w:rPr>
      <w:sz w:val="16"/>
      <w:szCs w:val="16"/>
    </w:rPr>
  </w:style>
  <w:style w:type="paragraph" w:styleId="CommentText">
    <w:name w:val="annotation text"/>
    <w:basedOn w:val="Normal"/>
    <w:link w:val="CommentTextChar"/>
    <w:uiPriority w:val="99"/>
    <w:unhideWhenUsed/>
    <w:rsid w:val="007F30F4"/>
  </w:style>
  <w:style w:type="character" w:customStyle="1" w:styleId="CommentTextChar">
    <w:name w:val="Comment Text Char"/>
    <w:basedOn w:val="DefaultParagraphFont"/>
    <w:link w:val="CommentText"/>
    <w:uiPriority w:val="99"/>
    <w:rsid w:val="007F30F4"/>
    <w:rPr>
      <w:lang w:val="en-US" w:eastAsia="en-US"/>
    </w:rPr>
  </w:style>
  <w:style w:type="paragraph" w:styleId="CommentSubject">
    <w:name w:val="annotation subject"/>
    <w:basedOn w:val="CommentText"/>
    <w:next w:val="CommentText"/>
    <w:link w:val="CommentSubjectChar"/>
    <w:uiPriority w:val="99"/>
    <w:semiHidden/>
    <w:unhideWhenUsed/>
    <w:rsid w:val="007F30F4"/>
    <w:rPr>
      <w:b/>
      <w:bCs/>
    </w:rPr>
  </w:style>
  <w:style w:type="character" w:customStyle="1" w:styleId="CommentSubjectChar">
    <w:name w:val="Comment Subject Char"/>
    <w:basedOn w:val="CommentTextChar"/>
    <w:link w:val="CommentSubject"/>
    <w:uiPriority w:val="99"/>
    <w:semiHidden/>
    <w:rsid w:val="007F30F4"/>
    <w:rPr>
      <w:b/>
      <w:bCs/>
      <w:lang w:val="en-US" w:eastAsia="en-US"/>
    </w:rPr>
  </w:style>
  <w:style w:type="paragraph" w:styleId="BalloonText">
    <w:name w:val="Balloon Text"/>
    <w:basedOn w:val="Normal"/>
    <w:link w:val="BalloonTextChar"/>
    <w:uiPriority w:val="99"/>
    <w:semiHidden/>
    <w:unhideWhenUsed/>
    <w:rsid w:val="001E3FF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E3FFD"/>
    <w:rPr>
      <w:rFonts w:ascii="Segoe UI" w:hAnsi="Segoe UI" w:cs="Segoe UI"/>
      <w:sz w:val="18"/>
      <w:szCs w:val="1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2" Type="http://schemas.openxmlformats.org/officeDocument/2006/relationships/numbering" Target="numbering.xml"/><Relationship Id="rId16" Type="http://schemas.microsoft.com/office/2018/08/relationships/commentsExtensible" Target="commentsExtensi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jpr@chem.ethz.ch"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9DB492-0251-4DD8-AF2D-5B075B6885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2490</Words>
  <Characters>14193</Characters>
  <Application>Microsoft Office Word</Application>
  <DocSecurity>0</DocSecurity>
  <Lines>118</Lines>
  <Paragraphs>33</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Novel Co-Mo/MCM-41 Catalysts for Deep Hydrodesulfurization of Jet Fuel</vt:lpstr>
      <vt:lpstr>Novel Co-Mo/MCM-41 Catalysts for Deep Hydrodesulfurization of Jet Fuel</vt:lpstr>
    </vt:vector>
  </TitlesOfParts>
  <Company/>
  <LinksUpToDate>false</LinksUpToDate>
  <CharactersWithSpaces>16650</CharactersWithSpaces>
  <SharedDoc>false</SharedDoc>
  <HLinks>
    <vt:vector size="6" baseType="variant">
      <vt:variant>
        <vt:i4>3538967</vt:i4>
      </vt:variant>
      <vt:variant>
        <vt:i4>0</vt:i4>
      </vt:variant>
      <vt:variant>
        <vt:i4>0</vt:i4>
      </vt:variant>
      <vt:variant>
        <vt:i4>5</vt:i4>
      </vt:variant>
      <vt:variant>
        <vt:lpwstr>mailto:*jpr@chem.ethz.ch</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Novel Co-Mo/MCM-41 Catalysts for Deep Hydrodesulfurization of Jet Fuel</dc:title>
  <dc:subject/>
  <dc:creator>Alan M. Allgeier</dc:creator>
  <cp:keywords/>
  <cp:lastModifiedBy>Nabera  Abhinandan</cp:lastModifiedBy>
  <cp:revision>6</cp:revision>
  <cp:lastPrinted>2004-05-19T08:11:00Z</cp:lastPrinted>
  <dcterms:created xsi:type="dcterms:W3CDTF">2023-10-30T13:42:00Z</dcterms:created>
  <dcterms:modified xsi:type="dcterms:W3CDTF">2023-10-30T21:02:00Z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ZOTERO_PREF_1">
    <vt:lpwstr>&lt;data data-version="3" zotero-version="6.0.27"&gt;&lt;session id="yuoCxJ8R"/&gt;&lt;style id="http://www.zotero.org/styles/green-chemistry" hasBibliography="1" bibliographyStyleHasBeenSet="1"/&gt;&lt;prefs&gt;&lt;pref name="fieldType" value="Field"/&gt;&lt;/prefs&gt;&lt;/data&gt;</vt:lpwstr>
  </property>
</Properties>
</file>